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80545E" w:rsidRDefault="000F17D6" w:rsidP="0080545E">
      <w:pPr>
        <w:spacing w:line="276" w:lineRule="auto"/>
        <w:jc w:val="right"/>
      </w:pPr>
    </w:p>
    <w:p w14:paraId="61FAB302" w14:textId="77777777" w:rsidR="000F17D6" w:rsidRPr="0080545E" w:rsidRDefault="000F17D6" w:rsidP="0080545E">
      <w:pPr>
        <w:spacing w:line="276" w:lineRule="auto"/>
        <w:rPr>
          <w:i/>
          <w:iCs/>
        </w:rPr>
      </w:pPr>
      <w:r w:rsidRPr="0080545E">
        <w:rPr>
          <w:i/>
          <w:iCs/>
        </w:rPr>
        <w:t>Tiekėjams</w:t>
      </w:r>
    </w:p>
    <w:p w14:paraId="69B240AC" w14:textId="77777777" w:rsidR="000F17D6" w:rsidRPr="0080545E" w:rsidRDefault="000F17D6" w:rsidP="0080545E">
      <w:pPr>
        <w:spacing w:line="276" w:lineRule="auto"/>
        <w:rPr>
          <w:i/>
          <w:iCs/>
        </w:rPr>
      </w:pPr>
      <w:r w:rsidRPr="0080545E">
        <w:rPr>
          <w:i/>
          <w:iCs/>
        </w:rPr>
        <w:t>Siunčiama CVP IS priemonėmis</w:t>
      </w:r>
    </w:p>
    <w:p w14:paraId="7667E45E" w14:textId="77777777" w:rsidR="000F17D6" w:rsidRPr="0080545E" w:rsidRDefault="000F17D6" w:rsidP="0080545E">
      <w:pPr>
        <w:spacing w:line="276" w:lineRule="auto"/>
      </w:pPr>
    </w:p>
    <w:p w14:paraId="0AB0DAD8" w14:textId="77777777" w:rsidR="000F17D6" w:rsidRPr="0080545E" w:rsidRDefault="000F17D6" w:rsidP="0080545E">
      <w:pPr>
        <w:spacing w:line="276" w:lineRule="auto"/>
      </w:pPr>
    </w:p>
    <w:p w14:paraId="3DC84B23" w14:textId="4C78ED9D" w:rsidR="000F17D6" w:rsidRPr="0080545E" w:rsidRDefault="000F17D6" w:rsidP="0080545E">
      <w:pPr>
        <w:spacing w:line="276" w:lineRule="auto"/>
        <w:rPr>
          <w:b/>
          <w:bCs/>
        </w:rPr>
      </w:pPr>
      <w:r w:rsidRPr="0080545E">
        <w:rPr>
          <w:b/>
          <w:bCs/>
        </w:rPr>
        <w:t xml:space="preserve">DĖL </w:t>
      </w:r>
      <w:r w:rsidR="00C628F6" w:rsidRPr="0080545E">
        <w:rPr>
          <w:b/>
          <w:bCs/>
        </w:rPr>
        <w:t>PATEIKTO PAKLAUSIMO</w:t>
      </w:r>
    </w:p>
    <w:p w14:paraId="47F7602C" w14:textId="77777777" w:rsidR="000F17D6" w:rsidRPr="0080545E" w:rsidRDefault="000F17D6" w:rsidP="0080545E">
      <w:pPr>
        <w:spacing w:line="276" w:lineRule="auto"/>
      </w:pPr>
    </w:p>
    <w:p w14:paraId="398D9FD3" w14:textId="1A8F9EA2" w:rsidR="004724B7" w:rsidRPr="0080545E" w:rsidRDefault="004724B7" w:rsidP="0080545E">
      <w:pPr>
        <w:spacing w:line="276" w:lineRule="auto"/>
        <w:ind w:firstLine="720"/>
        <w:jc w:val="both"/>
      </w:pPr>
      <w:r w:rsidRPr="0080545E">
        <w:t xml:space="preserve">Viešoji įstaiga CPO LT (toliau – CPO LT), </w:t>
      </w:r>
      <w:bookmarkStart w:id="0" w:name="_Hlk120190959"/>
      <w:r w:rsidRPr="0080545E">
        <w:t xml:space="preserve">vykdydama viešąjį pirkimą </w:t>
      </w:r>
      <w:r w:rsidR="0023122B" w:rsidRPr="0080545E">
        <w:t>„</w:t>
      </w:r>
      <w:r w:rsidR="003239A7" w:rsidRPr="0080545E">
        <w:rPr>
          <w:b/>
          <w:bCs/>
          <w:i/>
          <w:iCs/>
          <w:noProof/>
        </w:rPr>
        <w:t>VAPRIS, VPREG modernizacijos paslaugos (2 etapas)</w:t>
      </w:r>
      <w:r w:rsidR="003C6C5D" w:rsidRPr="0080545E">
        <w:t xml:space="preserve">“ </w:t>
      </w:r>
      <w:r w:rsidRPr="0080545E">
        <w:t>atviro (</w:t>
      </w:r>
      <w:r w:rsidR="003C6C5D" w:rsidRPr="0080545E">
        <w:t>tarptautini</w:t>
      </w:r>
      <w:r w:rsidR="0023122B" w:rsidRPr="0080545E">
        <w:t>o</w:t>
      </w:r>
      <w:r w:rsidRPr="0080545E">
        <w:t>) konkurso būdu</w:t>
      </w:r>
      <w:r w:rsidR="00F71DC1" w:rsidRPr="0080545E">
        <w:t xml:space="preserve"> (pirkimo </w:t>
      </w:r>
      <w:r w:rsidR="00892698" w:rsidRPr="0080545E">
        <w:t>ID</w:t>
      </w:r>
      <w:r w:rsidR="00F71DC1" w:rsidRPr="0080545E">
        <w:t xml:space="preserve"> </w:t>
      </w:r>
      <w:r w:rsidR="003C6C5D" w:rsidRPr="0080545E">
        <w:t>1</w:t>
      </w:r>
      <w:r w:rsidR="003239A7" w:rsidRPr="0080545E">
        <w:t>017719</w:t>
      </w:r>
      <w:r w:rsidR="00F71DC1" w:rsidRPr="0080545E">
        <w:t>, toliau – Pirkimas)</w:t>
      </w:r>
      <w:r w:rsidRPr="0080545E">
        <w:t xml:space="preserve">, </w:t>
      </w:r>
      <w:bookmarkEnd w:id="0"/>
      <w:r w:rsidR="00322AFC" w:rsidRPr="0080545E">
        <w:t>2025-</w:t>
      </w:r>
      <w:r w:rsidR="00AB7038" w:rsidRPr="0080545E">
        <w:t>02-</w:t>
      </w:r>
      <w:r w:rsidR="003904C5" w:rsidRPr="0080545E">
        <w:t>26</w:t>
      </w:r>
      <w:r w:rsidR="00AB7038" w:rsidRPr="0080545E">
        <w:t xml:space="preserve"> </w:t>
      </w:r>
      <w:r w:rsidRPr="0080545E">
        <w:t>CVP IS priemonėmis gavo potencial</w:t>
      </w:r>
      <w:r w:rsidR="00892698" w:rsidRPr="0080545E">
        <w:t>aus</w:t>
      </w:r>
      <w:r w:rsidRPr="0080545E">
        <w:t xml:space="preserve"> tiekėj</w:t>
      </w:r>
      <w:r w:rsidR="00892698" w:rsidRPr="0080545E">
        <w:t>o</w:t>
      </w:r>
      <w:r w:rsidRPr="0080545E">
        <w:t xml:space="preserve"> paklausim</w:t>
      </w:r>
      <w:r w:rsidR="00892698" w:rsidRPr="0080545E">
        <w:t>ą</w:t>
      </w:r>
      <w:r w:rsidRPr="0080545E">
        <w:t>.</w:t>
      </w:r>
    </w:p>
    <w:p w14:paraId="0939295D" w14:textId="4ABF47D2" w:rsidR="004724B7" w:rsidRPr="0080545E" w:rsidRDefault="004724B7" w:rsidP="0080545E">
      <w:pPr>
        <w:spacing w:line="276" w:lineRule="auto"/>
        <w:ind w:firstLine="720"/>
        <w:jc w:val="both"/>
      </w:pPr>
      <w:r w:rsidRPr="0080545E">
        <w:t>Paklausim</w:t>
      </w:r>
      <w:r w:rsidR="00AB7038" w:rsidRPr="0080545E">
        <w:t>a</w:t>
      </w:r>
      <w:r w:rsidR="00892698" w:rsidRPr="0080545E">
        <w:t>s</w:t>
      </w:r>
      <w:r w:rsidRPr="0080545E">
        <w:t xml:space="preserve"> pateikt</w:t>
      </w:r>
      <w:r w:rsidR="00892698" w:rsidRPr="0080545E">
        <w:t>as</w:t>
      </w:r>
      <w:r w:rsidRPr="0080545E">
        <w:t xml:space="preserve"> laikantis Pirkimo dokumentų Specialiųjų sąlygų 1 priedo „Terminai“ lentelės 3 eil. nustatyto termino </w:t>
      </w:r>
      <w:r w:rsidRPr="0080545E">
        <w:rPr>
          <w:i/>
          <w:iCs/>
        </w:rPr>
        <w:t xml:space="preserve">„Prašymą paaiškinti, patikslinti pirkimo sąlygas tiekėjas turi pateikti ne vėliau kaip: </w:t>
      </w:r>
      <w:r w:rsidR="00892698" w:rsidRPr="0080545E">
        <w:rPr>
          <w:i/>
          <w:iCs/>
        </w:rPr>
        <w:t>9</w:t>
      </w:r>
      <w:r w:rsidRPr="0080545E">
        <w:rPr>
          <w:i/>
          <w:iCs/>
        </w:rPr>
        <w:t xml:space="preserve"> (</w:t>
      </w:r>
      <w:r w:rsidR="00892698" w:rsidRPr="0080545E">
        <w:rPr>
          <w:i/>
          <w:iCs/>
        </w:rPr>
        <w:t>devynios</w:t>
      </w:r>
      <w:r w:rsidRPr="0080545E">
        <w:rPr>
          <w:i/>
          <w:iCs/>
        </w:rPr>
        <w:t xml:space="preserve">) dienos iki pasiūlymų pateikimo dienos.“, </w:t>
      </w:r>
      <w:r w:rsidRPr="0080545E">
        <w:t>t. y. pateikt</w:t>
      </w:r>
      <w:r w:rsidR="00892698" w:rsidRPr="0080545E">
        <w:t>as</w:t>
      </w:r>
      <w:r w:rsidRPr="0080545E">
        <w:t xml:space="preserve"> laiku.</w:t>
      </w:r>
    </w:p>
    <w:p w14:paraId="70F481BD" w14:textId="36712C6A" w:rsidR="004724B7" w:rsidRPr="0080545E" w:rsidRDefault="004724B7" w:rsidP="0080545E">
      <w:pPr>
        <w:spacing w:line="276" w:lineRule="auto"/>
        <w:ind w:firstLine="720"/>
        <w:jc w:val="both"/>
      </w:pPr>
      <w:r w:rsidRPr="0080545E">
        <w:t>CPO LT viešojo pirkimo komisija (toliau – Komisija), vadovau</w:t>
      </w:r>
      <w:r w:rsidR="00C918C4" w:rsidRPr="0080545E">
        <w:t>damasi</w:t>
      </w:r>
      <w:r w:rsidRPr="0080545E">
        <w:t xml:space="preserve"> Lietuvos Respublikos viešųjų pirkimų įstatymo</w:t>
      </w:r>
      <w:r w:rsidR="00C918C4" w:rsidRPr="0080545E">
        <w:t xml:space="preserve"> (toliau – VPĮ)</w:t>
      </w:r>
      <w:r w:rsidRPr="0080545E">
        <w:t xml:space="preserve"> 36 str. 5 d. ir Pirkimo dokumentų Bendrųjų sąlygų 5.2 p., teikia </w:t>
      </w:r>
      <w:r w:rsidR="00C628F6" w:rsidRPr="0080545E">
        <w:t>atsakym</w:t>
      </w:r>
      <w:r w:rsidR="00C05271" w:rsidRPr="0080545E">
        <w:t>us</w:t>
      </w:r>
      <w:r w:rsidR="00C628F6" w:rsidRPr="0080545E">
        <w:t xml:space="preserve"> </w:t>
      </w:r>
      <w:r w:rsidRPr="0080545E">
        <w:t xml:space="preserve">į </w:t>
      </w:r>
      <w:r w:rsidR="00C918C4" w:rsidRPr="0080545E">
        <w:t xml:space="preserve">paklausime </w:t>
      </w:r>
      <w:r w:rsidR="00C628F6" w:rsidRPr="0080545E">
        <w:t>pateikt</w:t>
      </w:r>
      <w:r w:rsidR="00C05271" w:rsidRPr="0080545E">
        <w:t>us</w:t>
      </w:r>
      <w:r w:rsidR="00C628F6" w:rsidRPr="0080545E">
        <w:t xml:space="preserve"> klausim</w:t>
      </w:r>
      <w:r w:rsidR="00C05271" w:rsidRPr="0080545E">
        <w:t>us</w:t>
      </w:r>
      <w:r w:rsidRPr="0080545E">
        <w:t>:</w:t>
      </w:r>
    </w:p>
    <w:p w14:paraId="7A649107" w14:textId="77777777" w:rsidR="00C05271" w:rsidRPr="0080545E" w:rsidRDefault="00C05271" w:rsidP="0080545E">
      <w:pPr>
        <w:spacing w:line="276" w:lineRule="auto"/>
        <w:jc w:val="both"/>
      </w:pPr>
    </w:p>
    <w:tbl>
      <w:tblPr>
        <w:tblStyle w:val="TableGrid"/>
        <w:tblW w:w="0" w:type="auto"/>
        <w:tblInd w:w="-5" w:type="dxa"/>
        <w:tblLook w:val="04A0" w:firstRow="1" w:lastRow="0" w:firstColumn="1" w:lastColumn="0" w:noHBand="0" w:noVBand="1"/>
      </w:tblPr>
      <w:tblGrid>
        <w:gridCol w:w="9735"/>
      </w:tblGrid>
      <w:tr w:rsidR="004F2CA1" w:rsidRPr="0080545E" w14:paraId="0D7C0412" w14:textId="77777777" w:rsidTr="00F9060E">
        <w:trPr>
          <w:trHeight w:val="305"/>
        </w:trPr>
        <w:tc>
          <w:tcPr>
            <w:tcW w:w="9990" w:type="dxa"/>
            <w:shd w:val="clear" w:color="auto" w:fill="DAE9F7" w:themeFill="text2" w:themeFillTint="1A"/>
            <w:vAlign w:val="center"/>
          </w:tcPr>
          <w:p w14:paraId="6F222F43" w14:textId="79210CB5" w:rsidR="004724B7" w:rsidRPr="0080545E" w:rsidRDefault="004724B7" w:rsidP="0080545E">
            <w:pPr>
              <w:spacing w:line="276" w:lineRule="auto"/>
              <w:rPr>
                <w:b/>
                <w:bCs/>
                <w:lang w:val="lt-LT"/>
              </w:rPr>
            </w:pPr>
            <w:r w:rsidRPr="0080545E">
              <w:rPr>
                <w:b/>
                <w:bCs/>
                <w:lang w:val="lt-LT"/>
              </w:rPr>
              <w:t>Klausimas</w:t>
            </w:r>
            <w:r w:rsidR="001558F6" w:rsidRPr="0080545E">
              <w:rPr>
                <w:b/>
                <w:bCs/>
                <w:lang w:val="lt-LT"/>
              </w:rPr>
              <w:t xml:space="preserve"> 1</w:t>
            </w:r>
            <w:r w:rsidRPr="0080545E">
              <w:rPr>
                <w:b/>
                <w:bCs/>
                <w:lang w:val="lt-LT"/>
              </w:rPr>
              <w:t xml:space="preserve"> </w:t>
            </w:r>
            <w:r w:rsidRPr="0080545E">
              <w:rPr>
                <w:lang w:val="lt-LT"/>
              </w:rPr>
              <w:t>(klausimo tekstas netaisytas)</w:t>
            </w:r>
          </w:p>
        </w:tc>
      </w:tr>
      <w:tr w:rsidR="004F2CA1" w:rsidRPr="0080545E" w14:paraId="7B2B4C43" w14:textId="77777777" w:rsidTr="00BF31D0">
        <w:trPr>
          <w:trHeight w:val="557"/>
        </w:trPr>
        <w:tc>
          <w:tcPr>
            <w:tcW w:w="9990" w:type="dxa"/>
            <w:shd w:val="clear" w:color="auto" w:fill="auto"/>
          </w:tcPr>
          <w:p w14:paraId="5A4A9B0E" w14:textId="2BF89ACA" w:rsidR="004724B7" w:rsidRPr="0080545E" w:rsidRDefault="00C91595" w:rsidP="0080545E">
            <w:pPr>
              <w:spacing w:line="276" w:lineRule="auto"/>
              <w:jc w:val="both"/>
              <w:rPr>
                <w:rFonts w:eastAsia="Times New Roman"/>
                <w:lang w:val="lt-LT" w:eastAsia="lt-LT"/>
              </w:rPr>
            </w:pPr>
            <w:r w:rsidRPr="0080545E">
              <w:rPr>
                <w:rFonts w:eastAsia="Times New Roman"/>
                <w:lang w:val="lt-LT" w:eastAsia="lt-LT"/>
              </w:rPr>
              <w:t>FR-1: Rašoma "Prieduose pateikti procesai." Ar būtų galima patikslinti, kuriuose prieduose yra pateikiami procesai?</w:t>
            </w:r>
          </w:p>
        </w:tc>
      </w:tr>
      <w:tr w:rsidR="004F2CA1" w:rsidRPr="0080545E" w14:paraId="3D3F5DDE" w14:textId="77777777" w:rsidTr="00F9060E">
        <w:trPr>
          <w:trHeight w:val="260"/>
        </w:trPr>
        <w:tc>
          <w:tcPr>
            <w:tcW w:w="9990" w:type="dxa"/>
            <w:shd w:val="clear" w:color="auto" w:fill="DAE9F7" w:themeFill="text2" w:themeFillTint="1A"/>
          </w:tcPr>
          <w:p w14:paraId="4719A0EC" w14:textId="77777777" w:rsidR="004724B7" w:rsidRPr="0080545E" w:rsidRDefault="004724B7" w:rsidP="0080545E">
            <w:pPr>
              <w:spacing w:line="276" w:lineRule="auto"/>
              <w:jc w:val="both"/>
              <w:rPr>
                <w:lang w:val="lt-LT"/>
              </w:rPr>
            </w:pPr>
            <w:r w:rsidRPr="0080545E">
              <w:rPr>
                <w:b/>
                <w:bCs/>
                <w:lang w:val="lt-LT"/>
              </w:rPr>
              <w:t>A</w:t>
            </w:r>
            <w:r w:rsidRPr="0080545E">
              <w:rPr>
                <w:b/>
                <w:bCs/>
                <w:shd w:val="clear" w:color="auto" w:fill="DAE9F7" w:themeFill="text2" w:themeFillTint="1A"/>
                <w:lang w:val="lt-LT"/>
              </w:rPr>
              <w:t>tsakymas</w:t>
            </w:r>
          </w:p>
        </w:tc>
      </w:tr>
      <w:tr w:rsidR="004F2CA1" w:rsidRPr="0080545E" w14:paraId="14FF951C" w14:textId="77777777" w:rsidTr="00C05271">
        <w:trPr>
          <w:trHeight w:val="400"/>
        </w:trPr>
        <w:tc>
          <w:tcPr>
            <w:tcW w:w="9990" w:type="dxa"/>
            <w:shd w:val="clear" w:color="auto" w:fill="auto"/>
          </w:tcPr>
          <w:p w14:paraId="4300E936" w14:textId="7240954A" w:rsidR="00DA0901" w:rsidRPr="0080545E" w:rsidRDefault="00B03901" w:rsidP="0080545E">
            <w:pPr>
              <w:spacing w:before="100" w:beforeAutospacing="1" w:after="100" w:afterAutospacing="1" w:line="276" w:lineRule="auto"/>
              <w:jc w:val="both"/>
              <w:rPr>
                <w:rFonts w:eastAsia="Times New Roman"/>
                <w:lang w:val="lt-LT" w:eastAsia="lt-LT"/>
              </w:rPr>
            </w:pPr>
            <w:r w:rsidRPr="0080545E">
              <w:rPr>
                <w:rFonts w:eastAsia="Times New Roman"/>
                <w:lang w:val="lt-LT" w:eastAsia="lt-LT"/>
              </w:rPr>
              <w:t>Atsipraš</w:t>
            </w:r>
            <w:r w:rsidR="00294921" w:rsidRPr="0080545E">
              <w:rPr>
                <w:rFonts w:eastAsia="Times New Roman"/>
                <w:lang w:val="lt-LT" w:eastAsia="lt-LT"/>
              </w:rPr>
              <w:t>ome</w:t>
            </w:r>
            <w:r w:rsidRPr="0080545E">
              <w:rPr>
                <w:rFonts w:eastAsia="Times New Roman"/>
                <w:lang w:val="lt-LT" w:eastAsia="lt-LT"/>
              </w:rPr>
              <w:t xml:space="preserve"> už technin</w:t>
            </w:r>
            <w:r w:rsidR="00627FFB">
              <w:rPr>
                <w:rFonts w:eastAsia="Times New Roman"/>
                <w:lang w:val="lt-LT" w:eastAsia="lt-LT"/>
              </w:rPr>
              <w:t>ę</w:t>
            </w:r>
            <w:r w:rsidRPr="0080545E">
              <w:rPr>
                <w:rFonts w:eastAsia="Times New Roman"/>
                <w:lang w:val="lt-LT" w:eastAsia="lt-LT"/>
              </w:rPr>
              <w:t xml:space="preserve"> klaid</w:t>
            </w:r>
            <w:r w:rsidR="00627FFB">
              <w:rPr>
                <w:rFonts w:eastAsia="Times New Roman"/>
                <w:lang w:val="lt-LT" w:eastAsia="lt-LT"/>
              </w:rPr>
              <w:t>ą</w:t>
            </w:r>
            <w:r w:rsidRPr="0080545E">
              <w:rPr>
                <w:rFonts w:eastAsia="Times New Roman"/>
                <w:lang w:val="lt-LT" w:eastAsia="lt-LT"/>
              </w:rPr>
              <w:t xml:space="preserve"> ir netikslią sakinio formuluotę, kuri atsirado rengiant dokumentą ir pritaikant jį pirkimo procesui. Norime paaiškinti, kad procesai, apie kuriuos kalbama, yra išsamiai aprašyti pačioje Techninėje specifikacijoje</w:t>
            </w:r>
            <w:r w:rsidR="000231EE" w:rsidRPr="0080545E">
              <w:rPr>
                <w:rFonts w:eastAsia="Times New Roman"/>
                <w:lang w:val="lt-LT" w:eastAsia="lt-LT"/>
              </w:rPr>
              <w:t xml:space="preserve"> (toliau – TS)</w:t>
            </w:r>
            <w:r w:rsidRPr="0080545E">
              <w:rPr>
                <w:rFonts w:eastAsia="Times New Roman"/>
                <w:lang w:val="lt-LT" w:eastAsia="lt-LT"/>
              </w:rPr>
              <w:t>, kuri yra laikoma priedu prie pirkimo dokumentų. Suprantame, kad ši netiksli formuluotė galėjo sukelti tam tikrų neaiškumų, tačiau norime patikslinti ir patvirtinti, jog visi su šiuo klausimu susiję procesai yra detaliai ir nuosekliai aprašyti pačiame, su pirkimo dokumentais pateiktame, Techninės specifikacijos dokumente.</w:t>
            </w:r>
          </w:p>
        </w:tc>
      </w:tr>
      <w:tr w:rsidR="004F2CA1" w:rsidRPr="0080545E" w14:paraId="5107DA7D" w14:textId="77777777" w:rsidTr="00F9060E">
        <w:trPr>
          <w:trHeight w:val="287"/>
        </w:trPr>
        <w:tc>
          <w:tcPr>
            <w:tcW w:w="9990" w:type="dxa"/>
            <w:shd w:val="clear" w:color="auto" w:fill="DAE9F7" w:themeFill="text2" w:themeFillTint="1A"/>
          </w:tcPr>
          <w:p w14:paraId="09B071BB" w14:textId="4E7A0AB7" w:rsidR="00C91595" w:rsidRPr="0080545E" w:rsidRDefault="00C91595" w:rsidP="0080545E">
            <w:pPr>
              <w:spacing w:line="276" w:lineRule="auto"/>
              <w:rPr>
                <w:b/>
                <w:bCs/>
                <w:lang w:val="lt-LT"/>
              </w:rPr>
            </w:pPr>
            <w:r w:rsidRPr="0080545E">
              <w:rPr>
                <w:b/>
                <w:bCs/>
                <w:lang w:val="lt-LT"/>
              </w:rPr>
              <w:t xml:space="preserve">Klausimas 2 </w:t>
            </w:r>
            <w:r w:rsidRPr="0080545E">
              <w:rPr>
                <w:lang w:val="lt-LT"/>
              </w:rPr>
              <w:t>(klausimo tekstas netaisytas)</w:t>
            </w:r>
          </w:p>
        </w:tc>
      </w:tr>
      <w:tr w:rsidR="004F2CA1" w:rsidRPr="0080545E" w14:paraId="3978B504" w14:textId="77777777" w:rsidTr="00200A38">
        <w:trPr>
          <w:trHeight w:val="530"/>
        </w:trPr>
        <w:tc>
          <w:tcPr>
            <w:tcW w:w="9990" w:type="dxa"/>
          </w:tcPr>
          <w:p w14:paraId="3555D928" w14:textId="19179FCA" w:rsidR="00C91595" w:rsidRPr="0080545E" w:rsidRDefault="00F54488"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t>1 paveikslas „Modernizuotos Sistemos loginė architektūra“: Atrodo, kad schemoje pavaizduoti komponentai neatitinka aprašomo etapo modernizacijos, o yra pirmo etapo.</w:t>
            </w:r>
          </w:p>
        </w:tc>
      </w:tr>
      <w:tr w:rsidR="004F2CA1" w:rsidRPr="0080545E" w14:paraId="32830050" w14:textId="77777777" w:rsidTr="00F9060E">
        <w:trPr>
          <w:trHeight w:val="233"/>
        </w:trPr>
        <w:tc>
          <w:tcPr>
            <w:tcW w:w="9990" w:type="dxa"/>
            <w:shd w:val="clear" w:color="auto" w:fill="DAE9F7" w:themeFill="text2" w:themeFillTint="1A"/>
          </w:tcPr>
          <w:p w14:paraId="66C519FE" w14:textId="77777777" w:rsidR="00C91595" w:rsidRPr="0080545E" w:rsidRDefault="00C91595" w:rsidP="0080545E">
            <w:pPr>
              <w:spacing w:line="276" w:lineRule="auto"/>
              <w:jc w:val="both"/>
              <w:rPr>
                <w:lang w:val="lt-LT"/>
              </w:rPr>
            </w:pPr>
            <w:r w:rsidRPr="0080545E">
              <w:rPr>
                <w:b/>
                <w:bCs/>
                <w:lang w:val="lt-LT"/>
              </w:rPr>
              <w:t>Atsakymas</w:t>
            </w:r>
          </w:p>
        </w:tc>
      </w:tr>
      <w:tr w:rsidR="004F2CA1" w:rsidRPr="0080545E" w14:paraId="56352648" w14:textId="77777777" w:rsidTr="00C05271">
        <w:trPr>
          <w:trHeight w:val="366"/>
        </w:trPr>
        <w:tc>
          <w:tcPr>
            <w:tcW w:w="9990" w:type="dxa"/>
          </w:tcPr>
          <w:p w14:paraId="06CBDEF6" w14:textId="4490FDB1" w:rsidR="00820408" w:rsidRPr="0080545E" w:rsidRDefault="000471A3" w:rsidP="0080545E">
            <w:pPr>
              <w:spacing w:before="100" w:beforeAutospacing="1" w:after="100" w:afterAutospacing="1" w:line="276" w:lineRule="auto"/>
              <w:jc w:val="both"/>
              <w:rPr>
                <w:b/>
                <w:bCs/>
                <w:lang w:val="lt-LT"/>
              </w:rPr>
            </w:pPr>
            <w:r w:rsidRPr="0080545E">
              <w:rPr>
                <w:rFonts w:eastAsia="Times New Roman"/>
                <w:lang w:val="lt-LT" w:eastAsia="lt-LT"/>
              </w:rPr>
              <w:t xml:space="preserve">Atsiprašome už </w:t>
            </w:r>
            <w:r w:rsidR="000231EE" w:rsidRPr="0080545E">
              <w:rPr>
                <w:rFonts w:eastAsia="Times New Roman"/>
                <w:lang w:val="lt-LT" w:eastAsia="lt-LT"/>
              </w:rPr>
              <w:t>Techninės specifikacijos</w:t>
            </w:r>
            <w:r w:rsidRPr="0080545E">
              <w:rPr>
                <w:rFonts w:eastAsia="Times New Roman"/>
                <w:lang w:val="lt-LT" w:eastAsia="lt-LT"/>
              </w:rPr>
              <w:t xml:space="preserve"> re</w:t>
            </w:r>
            <w:r w:rsidR="000231EE" w:rsidRPr="0080545E">
              <w:rPr>
                <w:rFonts w:eastAsia="Times New Roman"/>
                <w:lang w:val="lt-LT" w:eastAsia="lt-LT"/>
              </w:rPr>
              <w:t xml:space="preserve">ngimo neatitiktį. TS </w:t>
            </w:r>
            <w:r w:rsidRPr="0080545E">
              <w:rPr>
                <w:rFonts w:eastAsia="Times New Roman"/>
                <w:lang w:val="lt-LT" w:eastAsia="lt-LT"/>
              </w:rPr>
              <w:t xml:space="preserve">1 paveiksle „Modernizuotos Sistemos loginė architektūra“ iš tiesų buvo pateikta klaidinga pirmojo etapo schema, kuri neteisingai atspindi šio, antrojo, modernizacijos etapo sprendimus. </w:t>
            </w:r>
            <w:r w:rsidR="00B33323" w:rsidRPr="0080545E">
              <w:rPr>
                <w:rFonts w:eastAsia="Times New Roman"/>
                <w:lang w:val="lt-LT" w:eastAsia="lt-LT"/>
              </w:rPr>
              <w:t>P</w:t>
            </w:r>
            <w:r w:rsidRPr="0080545E">
              <w:rPr>
                <w:rFonts w:eastAsia="Times New Roman"/>
                <w:lang w:val="lt-LT" w:eastAsia="lt-LT"/>
              </w:rPr>
              <w:t>atvirtin</w:t>
            </w:r>
            <w:r w:rsidR="00B33323" w:rsidRPr="0080545E">
              <w:rPr>
                <w:rFonts w:eastAsia="Times New Roman"/>
                <w:lang w:val="lt-LT" w:eastAsia="lt-LT"/>
              </w:rPr>
              <w:t>ame</w:t>
            </w:r>
            <w:r w:rsidRPr="0080545E">
              <w:rPr>
                <w:rFonts w:eastAsia="Times New Roman"/>
                <w:lang w:val="lt-LT" w:eastAsia="lt-LT"/>
              </w:rPr>
              <w:t>, kad visas Techninės specifikacijos aprašymas bei pateikta informacija yra skirta būtent antrajam etapui. Klaida buvo tik schemos atvaizdavimo dalyje, o visa likusi dokumento informacija tiksliai atitinka antr</w:t>
            </w:r>
            <w:r w:rsidR="00757859" w:rsidRPr="0080545E">
              <w:rPr>
                <w:rFonts w:eastAsia="Times New Roman"/>
                <w:lang w:val="lt-LT" w:eastAsia="lt-LT"/>
              </w:rPr>
              <w:t>a</w:t>
            </w:r>
            <w:r w:rsidRPr="0080545E">
              <w:rPr>
                <w:rFonts w:eastAsia="Times New Roman"/>
                <w:lang w:val="lt-LT" w:eastAsia="lt-LT"/>
              </w:rPr>
              <w:t>j</w:t>
            </w:r>
            <w:r w:rsidR="00757859" w:rsidRPr="0080545E">
              <w:rPr>
                <w:rFonts w:eastAsia="Times New Roman"/>
                <w:lang w:val="lt-LT" w:eastAsia="lt-LT"/>
              </w:rPr>
              <w:t>am</w:t>
            </w:r>
            <w:r w:rsidRPr="0080545E">
              <w:rPr>
                <w:rFonts w:eastAsia="Times New Roman"/>
                <w:lang w:val="lt-LT" w:eastAsia="lt-LT"/>
              </w:rPr>
              <w:t xml:space="preserve"> etap</w:t>
            </w:r>
            <w:r w:rsidR="00757859" w:rsidRPr="0080545E">
              <w:rPr>
                <w:rFonts w:eastAsia="Times New Roman"/>
                <w:lang w:val="lt-LT" w:eastAsia="lt-LT"/>
              </w:rPr>
              <w:t>ui nustatytus</w:t>
            </w:r>
            <w:r w:rsidRPr="0080545E">
              <w:rPr>
                <w:rFonts w:eastAsia="Times New Roman"/>
                <w:lang w:val="lt-LT" w:eastAsia="lt-LT"/>
              </w:rPr>
              <w:t xml:space="preserve"> reikalavimus. Atsižvelgdami į šį pastebėjimą, pridedame atnaujintą 1 paveikslą „Modernizuotos Sistemos loginė architektūra“, kuriame pateikta teisinga schema, atitinkanti antrojo etapo modernizacijos sprendimus.</w:t>
            </w:r>
          </w:p>
        </w:tc>
      </w:tr>
      <w:tr w:rsidR="004F2CA1" w:rsidRPr="0080545E" w14:paraId="5DC6BCC3" w14:textId="77777777" w:rsidTr="00F9060E">
        <w:trPr>
          <w:trHeight w:val="233"/>
        </w:trPr>
        <w:tc>
          <w:tcPr>
            <w:tcW w:w="9990" w:type="dxa"/>
            <w:shd w:val="clear" w:color="auto" w:fill="DAE9F7" w:themeFill="text2" w:themeFillTint="1A"/>
          </w:tcPr>
          <w:p w14:paraId="71156B6A" w14:textId="46E8D635" w:rsidR="00C91595" w:rsidRPr="0080545E" w:rsidRDefault="00C91595" w:rsidP="0080545E">
            <w:pPr>
              <w:spacing w:line="276" w:lineRule="auto"/>
              <w:rPr>
                <w:b/>
                <w:bCs/>
                <w:lang w:val="lt-LT"/>
              </w:rPr>
            </w:pPr>
            <w:r w:rsidRPr="0080545E">
              <w:rPr>
                <w:b/>
                <w:bCs/>
                <w:lang w:val="lt-LT"/>
              </w:rPr>
              <w:t xml:space="preserve">Klausimas 3 </w:t>
            </w:r>
            <w:r w:rsidRPr="0080545E">
              <w:rPr>
                <w:lang w:val="lt-LT"/>
              </w:rPr>
              <w:t>(klausimo tekstas netaisytas)</w:t>
            </w:r>
          </w:p>
        </w:tc>
      </w:tr>
      <w:tr w:rsidR="004F2CA1" w:rsidRPr="0080545E" w14:paraId="5A8B95DC" w14:textId="77777777" w:rsidTr="007924FF">
        <w:trPr>
          <w:trHeight w:val="602"/>
        </w:trPr>
        <w:tc>
          <w:tcPr>
            <w:tcW w:w="9990" w:type="dxa"/>
          </w:tcPr>
          <w:p w14:paraId="2C447D67" w14:textId="4BA7F8E0" w:rsidR="00C91595" w:rsidRPr="0080545E" w:rsidRDefault="00D54D3C"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t>FR-64: Ar pagal šį reikalavimą reikia tik pasinaudoti esamu VIISP funkcionalumu, pvz., mokėjimo komponentu, prisijungimo, ar turi būti atlikta pilna integracija su VIISP?</w:t>
            </w:r>
          </w:p>
        </w:tc>
      </w:tr>
      <w:tr w:rsidR="004F2CA1" w:rsidRPr="0080545E" w14:paraId="171D7823" w14:textId="77777777" w:rsidTr="00F9060E">
        <w:trPr>
          <w:trHeight w:val="224"/>
        </w:trPr>
        <w:tc>
          <w:tcPr>
            <w:tcW w:w="9990" w:type="dxa"/>
            <w:shd w:val="clear" w:color="auto" w:fill="DAE9F7" w:themeFill="text2" w:themeFillTint="1A"/>
          </w:tcPr>
          <w:p w14:paraId="3800F0AA" w14:textId="77777777" w:rsidR="00C91595" w:rsidRPr="0080545E" w:rsidRDefault="00C91595" w:rsidP="0080545E">
            <w:pPr>
              <w:spacing w:line="276" w:lineRule="auto"/>
              <w:jc w:val="both"/>
              <w:rPr>
                <w:lang w:val="lt-LT"/>
              </w:rPr>
            </w:pPr>
            <w:r w:rsidRPr="0080545E">
              <w:rPr>
                <w:b/>
                <w:bCs/>
                <w:lang w:val="lt-LT"/>
              </w:rPr>
              <w:t>Atsakymas</w:t>
            </w:r>
          </w:p>
        </w:tc>
      </w:tr>
      <w:tr w:rsidR="004F2CA1" w:rsidRPr="0080545E" w14:paraId="75D4D765" w14:textId="77777777" w:rsidTr="00C05271">
        <w:trPr>
          <w:trHeight w:val="366"/>
        </w:trPr>
        <w:tc>
          <w:tcPr>
            <w:tcW w:w="9990" w:type="dxa"/>
          </w:tcPr>
          <w:p w14:paraId="19192CB5" w14:textId="3FCD8CF9" w:rsidR="00653CF8" w:rsidRPr="0080545E" w:rsidRDefault="001F768E" w:rsidP="0080545E">
            <w:pPr>
              <w:spacing w:line="276" w:lineRule="auto"/>
              <w:jc w:val="both"/>
              <w:rPr>
                <w:b/>
                <w:bCs/>
                <w:lang w:val="lt-LT"/>
              </w:rPr>
            </w:pPr>
            <w:r w:rsidRPr="0080545E">
              <w:rPr>
                <w:rFonts w:eastAsia="Times New Roman"/>
                <w:lang w:val="lt-LT" w:eastAsia="lt-LT"/>
              </w:rPr>
              <w:lastRenderedPageBreak/>
              <w:t>Atsak</w:t>
            </w:r>
            <w:r w:rsidR="00B359E7" w:rsidRPr="0080545E">
              <w:rPr>
                <w:rFonts w:eastAsia="Times New Roman"/>
                <w:lang w:val="lt-LT" w:eastAsia="lt-LT"/>
              </w:rPr>
              <w:t xml:space="preserve">ydami </w:t>
            </w:r>
            <w:r w:rsidRPr="0080545E">
              <w:rPr>
                <w:rFonts w:eastAsia="Times New Roman"/>
                <w:lang w:val="lt-LT" w:eastAsia="lt-LT"/>
              </w:rPr>
              <w:t>į Jūsų klausimą, pagal FR-64 reikalavimą reikalinga pilna integracija su nurodytu VIISP mokėjimų komponentu. Prisijungimo ir naudotojo identifikavimo komponentas turėtų vykti naudojant integracinę sąsają su VIISP autentifikacijos paslauga.</w:t>
            </w:r>
          </w:p>
        </w:tc>
      </w:tr>
      <w:tr w:rsidR="004F2CA1" w:rsidRPr="0080545E" w14:paraId="2A29917C" w14:textId="77777777" w:rsidTr="0072081C">
        <w:trPr>
          <w:trHeight w:val="368"/>
        </w:trPr>
        <w:tc>
          <w:tcPr>
            <w:tcW w:w="9990" w:type="dxa"/>
            <w:shd w:val="clear" w:color="auto" w:fill="DAE9F7" w:themeFill="text2" w:themeFillTint="1A"/>
          </w:tcPr>
          <w:p w14:paraId="68AC0430" w14:textId="240230FC" w:rsidR="00C91595" w:rsidRPr="0080545E" w:rsidRDefault="00C91595" w:rsidP="0080545E">
            <w:pPr>
              <w:spacing w:line="276" w:lineRule="auto"/>
              <w:rPr>
                <w:b/>
                <w:bCs/>
                <w:lang w:val="lt-LT"/>
              </w:rPr>
            </w:pPr>
            <w:r w:rsidRPr="0080545E">
              <w:rPr>
                <w:b/>
                <w:bCs/>
                <w:lang w:val="lt-LT"/>
              </w:rPr>
              <w:t xml:space="preserve">Klausimas </w:t>
            </w:r>
            <w:r w:rsidR="00F80BED" w:rsidRPr="0080545E">
              <w:rPr>
                <w:b/>
                <w:bCs/>
                <w:lang w:val="lt-LT"/>
              </w:rPr>
              <w:t>4</w:t>
            </w:r>
            <w:r w:rsidRPr="0080545E">
              <w:rPr>
                <w:b/>
                <w:bCs/>
                <w:lang w:val="lt-LT"/>
              </w:rPr>
              <w:t xml:space="preserve"> </w:t>
            </w:r>
            <w:r w:rsidRPr="0080545E">
              <w:rPr>
                <w:lang w:val="lt-LT"/>
              </w:rPr>
              <w:t>(klausimo tekstas netaisytas)</w:t>
            </w:r>
          </w:p>
        </w:tc>
      </w:tr>
      <w:tr w:rsidR="004F2CA1" w:rsidRPr="0080545E" w14:paraId="19306A0E" w14:textId="77777777" w:rsidTr="00C05271">
        <w:trPr>
          <w:trHeight w:val="750"/>
        </w:trPr>
        <w:tc>
          <w:tcPr>
            <w:tcW w:w="9990" w:type="dxa"/>
          </w:tcPr>
          <w:p w14:paraId="17BF190B" w14:textId="21973CEF" w:rsidR="00C91595" w:rsidRPr="0080545E" w:rsidRDefault="00932337"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t>FR-67 – FR-70: Reikalavimai apibrėžia DVS (dokumentų valdymo sistemos) funkcionalumą. Patikslinkite ar reikalavimai numato pasinaudoti DVS funkcionalumu (jei taip kokiu), ar jie numato, kad šį funkcionalumą reikia atkartoti (perkurti) VAPRIS sistemoje?</w:t>
            </w:r>
          </w:p>
        </w:tc>
      </w:tr>
      <w:tr w:rsidR="004F2CA1" w:rsidRPr="0080545E" w14:paraId="3D773754" w14:textId="77777777" w:rsidTr="00F9060E">
        <w:trPr>
          <w:trHeight w:val="287"/>
        </w:trPr>
        <w:tc>
          <w:tcPr>
            <w:tcW w:w="9990" w:type="dxa"/>
            <w:shd w:val="clear" w:color="auto" w:fill="DAE9F7" w:themeFill="text2" w:themeFillTint="1A"/>
          </w:tcPr>
          <w:p w14:paraId="71615142" w14:textId="77777777" w:rsidR="00C91595" w:rsidRPr="0080545E" w:rsidRDefault="00C91595" w:rsidP="0080545E">
            <w:pPr>
              <w:spacing w:line="276" w:lineRule="auto"/>
              <w:jc w:val="both"/>
              <w:rPr>
                <w:lang w:val="lt-LT"/>
              </w:rPr>
            </w:pPr>
            <w:r w:rsidRPr="0080545E">
              <w:rPr>
                <w:b/>
                <w:bCs/>
                <w:lang w:val="lt-LT"/>
              </w:rPr>
              <w:t>Atsakymas</w:t>
            </w:r>
          </w:p>
        </w:tc>
      </w:tr>
      <w:tr w:rsidR="0072081C" w:rsidRPr="0080545E" w14:paraId="65A92BA2" w14:textId="77777777" w:rsidTr="00C05271">
        <w:trPr>
          <w:trHeight w:val="366"/>
        </w:trPr>
        <w:tc>
          <w:tcPr>
            <w:tcW w:w="9990" w:type="dxa"/>
          </w:tcPr>
          <w:p w14:paraId="01CB0C72" w14:textId="25FBC4DD" w:rsidR="0072081C" w:rsidRPr="0080545E" w:rsidRDefault="0072081C" w:rsidP="0080545E">
            <w:pPr>
              <w:spacing w:line="276" w:lineRule="auto"/>
              <w:jc w:val="both"/>
              <w:rPr>
                <w:b/>
                <w:bCs/>
              </w:rPr>
            </w:pPr>
            <w:r w:rsidRPr="0080545E">
              <w:rPr>
                <w:rFonts w:eastAsia="Times New Roman"/>
                <w:lang w:val="lt-LT" w:eastAsia="lt-LT"/>
              </w:rPr>
              <w:t>Atsakydami į Jūsų klausimą, norime patikslinti, kad pagal FR-67 – FR-70 reikalavimus šie funkcionalumai turi būti pilnai realizuoti VAPRIS sistemoje. Tai reiškia, kad šį funkcionalumą būtina atkartoti (perkurti) VAPRIS sistemoje.</w:t>
            </w:r>
          </w:p>
        </w:tc>
      </w:tr>
      <w:tr w:rsidR="004F2CA1" w:rsidRPr="0080545E" w14:paraId="5A406E3E" w14:textId="77777777" w:rsidTr="00F9060E">
        <w:trPr>
          <w:trHeight w:val="197"/>
        </w:trPr>
        <w:tc>
          <w:tcPr>
            <w:tcW w:w="9990" w:type="dxa"/>
            <w:shd w:val="clear" w:color="auto" w:fill="DAE9F7" w:themeFill="text2" w:themeFillTint="1A"/>
          </w:tcPr>
          <w:p w14:paraId="03BF3AD3" w14:textId="0EE2C3BC" w:rsidR="00932337" w:rsidRPr="0080545E" w:rsidRDefault="00932337" w:rsidP="0080545E">
            <w:pPr>
              <w:spacing w:line="276" w:lineRule="auto"/>
              <w:rPr>
                <w:b/>
                <w:bCs/>
                <w:lang w:val="lt-LT"/>
              </w:rPr>
            </w:pPr>
            <w:r w:rsidRPr="0080545E">
              <w:rPr>
                <w:b/>
                <w:bCs/>
                <w:lang w:val="lt-LT"/>
              </w:rPr>
              <w:t xml:space="preserve">Klausimas 5 </w:t>
            </w:r>
            <w:r w:rsidRPr="0080545E">
              <w:rPr>
                <w:lang w:val="lt-LT"/>
              </w:rPr>
              <w:t>(klausimo tekstas netaisytas)</w:t>
            </w:r>
          </w:p>
        </w:tc>
      </w:tr>
      <w:tr w:rsidR="004F2CA1" w:rsidRPr="0080545E" w14:paraId="3D105F06" w14:textId="77777777" w:rsidTr="00F9060E">
        <w:trPr>
          <w:trHeight w:val="548"/>
        </w:trPr>
        <w:tc>
          <w:tcPr>
            <w:tcW w:w="9990" w:type="dxa"/>
          </w:tcPr>
          <w:p w14:paraId="74D22633" w14:textId="463BAA00" w:rsidR="00932337" w:rsidRPr="0080545E" w:rsidRDefault="00C9061E"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t>FR-64 (mokėjimo komponento klausimas): – Ar turi būti naudojamas jau sukurtas VIISP mokėjimo komponentas? Jei taip kada galima tikėtis veikiančio komponento?</w:t>
            </w:r>
          </w:p>
        </w:tc>
      </w:tr>
      <w:tr w:rsidR="004F2CA1" w:rsidRPr="0080545E" w14:paraId="62A0E774" w14:textId="77777777" w:rsidTr="00F9060E">
        <w:trPr>
          <w:trHeight w:val="242"/>
        </w:trPr>
        <w:tc>
          <w:tcPr>
            <w:tcW w:w="9990" w:type="dxa"/>
            <w:shd w:val="clear" w:color="auto" w:fill="DAE9F7" w:themeFill="text2" w:themeFillTint="1A"/>
          </w:tcPr>
          <w:p w14:paraId="381A439E" w14:textId="77777777" w:rsidR="00932337" w:rsidRPr="0080545E" w:rsidRDefault="00932337" w:rsidP="0080545E">
            <w:pPr>
              <w:spacing w:line="276" w:lineRule="auto"/>
              <w:jc w:val="both"/>
              <w:rPr>
                <w:lang w:val="lt-LT"/>
              </w:rPr>
            </w:pPr>
            <w:r w:rsidRPr="0080545E">
              <w:rPr>
                <w:b/>
                <w:bCs/>
                <w:lang w:val="lt-LT"/>
              </w:rPr>
              <w:t>Atsakymas</w:t>
            </w:r>
          </w:p>
        </w:tc>
      </w:tr>
      <w:tr w:rsidR="004F2CA1" w:rsidRPr="0080545E" w14:paraId="08F8C1AF" w14:textId="77777777" w:rsidTr="008F790D">
        <w:trPr>
          <w:trHeight w:val="366"/>
        </w:trPr>
        <w:tc>
          <w:tcPr>
            <w:tcW w:w="9990" w:type="dxa"/>
            <w:shd w:val="clear" w:color="auto" w:fill="FFFFFF" w:themeFill="background1"/>
          </w:tcPr>
          <w:p w14:paraId="29BE6A17" w14:textId="57236A1C" w:rsidR="006A176A" w:rsidRPr="0080545E" w:rsidRDefault="008F790D" w:rsidP="0080545E">
            <w:pPr>
              <w:spacing w:before="100" w:beforeAutospacing="1" w:after="100" w:afterAutospacing="1" w:line="276" w:lineRule="auto"/>
              <w:jc w:val="both"/>
              <w:rPr>
                <w:rFonts w:eastAsia="Times New Roman"/>
                <w:lang w:val="lt-LT" w:eastAsia="lt-LT"/>
              </w:rPr>
            </w:pPr>
            <w:r w:rsidRPr="0080545E">
              <w:rPr>
                <w:rFonts w:eastAsia="Times New Roman"/>
                <w:lang w:val="lt-LT" w:eastAsia="lt-LT"/>
              </w:rPr>
              <w:t xml:space="preserve">Atsakydami į Jūsų klausimą, </w:t>
            </w:r>
            <w:r w:rsidR="009F6D6E" w:rsidRPr="0080545E">
              <w:rPr>
                <w:rFonts w:eastAsia="Times New Roman"/>
                <w:lang w:val="lt-LT" w:eastAsia="lt-LT"/>
              </w:rPr>
              <w:t>pažymime</w:t>
            </w:r>
            <w:r w:rsidRPr="0080545E">
              <w:rPr>
                <w:rFonts w:eastAsia="Times New Roman"/>
                <w:lang w:val="lt-LT" w:eastAsia="lt-LT"/>
              </w:rPr>
              <w:t>, kad VIISP (Valstybės informacinių išteklių sąveikumo platforma) mokėjimo komponentas jau yra sukurtas ir veikiantis (VSSA informacija apie VIISP mokėjimo komponentą pateikta Elektroninių valdžios vartų portale). Šis komponentas teikia centralizuotas paslaugas, skirtas elektroninių paslaugų kūrimui, teikimui ir stebėsenai, įskaitant mokėjimų funkcionalumą. Pagal FR-64 reikalavimą, reikalinga pilna integracija su nurodytu VIISP mokėjimo komponentu.</w:t>
            </w:r>
          </w:p>
        </w:tc>
      </w:tr>
      <w:tr w:rsidR="004F2CA1" w:rsidRPr="0080545E" w14:paraId="7666DD91" w14:textId="77777777" w:rsidTr="00F9060E">
        <w:trPr>
          <w:trHeight w:val="278"/>
        </w:trPr>
        <w:tc>
          <w:tcPr>
            <w:tcW w:w="9990" w:type="dxa"/>
            <w:shd w:val="clear" w:color="auto" w:fill="DAE9F7" w:themeFill="text2" w:themeFillTint="1A"/>
          </w:tcPr>
          <w:p w14:paraId="16347B32" w14:textId="2896C7EB" w:rsidR="00932337" w:rsidRPr="0080545E" w:rsidRDefault="00932337" w:rsidP="0080545E">
            <w:pPr>
              <w:spacing w:line="276" w:lineRule="auto"/>
              <w:rPr>
                <w:b/>
                <w:bCs/>
                <w:lang w:val="lt-LT"/>
              </w:rPr>
            </w:pPr>
            <w:r w:rsidRPr="0080545E">
              <w:rPr>
                <w:b/>
                <w:bCs/>
                <w:lang w:val="lt-LT"/>
              </w:rPr>
              <w:t xml:space="preserve">Klausimas 6 </w:t>
            </w:r>
            <w:r w:rsidRPr="0080545E">
              <w:rPr>
                <w:lang w:val="lt-LT"/>
              </w:rPr>
              <w:t>(klausimo tekstas netaisytas)</w:t>
            </w:r>
          </w:p>
        </w:tc>
      </w:tr>
      <w:tr w:rsidR="004F2CA1" w:rsidRPr="0080545E" w14:paraId="65890C32" w14:textId="77777777" w:rsidTr="00C05271">
        <w:trPr>
          <w:trHeight w:val="750"/>
        </w:trPr>
        <w:tc>
          <w:tcPr>
            <w:tcW w:w="9990" w:type="dxa"/>
          </w:tcPr>
          <w:p w14:paraId="634EEA8D" w14:textId="53F19FD2" w:rsidR="00932337" w:rsidRPr="0080545E" w:rsidRDefault="00722CCA"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t>FR-83.2.1:</w:t>
            </w:r>
            <w:r w:rsidRPr="0080545E">
              <w:rPr>
                <w:rFonts w:eastAsia="Times New Roman"/>
                <w:lang w:val="lt-LT" w:eastAsia="lt-LT"/>
              </w:rPr>
              <w:br/>
            </w:r>
            <w:r w:rsidRPr="0080545E">
              <w:rPr>
                <w:rFonts w:eastAsia="Times New Roman"/>
                <w:lang w:val="lt-LT" w:eastAsia="lt-LT"/>
              </w:rPr>
              <w:t> </w:t>
            </w:r>
            <w:r w:rsidRPr="0080545E">
              <w:rPr>
                <w:rFonts w:eastAsia="Times New Roman"/>
                <w:lang w:val="lt-LT" w:eastAsia="lt-LT"/>
              </w:rPr>
              <w:t>– Minima, kad turi būti naudojamas VIISP prisijungimo mechanizmas. Ar šio mechanizmo pagrindu, kito etapo metu kuriamam autorizacijos sprendimui, galima pasinaudoti esamu sprendimu, ar reikės daryti naują?</w:t>
            </w:r>
          </w:p>
        </w:tc>
      </w:tr>
      <w:tr w:rsidR="004F2CA1" w:rsidRPr="0080545E" w14:paraId="53B79C59" w14:textId="77777777" w:rsidTr="00F9060E">
        <w:trPr>
          <w:trHeight w:val="233"/>
        </w:trPr>
        <w:tc>
          <w:tcPr>
            <w:tcW w:w="9990" w:type="dxa"/>
            <w:shd w:val="clear" w:color="auto" w:fill="DAE9F7" w:themeFill="text2" w:themeFillTint="1A"/>
          </w:tcPr>
          <w:p w14:paraId="55A5C65C" w14:textId="77777777" w:rsidR="00932337" w:rsidRPr="0080545E" w:rsidRDefault="00932337" w:rsidP="0080545E">
            <w:pPr>
              <w:spacing w:line="276" w:lineRule="auto"/>
              <w:jc w:val="both"/>
              <w:rPr>
                <w:lang w:val="lt-LT"/>
              </w:rPr>
            </w:pPr>
            <w:r w:rsidRPr="0080545E">
              <w:rPr>
                <w:b/>
                <w:bCs/>
                <w:lang w:val="lt-LT"/>
              </w:rPr>
              <w:t>Atsakymas</w:t>
            </w:r>
          </w:p>
        </w:tc>
      </w:tr>
      <w:tr w:rsidR="004F2CA1" w:rsidRPr="0080545E" w14:paraId="2E6333FD" w14:textId="77777777" w:rsidTr="00C05271">
        <w:trPr>
          <w:trHeight w:val="366"/>
        </w:trPr>
        <w:tc>
          <w:tcPr>
            <w:tcW w:w="9990" w:type="dxa"/>
          </w:tcPr>
          <w:p w14:paraId="452B6F8C" w14:textId="3C42F652" w:rsidR="009F6D6E" w:rsidRPr="0080545E" w:rsidRDefault="000804F8" w:rsidP="0080545E">
            <w:pPr>
              <w:spacing w:before="100" w:beforeAutospacing="1" w:after="100" w:afterAutospacing="1" w:line="276" w:lineRule="auto"/>
              <w:jc w:val="both"/>
              <w:rPr>
                <w:b/>
                <w:bCs/>
                <w:lang w:val="lt-LT"/>
              </w:rPr>
            </w:pPr>
            <w:r w:rsidRPr="0080545E">
              <w:rPr>
                <w:rFonts w:eastAsia="Times New Roman"/>
                <w:lang w:val="lt-LT" w:eastAsia="lt-LT"/>
              </w:rPr>
              <w:t>Atsakydami į Jūsų klausimą dėl FR-83.2.1, norime paaiškinti, kad pagal reikalavimus, I etapo metu sukurto prisijungimo mechanizmo panaudojimas ir papildymas turi būti užtikrintas, kiek tai reikalinga II ir kitų etapų reikalavimų įgyvendinimui. Tai reiškia, kad turi būti užtikrintas VIISP prisijungimo mechanizmo panaudojimas ir papildymas, kad būtų tinkamai įgyvendinti II etapo reikalavimai kito etapo metu kuriamam autorizacijos sprendimui ir užtikrintas sklandus sistemos funkcionavimas.</w:t>
            </w:r>
          </w:p>
        </w:tc>
      </w:tr>
      <w:tr w:rsidR="004F2CA1" w:rsidRPr="0080545E" w14:paraId="46A3522F" w14:textId="77777777" w:rsidTr="00F9060E">
        <w:trPr>
          <w:trHeight w:val="260"/>
        </w:trPr>
        <w:tc>
          <w:tcPr>
            <w:tcW w:w="9990" w:type="dxa"/>
            <w:shd w:val="clear" w:color="auto" w:fill="DAE9F7" w:themeFill="text2" w:themeFillTint="1A"/>
          </w:tcPr>
          <w:p w14:paraId="3B805E02" w14:textId="7D920BC7" w:rsidR="00932337" w:rsidRPr="0080545E" w:rsidRDefault="00932337" w:rsidP="0080545E">
            <w:pPr>
              <w:spacing w:line="276" w:lineRule="auto"/>
              <w:rPr>
                <w:b/>
                <w:bCs/>
                <w:lang w:val="lt-LT"/>
              </w:rPr>
            </w:pPr>
            <w:r w:rsidRPr="0080545E">
              <w:rPr>
                <w:b/>
                <w:bCs/>
                <w:lang w:val="lt-LT"/>
              </w:rPr>
              <w:t xml:space="preserve">Klausimas 7 </w:t>
            </w:r>
            <w:r w:rsidRPr="0080545E">
              <w:rPr>
                <w:lang w:val="lt-LT"/>
              </w:rPr>
              <w:t>(klausimo tekstas netaisytas)</w:t>
            </w:r>
          </w:p>
        </w:tc>
      </w:tr>
      <w:tr w:rsidR="004F2CA1" w:rsidRPr="0080545E" w14:paraId="1F62BD86" w14:textId="77777777" w:rsidTr="00B87903">
        <w:trPr>
          <w:trHeight w:val="539"/>
        </w:trPr>
        <w:tc>
          <w:tcPr>
            <w:tcW w:w="9990" w:type="dxa"/>
          </w:tcPr>
          <w:p w14:paraId="0294BEA7" w14:textId="1373DFD5" w:rsidR="00932337" w:rsidRPr="0080545E" w:rsidRDefault="00EE5468"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t>FR-85 iki FR-94: – Ar integracijų</w:t>
            </w:r>
            <w:r w:rsidR="00B87903" w:rsidRPr="0080545E">
              <w:rPr>
                <w:rFonts w:eastAsia="Times New Roman"/>
                <w:lang w:val="lt-LT" w:eastAsia="lt-LT"/>
              </w:rPr>
              <w:t xml:space="preserve"> </w:t>
            </w:r>
            <w:r w:rsidRPr="0080545E">
              <w:rPr>
                <w:rFonts w:eastAsia="Times New Roman"/>
                <w:lang w:val="lt-LT" w:eastAsia="lt-LT"/>
              </w:rPr>
              <w:t>komponentai, apibrėžti šiomis dalimis, jau bus sukurti ir bus galima jais pasinaudoti, ar jų kūrimas numatytas kaip šio etapo darbai?</w:t>
            </w:r>
          </w:p>
        </w:tc>
      </w:tr>
      <w:tr w:rsidR="004F2CA1" w:rsidRPr="0080545E" w14:paraId="633357C1" w14:textId="77777777" w:rsidTr="00F9060E">
        <w:trPr>
          <w:trHeight w:val="305"/>
        </w:trPr>
        <w:tc>
          <w:tcPr>
            <w:tcW w:w="9990" w:type="dxa"/>
            <w:shd w:val="clear" w:color="auto" w:fill="DAE9F7" w:themeFill="text2" w:themeFillTint="1A"/>
          </w:tcPr>
          <w:p w14:paraId="2A0D81A5" w14:textId="77777777" w:rsidR="00932337" w:rsidRPr="0080545E" w:rsidRDefault="00932337" w:rsidP="0080545E">
            <w:pPr>
              <w:spacing w:line="276" w:lineRule="auto"/>
              <w:jc w:val="both"/>
              <w:rPr>
                <w:lang w:val="lt-LT"/>
              </w:rPr>
            </w:pPr>
            <w:r w:rsidRPr="0080545E">
              <w:rPr>
                <w:b/>
                <w:bCs/>
                <w:lang w:val="lt-LT"/>
              </w:rPr>
              <w:t>Atsakymas</w:t>
            </w:r>
          </w:p>
        </w:tc>
      </w:tr>
      <w:tr w:rsidR="004F2CA1" w:rsidRPr="0080545E" w14:paraId="18416DD9" w14:textId="77777777" w:rsidTr="00C05271">
        <w:trPr>
          <w:trHeight w:val="366"/>
        </w:trPr>
        <w:tc>
          <w:tcPr>
            <w:tcW w:w="9990" w:type="dxa"/>
          </w:tcPr>
          <w:p w14:paraId="1BE4168A" w14:textId="7B729092" w:rsidR="00B87903" w:rsidRPr="0080545E" w:rsidRDefault="00B87903" w:rsidP="0080545E">
            <w:pPr>
              <w:spacing w:before="100" w:beforeAutospacing="1" w:after="100" w:afterAutospacing="1" w:line="276" w:lineRule="auto"/>
              <w:jc w:val="both"/>
              <w:rPr>
                <w:b/>
                <w:bCs/>
                <w:lang w:val="lt-LT"/>
              </w:rPr>
            </w:pPr>
            <w:r w:rsidRPr="0080545E">
              <w:rPr>
                <w:rFonts w:eastAsia="Times New Roman"/>
                <w:lang w:val="lt-LT" w:eastAsia="lt-LT"/>
              </w:rPr>
              <w:t>Atsakydami į Jūsų klausimą, paaiškiname, kad integracinių sąsajų kūrimas yra numatytas kaip šio etapo darbų dalis. Tai reiškia, kad integracijų komponentai, apibrėžti FR-85 iki FR-94, turės būti sukurti ir įgyvendinti būtent šiame projekto etape, siekiant užtikrinti sklandžią sistemos veiklą ir integracijų funkcionalumą.</w:t>
            </w:r>
          </w:p>
        </w:tc>
      </w:tr>
      <w:tr w:rsidR="004F2CA1" w:rsidRPr="0080545E" w14:paraId="7552F37B" w14:textId="77777777" w:rsidTr="00270F84">
        <w:trPr>
          <w:trHeight w:val="224"/>
        </w:trPr>
        <w:tc>
          <w:tcPr>
            <w:tcW w:w="9990" w:type="dxa"/>
            <w:shd w:val="clear" w:color="auto" w:fill="DAE9F7" w:themeFill="text2" w:themeFillTint="1A"/>
          </w:tcPr>
          <w:p w14:paraId="66DADCBC" w14:textId="0610FFF9" w:rsidR="00932337" w:rsidRPr="0080545E" w:rsidRDefault="00932337" w:rsidP="0080545E">
            <w:pPr>
              <w:spacing w:line="276" w:lineRule="auto"/>
              <w:rPr>
                <w:b/>
                <w:bCs/>
                <w:lang w:val="lt-LT"/>
              </w:rPr>
            </w:pPr>
            <w:r w:rsidRPr="0080545E">
              <w:rPr>
                <w:b/>
                <w:bCs/>
                <w:lang w:val="lt-LT"/>
              </w:rPr>
              <w:t xml:space="preserve">Klausimas 8 </w:t>
            </w:r>
            <w:r w:rsidRPr="0080545E">
              <w:rPr>
                <w:lang w:val="lt-LT"/>
              </w:rPr>
              <w:t>(klausimo tekstas netaisytas)</w:t>
            </w:r>
          </w:p>
        </w:tc>
      </w:tr>
      <w:tr w:rsidR="004F2CA1" w:rsidRPr="0080545E" w14:paraId="48C8F363" w14:textId="77777777" w:rsidTr="00C05271">
        <w:trPr>
          <w:trHeight w:val="750"/>
        </w:trPr>
        <w:tc>
          <w:tcPr>
            <w:tcW w:w="9990" w:type="dxa"/>
          </w:tcPr>
          <w:p w14:paraId="0A53B810" w14:textId="1386CBE7" w:rsidR="00932337" w:rsidRPr="0080545E" w:rsidRDefault="00B5568C"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lastRenderedPageBreak/>
              <w:t>FR-83 rašoma, kad turi būti sukurtas išorinis portalas. Prašome patikslinti, ar teisingai suprantame, kad išorinis portalas bus sukurtas I etapo metu ir II etapo metu jie bus papildomas naujais funkcionalumais?</w:t>
            </w:r>
          </w:p>
        </w:tc>
      </w:tr>
      <w:tr w:rsidR="004F2CA1" w:rsidRPr="0080545E" w14:paraId="5DA736EA" w14:textId="77777777" w:rsidTr="00270F84">
        <w:trPr>
          <w:trHeight w:val="179"/>
        </w:trPr>
        <w:tc>
          <w:tcPr>
            <w:tcW w:w="9990" w:type="dxa"/>
            <w:shd w:val="clear" w:color="auto" w:fill="DAE9F7" w:themeFill="text2" w:themeFillTint="1A"/>
          </w:tcPr>
          <w:p w14:paraId="602DF1EF" w14:textId="77777777" w:rsidR="00932337" w:rsidRPr="0080545E" w:rsidRDefault="00932337" w:rsidP="0080545E">
            <w:pPr>
              <w:spacing w:line="276" w:lineRule="auto"/>
              <w:jc w:val="both"/>
              <w:rPr>
                <w:lang w:val="lt-LT"/>
              </w:rPr>
            </w:pPr>
            <w:r w:rsidRPr="0080545E">
              <w:rPr>
                <w:b/>
                <w:bCs/>
                <w:lang w:val="lt-LT"/>
              </w:rPr>
              <w:t>Atsakymas</w:t>
            </w:r>
          </w:p>
        </w:tc>
      </w:tr>
      <w:tr w:rsidR="00AB61B3" w:rsidRPr="0080545E" w14:paraId="0CFF3DB9" w14:textId="77777777" w:rsidTr="00C05271">
        <w:trPr>
          <w:trHeight w:val="366"/>
        </w:trPr>
        <w:tc>
          <w:tcPr>
            <w:tcW w:w="9990" w:type="dxa"/>
          </w:tcPr>
          <w:p w14:paraId="46C84B58" w14:textId="7873B73B" w:rsidR="00AB61B3" w:rsidRPr="0080545E" w:rsidRDefault="00C87DA0" w:rsidP="0080545E">
            <w:pPr>
              <w:spacing w:line="276" w:lineRule="auto"/>
              <w:jc w:val="both"/>
              <w:rPr>
                <w:b/>
                <w:bCs/>
              </w:rPr>
            </w:pPr>
            <w:r w:rsidRPr="0080545E">
              <w:rPr>
                <w:rFonts w:eastAsia="Times New Roman"/>
                <w:lang w:val="lt-LT" w:eastAsia="lt-LT"/>
              </w:rPr>
              <w:t>I etapo metu turės būti sukurti atskiri išorinio portalo funkcionalumai (formos). II etape turės būti sukurti techninėje specifikacijoje aprašyti išorinio portalo nauji funkcionalumai.</w:t>
            </w:r>
          </w:p>
        </w:tc>
      </w:tr>
      <w:tr w:rsidR="004F2CA1" w:rsidRPr="0080545E" w14:paraId="77DF2236" w14:textId="77777777" w:rsidTr="00270F84">
        <w:trPr>
          <w:trHeight w:val="242"/>
        </w:trPr>
        <w:tc>
          <w:tcPr>
            <w:tcW w:w="9990" w:type="dxa"/>
            <w:shd w:val="clear" w:color="auto" w:fill="DAE9F7" w:themeFill="text2" w:themeFillTint="1A"/>
          </w:tcPr>
          <w:p w14:paraId="55389CAB" w14:textId="43E56E6E" w:rsidR="00932337" w:rsidRPr="0080545E" w:rsidRDefault="00932337" w:rsidP="0080545E">
            <w:pPr>
              <w:spacing w:line="276" w:lineRule="auto"/>
              <w:rPr>
                <w:b/>
                <w:bCs/>
                <w:lang w:val="lt-LT"/>
              </w:rPr>
            </w:pPr>
            <w:r w:rsidRPr="0080545E">
              <w:rPr>
                <w:b/>
                <w:bCs/>
                <w:lang w:val="lt-LT"/>
              </w:rPr>
              <w:t xml:space="preserve">Klausimas 9 </w:t>
            </w:r>
            <w:r w:rsidRPr="0080545E">
              <w:rPr>
                <w:lang w:val="lt-LT"/>
              </w:rPr>
              <w:t>(klausimo tekstas netaisytas)</w:t>
            </w:r>
          </w:p>
        </w:tc>
      </w:tr>
      <w:tr w:rsidR="004F2CA1" w:rsidRPr="0080545E" w14:paraId="49D94A7D" w14:textId="77777777" w:rsidTr="00C87DA0">
        <w:trPr>
          <w:trHeight w:val="494"/>
        </w:trPr>
        <w:tc>
          <w:tcPr>
            <w:tcW w:w="9990" w:type="dxa"/>
          </w:tcPr>
          <w:p w14:paraId="46306681" w14:textId="635E5258" w:rsidR="00932337" w:rsidRPr="0080545E" w:rsidRDefault="00F25144"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t>Ar yra žinomos programavimo kalbos, karkasai, architektūriniai sprendimai prie, kurių reikia derintis?</w:t>
            </w:r>
          </w:p>
        </w:tc>
      </w:tr>
      <w:tr w:rsidR="004F2CA1" w:rsidRPr="0080545E" w14:paraId="441E3616" w14:textId="77777777" w:rsidTr="00C87DA0">
        <w:trPr>
          <w:trHeight w:val="366"/>
        </w:trPr>
        <w:tc>
          <w:tcPr>
            <w:tcW w:w="9990" w:type="dxa"/>
            <w:shd w:val="clear" w:color="auto" w:fill="DAE9F7" w:themeFill="text2" w:themeFillTint="1A"/>
          </w:tcPr>
          <w:p w14:paraId="300B7F45" w14:textId="77777777" w:rsidR="00932337" w:rsidRPr="0080545E" w:rsidRDefault="00932337" w:rsidP="0080545E">
            <w:pPr>
              <w:spacing w:line="276" w:lineRule="auto"/>
              <w:jc w:val="both"/>
              <w:rPr>
                <w:lang w:val="lt-LT"/>
              </w:rPr>
            </w:pPr>
            <w:r w:rsidRPr="0080545E">
              <w:rPr>
                <w:b/>
                <w:bCs/>
                <w:lang w:val="lt-LT"/>
              </w:rPr>
              <w:t>Atsakymas</w:t>
            </w:r>
          </w:p>
        </w:tc>
      </w:tr>
      <w:tr w:rsidR="004F2CA1" w:rsidRPr="0080545E" w14:paraId="684B9895" w14:textId="77777777" w:rsidTr="00C05271">
        <w:trPr>
          <w:trHeight w:val="366"/>
        </w:trPr>
        <w:tc>
          <w:tcPr>
            <w:tcW w:w="9990" w:type="dxa"/>
          </w:tcPr>
          <w:p w14:paraId="4AF3EB0C" w14:textId="77777777" w:rsidR="003C61AB" w:rsidRPr="0080545E" w:rsidRDefault="003C61AB" w:rsidP="0080545E">
            <w:pPr>
              <w:spacing w:line="276" w:lineRule="auto"/>
              <w:jc w:val="both"/>
              <w:rPr>
                <w:rFonts w:eastAsia="Times New Roman"/>
                <w:lang w:val="lt-LT" w:eastAsia="lt-LT"/>
              </w:rPr>
            </w:pPr>
            <w:r w:rsidRPr="0080545E">
              <w:rPr>
                <w:rFonts w:eastAsia="Times New Roman"/>
                <w:lang w:val="lt-LT" w:eastAsia="lt-LT"/>
              </w:rPr>
              <w:t>Šiuo metu I etape naudojami technologiniai sprendimai dar nėra galutinai suderinti ir patvirtinti. Paslaugų teikėjas neprivalo taikyti tų pačių technologinių sprendimų, tačiau privalės užtikrinti jų suderinamumą bei integraciją su pirmo etapo metu sukurtais sistemos komponentais. Tai reiškia, kad pasirinkti technologiniai sprendimai turi būti kruopščiai įvertinti ir užtikrinti, jog jie bus pilnai suderinami su jau pirmo etapo metu sukurtais komponentais, nes tai tiesiogiai įtakos sistemos veikimo stabilumą, našumą ir saugumą. Paslaugų teikėjas taip pat turi užtikrinti, kad visi technologiniai sprendimai būtų tinkamai integruoti į bendrą sistemos struktūrą, taip užtikrinant nenutrūkstamą informacijos srautą ir funkcionalumą visoje sistemoje.</w:t>
            </w:r>
          </w:p>
          <w:p w14:paraId="728B626B" w14:textId="03AB007B" w:rsidR="00C87DA0" w:rsidRPr="0080545E" w:rsidRDefault="003C61AB" w:rsidP="0080545E">
            <w:pPr>
              <w:spacing w:line="276" w:lineRule="auto"/>
              <w:jc w:val="both"/>
              <w:rPr>
                <w:b/>
                <w:bCs/>
                <w:lang w:val="lt-LT"/>
              </w:rPr>
            </w:pPr>
            <w:r w:rsidRPr="0080545E">
              <w:rPr>
                <w:rFonts w:eastAsia="Times New Roman"/>
                <w:lang w:val="lt-LT" w:eastAsia="lt-LT"/>
              </w:rPr>
              <w:t>VAPRIS-VPREG sistema turi būti įdiegta į Valstybės debesijos infrastruktūrą. Nors aplikacijų, CI/CD ir duomenų bazės serveriams nustatyti skirtingi techniniai reikalavimai, sistemos veikimui bus naudojama operacinė sistema Microsoft Windows, o duomenų bazė valdoma MySQL sprendimu. Visi sprendimai bus diegiami ir eksploatuojami naudojant VSSA teikiamą infrastruktūrą, užtikrinant suderinamumą su jos reikalavimais.</w:t>
            </w:r>
          </w:p>
        </w:tc>
      </w:tr>
      <w:tr w:rsidR="004F2CA1" w:rsidRPr="0080545E" w14:paraId="13C1FE07" w14:textId="77777777" w:rsidTr="00270F84">
        <w:trPr>
          <w:trHeight w:val="296"/>
        </w:trPr>
        <w:tc>
          <w:tcPr>
            <w:tcW w:w="9990" w:type="dxa"/>
            <w:shd w:val="clear" w:color="auto" w:fill="DAE9F7" w:themeFill="text2" w:themeFillTint="1A"/>
          </w:tcPr>
          <w:p w14:paraId="53CA523E" w14:textId="014CC0AA" w:rsidR="00932337" w:rsidRPr="0080545E" w:rsidRDefault="00932337" w:rsidP="0080545E">
            <w:pPr>
              <w:spacing w:line="276" w:lineRule="auto"/>
              <w:rPr>
                <w:b/>
                <w:bCs/>
                <w:lang w:val="lt-LT"/>
              </w:rPr>
            </w:pPr>
            <w:r w:rsidRPr="0080545E">
              <w:rPr>
                <w:b/>
                <w:bCs/>
                <w:lang w:val="lt-LT"/>
              </w:rPr>
              <w:t xml:space="preserve">Klausimas 10 </w:t>
            </w:r>
            <w:r w:rsidRPr="0080545E">
              <w:rPr>
                <w:lang w:val="lt-LT"/>
              </w:rPr>
              <w:t>(klausimo tekstas netaisytas)</w:t>
            </w:r>
          </w:p>
        </w:tc>
      </w:tr>
      <w:tr w:rsidR="004F2CA1" w:rsidRPr="0080545E" w14:paraId="35F2D00B" w14:textId="77777777" w:rsidTr="00C05271">
        <w:trPr>
          <w:trHeight w:val="750"/>
        </w:trPr>
        <w:tc>
          <w:tcPr>
            <w:tcW w:w="9990" w:type="dxa"/>
          </w:tcPr>
          <w:p w14:paraId="143AFC6E" w14:textId="7B3A71D6" w:rsidR="00932337" w:rsidRPr="0080545E" w:rsidRDefault="000B4189"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rPr>
              <w:t>Kadangi modernizavimas yra skaidytas etapais, darome prielaidą, kad II etapas turėtu naudoti I etapo sprendimus, pvz.: autorizacija, el. parašas, pranešimai, turinio valdymas, sistemos architektūra ir kt. Kaip ir kada bus galima tais funkcionalumais pasinaudoti? Pavyzdžiui, FR-95 nurodo, kad turi būti galimybė tvarkyti pranešimų šablonus, tačiau pranešimų komponentas yra pirmo etapo funkcionalumas. Ar teisingai suprantame, kad šio etapo metu bus sukurti tik nauji šablonai, reikalingi II etapo veiklos procesams įgyvendinti, tačiau nebus kuriamas šablonų kūrimo sprendimas.</w:t>
            </w:r>
          </w:p>
        </w:tc>
      </w:tr>
      <w:tr w:rsidR="004F2CA1" w:rsidRPr="0080545E" w14:paraId="63FF27BE" w14:textId="77777777" w:rsidTr="00270F84">
        <w:trPr>
          <w:trHeight w:val="305"/>
        </w:trPr>
        <w:tc>
          <w:tcPr>
            <w:tcW w:w="9990" w:type="dxa"/>
            <w:shd w:val="clear" w:color="auto" w:fill="DAE9F7" w:themeFill="text2" w:themeFillTint="1A"/>
          </w:tcPr>
          <w:p w14:paraId="3F2405CC" w14:textId="77777777" w:rsidR="00932337" w:rsidRPr="0080545E" w:rsidRDefault="00932337" w:rsidP="0080545E">
            <w:pPr>
              <w:spacing w:line="276" w:lineRule="auto"/>
              <w:jc w:val="both"/>
              <w:rPr>
                <w:lang w:val="lt-LT"/>
              </w:rPr>
            </w:pPr>
            <w:r w:rsidRPr="0080545E">
              <w:rPr>
                <w:b/>
                <w:bCs/>
                <w:lang w:val="lt-LT"/>
              </w:rPr>
              <w:t>Atsakymas</w:t>
            </w:r>
          </w:p>
        </w:tc>
      </w:tr>
      <w:tr w:rsidR="004F2CA1" w:rsidRPr="0080545E" w14:paraId="7C61702D" w14:textId="77777777" w:rsidTr="00C05271">
        <w:trPr>
          <w:trHeight w:val="366"/>
        </w:trPr>
        <w:tc>
          <w:tcPr>
            <w:tcW w:w="9990" w:type="dxa"/>
          </w:tcPr>
          <w:p w14:paraId="31C20C5F" w14:textId="43785AA6" w:rsidR="00EC11AF" w:rsidRPr="0080545E" w:rsidRDefault="00344B1B" w:rsidP="0080545E">
            <w:pPr>
              <w:spacing w:line="276" w:lineRule="auto"/>
              <w:jc w:val="both"/>
              <w:rPr>
                <w:lang w:val="lt-LT"/>
              </w:rPr>
            </w:pPr>
            <w:r w:rsidRPr="0080545E">
              <w:rPr>
                <w:lang w:val="lt-LT"/>
              </w:rPr>
              <w:t>Atsakydami į Jūsų klausimą, norime paaiškinti, kad II etape turi būti naudojami pirmo etapo sprendimai, papildant juos tiek, kiek būtina II etapo reikalavimų įgyvendinimui. Tai reiškia, kad pranešimų komponentas, įskaitant šablonų tvarkymo funkcionalumą, bus naudojamas iš pirmo etapo, tačiau II etape bus kuriami tik nauji šablonai, kurie reikalingi II etapo veiklos procesų įgyvendinimui. Analoginiai komponentai, kuriuos jau apibrėžia pirmas etapas, neturės būti kuriami pakartotinai. FR-2 reikalavimas taip pat nurodo, kad reikia pasinaudoti kitais etapuose kuriamais sprendimais, kiek jie tinka atitinkamo etapų reikalavimų įgyvendinimui. Be to, vadovaudamasis Techninėje specifikacijoje nurodytais reikalavimai Projekto valdymui, diegėjas turi bendradarbiauti su kitais Sistemos modernizavimo paslaugas teikiančiais,  I, II bei III projekto etapus vykdančiais paslaugų teikėjais, teikti jiems reikalingą informaciją ir atsakyti į klausimus dėl analizuojamų procesų, kuriamų komponentų, funkcijų ir diegiamos programinės įrangos, kad būtų užtikrintas sklandus ir nuoseklus projektų etapų įgyvendinimas.</w:t>
            </w:r>
          </w:p>
        </w:tc>
      </w:tr>
      <w:tr w:rsidR="004F2CA1" w:rsidRPr="0080545E" w14:paraId="0F940045" w14:textId="77777777" w:rsidTr="00270F84">
        <w:trPr>
          <w:trHeight w:val="269"/>
        </w:trPr>
        <w:tc>
          <w:tcPr>
            <w:tcW w:w="9990" w:type="dxa"/>
            <w:shd w:val="clear" w:color="auto" w:fill="DAE9F7" w:themeFill="text2" w:themeFillTint="1A"/>
          </w:tcPr>
          <w:p w14:paraId="7887DF72" w14:textId="19659966" w:rsidR="00932337" w:rsidRPr="0080545E" w:rsidRDefault="00932337" w:rsidP="0080545E">
            <w:pPr>
              <w:spacing w:line="276" w:lineRule="auto"/>
              <w:rPr>
                <w:b/>
                <w:bCs/>
                <w:lang w:val="lt-LT"/>
              </w:rPr>
            </w:pPr>
            <w:r w:rsidRPr="0080545E">
              <w:rPr>
                <w:b/>
                <w:bCs/>
                <w:lang w:val="lt-LT"/>
              </w:rPr>
              <w:lastRenderedPageBreak/>
              <w:t xml:space="preserve">Klausimas 11 </w:t>
            </w:r>
            <w:r w:rsidRPr="0080545E">
              <w:rPr>
                <w:lang w:val="lt-LT"/>
              </w:rPr>
              <w:t>(klausimo tekstas netaisytas)</w:t>
            </w:r>
          </w:p>
        </w:tc>
      </w:tr>
      <w:tr w:rsidR="004F2CA1" w:rsidRPr="0080545E" w14:paraId="5D80C48C" w14:textId="77777777" w:rsidTr="00C05271">
        <w:trPr>
          <w:trHeight w:val="750"/>
        </w:trPr>
        <w:tc>
          <w:tcPr>
            <w:tcW w:w="9990" w:type="dxa"/>
          </w:tcPr>
          <w:p w14:paraId="3BDB0CA4" w14:textId="31D413C3" w:rsidR="00932337" w:rsidRPr="0080545E" w:rsidRDefault="00011410" w:rsidP="0080545E">
            <w:pPr>
              <w:spacing w:line="276" w:lineRule="auto"/>
              <w:jc w:val="both"/>
              <w:rPr>
                <w:lang w:val="lt-LT"/>
              </w:rPr>
            </w:pPr>
            <w:r w:rsidRPr="0080545E">
              <w:rPr>
                <w:lang w:val="lt-LT"/>
              </w:rPr>
              <w:t xml:space="preserve">Ar teisingai suprantame, jog remiantis sutarties bendrųjų sąlygų 14.3 poskyriu (14.3.1 p., 14.3.2 p., 14.3.3 p. ir kt.) visi specialistai dirbantys projekte turės atitikti nustatytus kvalifikacijos reikalavimus? Ar nustatytus kvalifikacijos reikalavimus turės atitikti bent vienas specialistas iš visų dirbančių, pvz., 1 programuotojas atitinka visus nustatytus reikalavimus, o kiti gali ir neatitikti? </w:t>
            </w:r>
          </w:p>
        </w:tc>
      </w:tr>
      <w:tr w:rsidR="004F2CA1" w:rsidRPr="0080545E" w14:paraId="329ACDFE" w14:textId="77777777" w:rsidTr="00270F84">
        <w:trPr>
          <w:trHeight w:val="215"/>
        </w:trPr>
        <w:tc>
          <w:tcPr>
            <w:tcW w:w="9990" w:type="dxa"/>
            <w:shd w:val="clear" w:color="auto" w:fill="DAE9F7" w:themeFill="text2" w:themeFillTint="1A"/>
          </w:tcPr>
          <w:p w14:paraId="300107F3" w14:textId="77777777" w:rsidR="00932337" w:rsidRPr="0080545E" w:rsidRDefault="00932337" w:rsidP="0080545E">
            <w:pPr>
              <w:spacing w:line="276" w:lineRule="auto"/>
              <w:jc w:val="both"/>
              <w:rPr>
                <w:lang w:val="lt-LT"/>
              </w:rPr>
            </w:pPr>
            <w:r w:rsidRPr="0080545E">
              <w:rPr>
                <w:b/>
                <w:bCs/>
                <w:lang w:val="lt-LT"/>
              </w:rPr>
              <w:t>Atsakymas</w:t>
            </w:r>
          </w:p>
        </w:tc>
      </w:tr>
      <w:tr w:rsidR="004F2CA1" w:rsidRPr="0080545E" w14:paraId="7FDD365D" w14:textId="77777777" w:rsidTr="00C05271">
        <w:trPr>
          <w:trHeight w:val="366"/>
        </w:trPr>
        <w:tc>
          <w:tcPr>
            <w:tcW w:w="9990" w:type="dxa"/>
          </w:tcPr>
          <w:p w14:paraId="796A64DF" w14:textId="205F037B" w:rsidR="005A4AF8" w:rsidRPr="0080545E" w:rsidRDefault="00E16066" w:rsidP="0080545E">
            <w:pPr>
              <w:spacing w:line="276" w:lineRule="auto"/>
              <w:jc w:val="both"/>
              <w:rPr>
                <w:lang w:val="lt-LT"/>
              </w:rPr>
            </w:pPr>
            <w:r w:rsidRPr="0080545E">
              <w:rPr>
                <w:lang w:val="lt-LT"/>
              </w:rPr>
              <w:t xml:space="preserve">Atsakydami, pažymime, kad </w:t>
            </w:r>
            <w:r w:rsidR="00685FA3" w:rsidRPr="0080545E">
              <w:rPr>
                <w:lang w:val="lt-LT"/>
              </w:rPr>
              <w:t>kvalifikacijos reikalavimai yra nustatyti Pirkimo dokumentų Specialiųjų sąlygų 4-5 priede „Kvalifikacijos ir kiti reikalavimai tiekėjui“ 2 lentelėje.</w:t>
            </w:r>
            <w:r w:rsidR="009F078E" w:rsidRPr="0080545E">
              <w:rPr>
                <w:lang w:val="lt-LT"/>
              </w:rPr>
              <w:t xml:space="preserve"> </w:t>
            </w:r>
            <w:r w:rsidR="009C6AE6">
              <w:rPr>
                <w:lang w:val="lt-LT"/>
              </w:rPr>
              <w:t>S</w:t>
            </w:r>
            <w:r w:rsidR="009F078E" w:rsidRPr="0080545E">
              <w:rPr>
                <w:lang w:val="lt-LT"/>
              </w:rPr>
              <w:t>utarčiai vykdyti pasitelkiamų specialistų kvalifikacija</w:t>
            </w:r>
            <w:r w:rsidR="00872DE5" w:rsidRPr="0080545E">
              <w:rPr>
                <w:lang w:val="lt-LT"/>
              </w:rPr>
              <w:t xml:space="preserve"> yra nurodyta 2 lentelės 2 p.</w:t>
            </w:r>
            <w:r w:rsidR="00524D24" w:rsidRPr="0080545E">
              <w:rPr>
                <w:lang w:val="lt-LT"/>
              </w:rPr>
              <w:t xml:space="preserve"> 2.1 – 2.8 </w:t>
            </w:r>
            <w:r w:rsidR="00412553" w:rsidRPr="0080545E">
              <w:rPr>
                <w:lang w:val="lt-LT"/>
              </w:rPr>
              <w:t>papunkčiuose.</w:t>
            </w:r>
          </w:p>
          <w:p w14:paraId="174652A5" w14:textId="224BFA08" w:rsidR="00412553" w:rsidRPr="0080545E" w:rsidRDefault="00412553" w:rsidP="0080545E">
            <w:pPr>
              <w:spacing w:line="276" w:lineRule="auto"/>
              <w:jc w:val="both"/>
              <w:rPr>
                <w:lang w:val="lt-LT"/>
              </w:rPr>
            </w:pPr>
            <w:r w:rsidRPr="0080545E">
              <w:rPr>
                <w:lang w:val="lt-LT"/>
              </w:rPr>
              <w:t xml:space="preserve">Jūsų nurodyti sutarties bendrųjų sąlygų p. </w:t>
            </w:r>
            <w:r w:rsidR="00A90F6B">
              <w:rPr>
                <w:lang w:val="lt-LT"/>
              </w:rPr>
              <w:t xml:space="preserve">apima daugiau Jūsų pasiūlymo pateikimo metu nurodytų (sutarties vykdymui pasitelkiamų) specialistų </w:t>
            </w:r>
            <w:r w:rsidR="000335C2">
              <w:rPr>
                <w:lang w:val="lt-LT"/>
              </w:rPr>
              <w:t>keitimo tvarką.</w:t>
            </w:r>
          </w:p>
        </w:tc>
      </w:tr>
      <w:tr w:rsidR="004F2CA1" w:rsidRPr="0080545E" w14:paraId="38310044" w14:textId="77777777" w:rsidTr="00270F84">
        <w:trPr>
          <w:trHeight w:val="242"/>
        </w:trPr>
        <w:tc>
          <w:tcPr>
            <w:tcW w:w="9990" w:type="dxa"/>
            <w:shd w:val="clear" w:color="auto" w:fill="DAE9F7" w:themeFill="text2" w:themeFillTint="1A"/>
          </w:tcPr>
          <w:p w14:paraId="69BAA3F6" w14:textId="38AEA109" w:rsidR="00932337" w:rsidRPr="0080545E" w:rsidRDefault="00932337" w:rsidP="0080545E">
            <w:pPr>
              <w:spacing w:line="276" w:lineRule="auto"/>
              <w:rPr>
                <w:b/>
                <w:bCs/>
                <w:lang w:val="lt-LT"/>
              </w:rPr>
            </w:pPr>
            <w:r w:rsidRPr="0080545E">
              <w:rPr>
                <w:b/>
                <w:bCs/>
                <w:lang w:val="lt-LT"/>
              </w:rPr>
              <w:t xml:space="preserve">Klausimas 12 </w:t>
            </w:r>
            <w:r w:rsidRPr="0080545E">
              <w:rPr>
                <w:lang w:val="lt-LT"/>
              </w:rPr>
              <w:t>(klausimo tekstas netaisytas)</w:t>
            </w:r>
          </w:p>
        </w:tc>
      </w:tr>
      <w:tr w:rsidR="004F2CA1" w:rsidRPr="0080545E" w14:paraId="26F16524" w14:textId="77777777" w:rsidTr="00C05271">
        <w:trPr>
          <w:trHeight w:val="404"/>
        </w:trPr>
        <w:tc>
          <w:tcPr>
            <w:tcW w:w="9990" w:type="dxa"/>
          </w:tcPr>
          <w:p w14:paraId="4AE3F9C2" w14:textId="6964E23E" w:rsidR="00932337" w:rsidRPr="0080545E" w:rsidRDefault="00742001" w:rsidP="0080545E">
            <w:pPr>
              <w:spacing w:line="276" w:lineRule="auto"/>
              <w:jc w:val="both"/>
              <w:rPr>
                <w:rFonts w:eastAsia="Times New Roman"/>
                <w:lang w:val="lt-LT" w:eastAsia="lt-LT"/>
              </w:rPr>
            </w:pPr>
            <w:r w:rsidRPr="0080545E">
              <w:rPr>
                <w:rFonts w:eastAsia="Times New Roman"/>
                <w:lang w:val="lt-LT" w:eastAsia="lt-LT"/>
              </w:rPr>
              <w:t>Kokioje platformoje bus diegiama sistema?</w:t>
            </w:r>
          </w:p>
        </w:tc>
      </w:tr>
      <w:tr w:rsidR="004F2CA1" w:rsidRPr="0080545E" w14:paraId="46A8DAE5" w14:textId="77777777" w:rsidTr="00AB7706">
        <w:trPr>
          <w:trHeight w:val="366"/>
        </w:trPr>
        <w:tc>
          <w:tcPr>
            <w:tcW w:w="9990" w:type="dxa"/>
            <w:shd w:val="clear" w:color="auto" w:fill="DAE9F7" w:themeFill="text2" w:themeFillTint="1A"/>
          </w:tcPr>
          <w:p w14:paraId="15C1CB81" w14:textId="77777777" w:rsidR="00932337" w:rsidRPr="0080545E" w:rsidRDefault="00932337" w:rsidP="0080545E">
            <w:pPr>
              <w:spacing w:line="276" w:lineRule="auto"/>
              <w:jc w:val="both"/>
              <w:rPr>
                <w:lang w:val="lt-LT"/>
              </w:rPr>
            </w:pPr>
            <w:r w:rsidRPr="0080545E">
              <w:rPr>
                <w:b/>
                <w:bCs/>
                <w:lang w:val="lt-LT"/>
              </w:rPr>
              <w:t>Atsakymas</w:t>
            </w:r>
          </w:p>
        </w:tc>
      </w:tr>
      <w:tr w:rsidR="004F2CA1" w:rsidRPr="0080545E" w14:paraId="65BA8CB7" w14:textId="77777777" w:rsidTr="00C05271">
        <w:trPr>
          <w:trHeight w:val="366"/>
        </w:trPr>
        <w:tc>
          <w:tcPr>
            <w:tcW w:w="9990" w:type="dxa"/>
          </w:tcPr>
          <w:p w14:paraId="323FB302" w14:textId="77777777" w:rsidR="00B01AB8" w:rsidRPr="0080545E" w:rsidRDefault="00B01AB8" w:rsidP="0080545E">
            <w:pPr>
              <w:spacing w:line="276" w:lineRule="auto"/>
              <w:jc w:val="both"/>
              <w:rPr>
                <w:rFonts w:eastAsia="Times New Roman"/>
                <w:lang w:val="lt-LT" w:eastAsia="lt-LT"/>
              </w:rPr>
            </w:pPr>
            <w:r w:rsidRPr="0080545E">
              <w:rPr>
                <w:rFonts w:eastAsia="Times New Roman"/>
                <w:lang w:val="lt-LT" w:eastAsia="lt-LT"/>
              </w:rPr>
              <w:t>Šiuo metu I etape naudojami technologiniai sprendimai dar nėra galutinai suderinti ir patvirtinti. Paslaugų teikėjas neprivalo taikyti tų pačių technologinių sprendimų, tačiau privalės užtikrinti jų suderinamumą bei integraciją su pirmo etapo metu sukurtais sistemos komponentais. Tai reiškia, kad pasirinkti technologiniai sprendimai turi būti kruopščiai įvertinti ir užtikrinti, jog jie bus pilnai suderinami su jau pirmo etapo metu sukurtais komponentais, nes tai tiesiogiai įtakos sistemos veikimo stabilumą, našumą ir saugumą. Paslaugų teikėjas taip pat turi užtikrinti, kad visi technologiniai sprendimai būtų tinkamai integruoti į bendrą sistemos struktūrą, taip užtikrinant nenutrūkstamą informacijos srautą ir funkcionalumą visoje sistemoje.</w:t>
            </w:r>
          </w:p>
          <w:p w14:paraId="21E4E88F" w14:textId="572AF89E" w:rsidR="00AB7706" w:rsidRPr="0080545E" w:rsidRDefault="00B01AB8" w:rsidP="0080545E">
            <w:pPr>
              <w:spacing w:line="276" w:lineRule="auto"/>
              <w:jc w:val="both"/>
              <w:rPr>
                <w:b/>
                <w:bCs/>
                <w:lang w:val="lt-LT"/>
              </w:rPr>
            </w:pPr>
            <w:r w:rsidRPr="0080545E">
              <w:rPr>
                <w:rFonts w:eastAsia="Times New Roman"/>
                <w:lang w:val="lt-LT" w:eastAsia="lt-LT"/>
              </w:rPr>
              <w:t>VAPRIS-VPREG sistema turi būti įdiegta į Valstybės debesijos infrastruktūrą. Nors aplikacijų, CI/CD ir duomenų bazės serveriams nustatyti skirtingi techniniai reikalavimai, sistemos veikimui bus naudojama operacinė sistema Microsoft Windows, o duomenų bazė valdoma MySQL sprendimu. Visi sprendimai bus diegiami ir eksploatuojami naudojant VSSA teikiamą infrastruktūrą, užtikrinant suderinamumą su jos reikalavimais.</w:t>
            </w:r>
          </w:p>
        </w:tc>
      </w:tr>
      <w:tr w:rsidR="004F2CA1" w:rsidRPr="0080545E" w14:paraId="5DC580C8" w14:textId="77777777" w:rsidTr="00AB7706">
        <w:trPr>
          <w:trHeight w:val="368"/>
        </w:trPr>
        <w:tc>
          <w:tcPr>
            <w:tcW w:w="9990" w:type="dxa"/>
            <w:shd w:val="clear" w:color="auto" w:fill="DAE9F7" w:themeFill="text2" w:themeFillTint="1A"/>
          </w:tcPr>
          <w:p w14:paraId="5A392822" w14:textId="214724D4" w:rsidR="00742001" w:rsidRPr="0080545E" w:rsidRDefault="00742001" w:rsidP="0080545E">
            <w:pPr>
              <w:spacing w:line="276" w:lineRule="auto"/>
              <w:rPr>
                <w:b/>
                <w:bCs/>
                <w:lang w:val="lt-LT"/>
              </w:rPr>
            </w:pPr>
            <w:r w:rsidRPr="0080545E">
              <w:rPr>
                <w:b/>
                <w:bCs/>
                <w:lang w:val="lt-LT"/>
              </w:rPr>
              <w:t xml:space="preserve">Klausimas 13 </w:t>
            </w:r>
            <w:r w:rsidRPr="0080545E">
              <w:rPr>
                <w:lang w:val="lt-LT"/>
              </w:rPr>
              <w:t>(klausimo tekstas netaisytas)</w:t>
            </w:r>
          </w:p>
        </w:tc>
      </w:tr>
      <w:tr w:rsidR="004F2CA1" w:rsidRPr="0080545E" w14:paraId="48DB10BA" w14:textId="77777777" w:rsidTr="00127409">
        <w:trPr>
          <w:trHeight w:val="557"/>
        </w:trPr>
        <w:tc>
          <w:tcPr>
            <w:tcW w:w="9990" w:type="dxa"/>
          </w:tcPr>
          <w:p w14:paraId="7CEA7017" w14:textId="046144D0" w:rsidR="00742001" w:rsidRPr="0080545E" w:rsidRDefault="00C05271" w:rsidP="0080545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0545E">
              <w:rPr>
                <w:rFonts w:eastAsia="Times New Roman"/>
                <w:lang w:val="lt-LT" w:eastAsia="lt-LT"/>
              </w:rPr>
              <w:t>Ar yra naudojamas/planuojamas naudoti procesų valdymo variklis. Jei taip, tai koks BPMN variklis yra naudojamas (activity, camunda)?</w:t>
            </w:r>
          </w:p>
        </w:tc>
      </w:tr>
      <w:tr w:rsidR="004F2CA1" w:rsidRPr="0080545E" w14:paraId="60A3B00B" w14:textId="77777777" w:rsidTr="00AB7706">
        <w:trPr>
          <w:trHeight w:val="366"/>
        </w:trPr>
        <w:tc>
          <w:tcPr>
            <w:tcW w:w="9990" w:type="dxa"/>
            <w:shd w:val="clear" w:color="auto" w:fill="DAE9F7" w:themeFill="text2" w:themeFillTint="1A"/>
          </w:tcPr>
          <w:p w14:paraId="171D787A" w14:textId="77777777" w:rsidR="00742001" w:rsidRPr="0080545E" w:rsidRDefault="00742001" w:rsidP="0080545E">
            <w:pPr>
              <w:spacing w:line="276" w:lineRule="auto"/>
              <w:jc w:val="both"/>
              <w:rPr>
                <w:lang w:val="lt-LT"/>
              </w:rPr>
            </w:pPr>
            <w:r w:rsidRPr="0080545E">
              <w:rPr>
                <w:b/>
                <w:bCs/>
                <w:lang w:val="lt-LT"/>
              </w:rPr>
              <w:t>Atsakymas</w:t>
            </w:r>
          </w:p>
        </w:tc>
      </w:tr>
      <w:tr w:rsidR="004F2CA1" w:rsidRPr="0080545E" w14:paraId="74B1263E" w14:textId="77777777" w:rsidTr="00C05271">
        <w:trPr>
          <w:trHeight w:val="366"/>
        </w:trPr>
        <w:tc>
          <w:tcPr>
            <w:tcW w:w="9990" w:type="dxa"/>
          </w:tcPr>
          <w:p w14:paraId="447C6EBD" w14:textId="5F752052" w:rsidR="00AB7706" w:rsidRPr="0080545E" w:rsidRDefault="00E21355" w:rsidP="0080545E">
            <w:pPr>
              <w:spacing w:line="276" w:lineRule="auto"/>
              <w:jc w:val="both"/>
              <w:rPr>
                <w:b/>
                <w:bCs/>
                <w:lang w:val="lt-LT"/>
              </w:rPr>
            </w:pPr>
            <w:r w:rsidRPr="0080545E">
              <w:rPr>
                <w:rFonts w:eastAsia="Times New Roman"/>
                <w:lang w:val="lt-LT" w:eastAsia="lt-LT"/>
              </w:rPr>
              <w:t>Reikalavimai buvo formuluoti taip, kad procesai būtų valdomi lankstesniu būdu, leidžiančiu tvarkyti duomenų klaidas ir užtikrinti specifinius veiksmus paraiškų nagrinėjimo procesuose be BPMN variklio.</w:t>
            </w:r>
          </w:p>
        </w:tc>
      </w:tr>
    </w:tbl>
    <w:p w14:paraId="56E26486" w14:textId="77777777" w:rsidR="00932337" w:rsidRPr="0080545E" w:rsidRDefault="00932337" w:rsidP="0080545E">
      <w:pPr>
        <w:tabs>
          <w:tab w:val="left" w:pos="1605"/>
        </w:tabs>
        <w:spacing w:line="276" w:lineRule="auto"/>
      </w:pPr>
    </w:p>
    <w:p w14:paraId="77DD6582" w14:textId="7489B5CE" w:rsidR="00932337" w:rsidRPr="0080545E" w:rsidRDefault="00BF31D0" w:rsidP="0080545E">
      <w:pPr>
        <w:tabs>
          <w:tab w:val="left" w:pos="1605"/>
        </w:tabs>
        <w:spacing w:line="276" w:lineRule="auto"/>
        <w:jc w:val="right"/>
      </w:pPr>
      <w:r w:rsidRPr="0080545E">
        <w:t>1 paveikslas</w:t>
      </w:r>
    </w:p>
    <w:p w14:paraId="4EA48C8C" w14:textId="23D4EE66" w:rsidR="00932337" w:rsidRPr="0080545E" w:rsidRDefault="00BF31D0" w:rsidP="0080545E">
      <w:pPr>
        <w:tabs>
          <w:tab w:val="left" w:pos="1605"/>
        </w:tabs>
        <w:spacing w:line="276" w:lineRule="auto"/>
      </w:pPr>
      <w:r w:rsidRPr="0080545E">
        <w:rPr>
          <w:noProof/>
          <w:lang w:eastAsia="lt-LT"/>
        </w:rPr>
        <w:lastRenderedPageBreak/>
        <w:drawing>
          <wp:inline distT="0" distB="0" distL="0" distR="0" wp14:anchorId="3ACA862A" wp14:editId="0A991026">
            <wp:extent cx="5924550" cy="5534025"/>
            <wp:effectExtent l="0" t="0" r="0" b="9525"/>
            <wp:docPr id="833995969" name="Picture 1"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95969" name="Picture 1" descr="A diagram of a computer network&#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24550" cy="5534025"/>
                    </a:xfrm>
                    <a:prstGeom prst="rect">
                      <a:avLst/>
                    </a:prstGeom>
                    <a:noFill/>
                    <a:ln>
                      <a:noFill/>
                    </a:ln>
                  </pic:spPr>
                </pic:pic>
              </a:graphicData>
            </a:graphic>
          </wp:inline>
        </w:drawing>
      </w:r>
    </w:p>
    <w:p w14:paraId="560DB06C" w14:textId="77777777" w:rsidR="00932337" w:rsidRPr="0080545E" w:rsidRDefault="00932337" w:rsidP="0080545E">
      <w:pPr>
        <w:tabs>
          <w:tab w:val="left" w:pos="1605"/>
        </w:tabs>
        <w:spacing w:line="276" w:lineRule="auto"/>
      </w:pPr>
    </w:p>
    <w:p w14:paraId="72F287B8" w14:textId="77777777" w:rsidR="00932337" w:rsidRPr="0080545E" w:rsidRDefault="00932337" w:rsidP="0080545E">
      <w:pPr>
        <w:tabs>
          <w:tab w:val="left" w:pos="1605"/>
        </w:tabs>
        <w:spacing w:line="276" w:lineRule="auto"/>
      </w:pPr>
    </w:p>
    <w:p w14:paraId="43BA6586" w14:textId="77777777" w:rsidR="00932337" w:rsidRPr="0080545E" w:rsidRDefault="00932337" w:rsidP="0080545E">
      <w:pPr>
        <w:tabs>
          <w:tab w:val="left" w:pos="1605"/>
        </w:tabs>
        <w:spacing w:line="276" w:lineRule="auto"/>
      </w:pPr>
    </w:p>
    <w:p w14:paraId="45F5F5DF" w14:textId="77777777" w:rsidR="00932337" w:rsidRPr="0080545E" w:rsidRDefault="00932337" w:rsidP="0080545E">
      <w:pPr>
        <w:tabs>
          <w:tab w:val="left" w:pos="1605"/>
        </w:tabs>
        <w:spacing w:line="276" w:lineRule="auto"/>
      </w:pPr>
    </w:p>
    <w:p w14:paraId="2C081A81" w14:textId="77777777" w:rsidR="004724B7" w:rsidRPr="0080545E" w:rsidRDefault="004724B7" w:rsidP="0080545E">
      <w:pPr>
        <w:tabs>
          <w:tab w:val="left" w:pos="1605"/>
        </w:tabs>
        <w:spacing w:line="276" w:lineRule="auto"/>
      </w:pPr>
    </w:p>
    <w:p w14:paraId="4DED9DB4" w14:textId="77777777" w:rsidR="004724B7" w:rsidRPr="0080545E" w:rsidRDefault="004724B7" w:rsidP="0080545E">
      <w:pPr>
        <w:tabs>
          <w:tab w:val="left" w:pos="1605"/>
        </w:tabs>
        <w:spacing w:line="276" w:lineRule="auto"/>
        <w:jc w:val="both"/>
        <w:rPr>
          <w:rFonts w:eastAsia="Times New Roman"/>
        </w:rPr>
      </w:pPr>
    </w:p>
    <w:p w14:paraId="2FC7F03D" w14:textId="20D198AA" w:rsidR="004724B7" w:rsidRPr="0080545E" w:rsidRDefault="004724B7" w:rsidP="0080545E">
      <w:pPr>
        <w:tabs>
          <w:tab w:val="left" w:pos="1605"/>
        </w:tabs>
        <w:spacing w:line="276" w:lineRule="auto"/>
        <w:jc w:val="both"/>
        <w:rPr>
          <w:rFonts w:eastAsia="Times New Roman"/>
        </w:rPr>
      </w:pPr>
      <w:r w:rsidRPr="0080545E">
        <w:rPr>
          <w:rFonts w:eastAsia="Times New Roman"/>
        </w:rPr>
        <w:t>Pagarbiai</w:t>
      </w:r>
    </w:p>
    <w:p w14:paraId="24581294" w14:textId="77777777" w:rsidR="004724B7" w:rsidRPr="0080545E" w:rsidRDefault="004724B7" w:rsidP="0080545E">
      <w:pPr>
        <w:tabs>
          <w:tab w:val="left" w:pos="1605"/>
        </w:tabs>
        <w:spacing w:line="276" w:lineRule="auto"/>
        <w:jc w:val="both"/>
        <w:rPr>
          <w:rFonts w:eastAsia="Times New Roman"/>
        </w:rPr>
      </w:pPr>
    </w:p>
    <w:p w14:paraId="7478A476" w14:textId="081681EA" w:rsidR="00E4040A" w:rsidRPr="0080545E" w:rsidRDefault="004724B7" w:rsidP="0080545E">
      <w:pPr>
        <w:tabs>
          <w:tab w:val="left" w:pos="1605"/>
        </w:tabs>
        <w:spacing w:line="276" w:lineRule="auto"/>
        <w:jc w:val="both"/>
      </w:pPr>
      <w:r w:rsidRPr="0080545E">
        <w:rPr>
          <w:rFonts w:eastAsia="Times New Roman"/>
        </w:rPr>
        <w:t>Komisija</w:t>
      </w:r>
    </w:p>
    <w:sectPr w:rsidR="00E4040A" w:rsidRPr="0080545E" w:rsidSect="00932337">
      <w:headerReference w:type="default" r:id="rId9"/>
      <w:headerReference w:type="first" r:id="rId10"/>
      <w:pgSz w:w="11900" w:h="16840"/>
      <w:pgMar w:top="1152" w:right="576" w:bottom="1152" w:left="15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C1B8" w14:textId="77777777" w:rsidR="00B141DD" w:rsidRDefault="00B141DD" w:rsidP="000F17D6">
      <w:r>
        <w:separator/>
      </w:r>
    </w:p>
  </w:endnote>
  <w:endnote w:type="continuationSeparator" w:id="0">
    <w:p w14:paraId="600514B3" w14:textId="77777777" w:rsidR="00B141DD" w:rsidRDefault="00B141DD"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2D11" w14:textId="77777777" w:rsidR="00B141DD" w:rsidRDefault="00B141DD" w:rsidP="000F17D6">
      <w:r>
        <w:separator/>
      </w:r>
    </w:p>
  </w:footnote>
  <w:footnote w:type="continuationSeparator" w:id="0">
    <w:p w14:paraId="29F5740F" w14:textId="77777777" w:rsidR="00B141DD" w:rsidRDefault="00B141DD"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C4AB1"/>
    <w:multiLevelType w:val="multilevel"/>
    <w:tmpl w:val="AFD27C06"/>
    <w:lvl w:ilvl="0">
      <w:start w:val="1"/>
      <w:numFmt w:val="decimal"/>
      <w:lvlText w:val="%1."/>
      <w:lvlJc w:val="left"/>
      <w:pPr>
        <w:tabs>
          <w:tab w:val="num" w:pos="720"/>
        </w:tabs>
        <w:ind w:left="720" w:hanging="360"/>
      </w:pPr>
      <w:rPr>
        <w:rFonts w:ascii="Aptos" w:eastAsia="Times New Roman" w:hAnsi="Aptos" w:cs="Apto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E07D5"/>
    <w:multiLevelType w:val="multilevel"/>
    <w:tmpl w:val="AFD27C06"/>
    <w:lvl w:ilvl="0">
      <w:start w:val="1"/>
      <w:numFmt w:val="decimal"/>
      <w:lvlText w:val="%1."/>
      <w:lvlJc w:val="left"/>
      <w:pPr>
        <w:tabs>
          <w:tab w:val="num" w:pos="720"/>
        </w:tabs>
        <w:ind w:left="720" w:hanging="360"/>
      </w:pPr>
      <w:rPr>
        <w:rFonts w:ascii="Aptos" w:eastAsia="Times New Roman" w:hAnsi="Aptos" w:cs="Apto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2826FE"/>
    <w:multiLevelType w:val="multilevel"/>
    <w:tmpl w:val="AFD27C06"/>
    <w:lvl w:ilvl="0">
      <w:start w:val="1"/>
      <w:numFmt w:val="decimal"/>
      <w:lvlText w:val="%1."/>
      <w:lvlJc w:val="left"/>
      <w:pPr>
        <w:tabs>
          <w:tab w:val="num" w:pos="720"/>
        </w:tabs>
        <w:ind w:left="720" w:hanging="360"/>
      </w:pPr>
      <w:rPr>
        <w:rFonts w:ascii="Aptos" w:eastAsia="Times New Roman" w:hAnsi="Aptos" w:cs="Apto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854BA"/>
    <w:multiLevelType w:val="multilevel"/>
    <w:tmpl w:val="AFD27C06"/>
    <w:lvl w:ilvl="0">
      <w:start w:val="1"/>
      <w:numFmt w:val="decimal"/>
      <w:lvlText w:val="%1."/>
      <w:lvlJc w:val="left"/>
      <w:pPr>
        <w:tabs>
          <w:tab w:val="num" w:pos="720"/>
        </w:tabs>
        <w:ind w:left="720" w:hanging="360"/>
      </w:pPr>
      <w:rPr>
        <w:rFonts w:ascii="Aptos" w:eastAsia="Times New Roman" w:hAnsi="Aptos" w:cs="Apto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B226C"/>
    <w:multiLevelType w:val="multilevel"/>
    <w:tmpl w:val="03A89A4C"/>
    <w:lvl w:ilvl="0">
      <w:start w:val="1"/>
      <w:numFmt w:val="decimal"/>
      <w:lvlText w:val="%1."/>
      <w:lvlJc w:val="left"/>
      <w:pPr>
        <w:tabs>
          <w:tab w:val="num" w:pos="720"/>
        </w:tabs>
        <w:ind w:left="720" w:hanging="360"/>
      </w:pPr>
      <w:rPr>
        <w:rFonts w:ascii="Aptos" w:eastAsia="Times New Roman" w:hAnsi="Aptos" w:cs="Apto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A308BC"/>
    <w:multiLevelType w:val="hybridMultilevel"/>
    <w:tmpl w:val="24B21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7930672">
    <w:abstractNumId w:val="0"/>
  </w:num>
  <w:num w:numId="2" w16cid:durableId="934439856">
    <w:abstractNumId w:val="5"/>
  </w:num>
  <w:num w:numId="3" w16cid:durableId="967007634">
    <w:abstractNumId w:val="2"/>
  </w:num>
  <w:num w:numId="4" w16cid:durableId="226772020">
    <w:abstractNumId w:val="3"/>
  </w:num>
  <w:num w:numId="5" w16cid:durableId="838039463">
    <w:abstractNumId w:val="1"/>
  </w:num>
  <w:num w:numId="6" w16cid:durableId="860508078">
    <w:abstractNumId w:val="4"/>
  </w:num>
  <w:num w:numId="7" w16cid:durableId="1794396632">
    <w:abstractNumId w:val="7"/>
  </w:num>
  <w:num w:numId="8" w16cid:durableId="188570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11410"/>
    <w:rsid w:val="00021AAF"/>
    <w:rsid w:val="000231EE"/>
    <w:rsid w:val="0003099E"/>
    <w:rsid w:val="000335C2"/>
    <w:rsid w:val="000471A3"/>
    <w:rsid w:val="00051BE0"/>
    <w:rsid w:val="000673B7"/>
    <w:rsid w:val="000804F8"/>
    <w:rsid w:val="000841CC"/>
    <w:rsid w:val="00095D5F"/>
    <w:rsid w:val="000A535B"/>
    <w:rsid w:val="000B4189"/>
    <w:rsid w:val="000B64AE"/>
    <w:rsid w:val="000F17D6"/>
    <w:rsid w:val="000F3B8C"/>
    <w:rsid w:val="00121D2B"/>
    <w:rsid w:val="00126391"/>
    <w:rsid w:val="00127409"/>
    <w:rsid w:val="001276CB"/>
    <w:rsid w:val="001330B6"/>
    <w:rsid w:val="001424B9"/>
    <w:rsid w:val="00151BA6"/>
    <w:rsid w:val="001558F6"/>
    <w:rsid w:val="00180221"/>
    <w:rsid w:val="001954C2"/>
    <w:rsid w:val="001C257D"/>
    <w:rsid w:val="001F768E"/>
    <w:rsid w:val="00200A38"/>
    <w:rsid w:val="0023122B"/>
    <w:rsid w:val="00240BAB"/>
    <w:rsid w:val="00270F84"/>
    <w:rsid w:val="0027706E"/>
    <w:rsid w:val="00283410"/>
    <w:rsid w:val="00294921"/>
    <w:rsid w:val="002E0DBC"/>
    <w:rsid w:val="00300312"/>
    <w:rsid w:val="00322AFC"/>
    <w:rsid w:val="003239A7"/>
    <w:rsid w:val="0032721B"/>
    <w:rsid w:val="00344B1B"/>
    <w:rsid w:val="0036075B"/>
    <w:rsid w:val="00362939"/>
    <w:rsid w:val="00376B34"/>
    <w:rsid w:val="003904C5"/>
    <w:rsid w:val="00396B20"/>
    <w:rsid w:val="003B217B"/>
    <w:rsid w:val="003B610D"/>
    <w:rsid w:val="003B6880"/>
    <w:rsid w:val="003C61AB"/>
    <w:rsid w:val="003C6C5D"/>
    <w:rsid w:val="003D08CE"/>
    <w:rsid w:val="003E1BFD"/>
    <w:rsid w:val="003E6BB5"/>
    <w:rsid w:val="00412553"/>
    <w:rsid w:val="00445645"/>
    <w:rsid w:val="004657AE"/>
    <w:rsid w:val="004724B7"/>
    <w:rsid w:val="0048126B"/>
    <w:rsid w:val="004841E0"/>
    <w:rsid w:val="00490A3C"/>
    <w:rsid w:val="00494710"/>
    <w:rsid w:val="00494CBC"/>
    <w:rsid w:val="004A5103"/>
    <w:rsid w:val="004B4774"/>
    <w:rsid w:val="004B73A5"/>
    <w:rsid w:val="004D1F07"/>
    <w:rsid w:val="004F2CA1"/>
    <w:rsid w:val="004F6AD6"/>
    <w:rsid w:val="00512F79"/>
    <w:rsid w:val="0051460F"/>
    <w:rsid w:val="00524B8D"/>
    <w:rsid w:val="00524D24"/>
    <w:rsid w:val="005642C6"/>
    <w:rsid w:val="005718E6"/>
    <w:rsid w:val="005A4AF8"/>
    <w:rsid w:val="005B2B66"/>
    <w:rsid w:val="005B4238"/>
    <w:rsid w:val="005D01EA"/>
    <w:rsid w:val="00627FFB"/>
    <w:rsid w:val="00653CF8"/>
    <w:rsid w:val="006810B3"/>
    <w:rsid w:val="00685FA3"/>
    <w:rsid w:val="006862E0"/>
    <w:rsid w:val="006908B5"/>
    <w:rsid w:val="006A176A"/>
    <w:rsid w:val="006A3975"/>
    <w:rsid w:val="006F5CF6"/>
    <w:rsid w:val="007150FC"/>
    <w:rsid w:val="0071678D"/>
    <w:rsid w:val="00717D5C"/>
    <w:rsid w:val="0072081C"/>
    <w:rsid w:val="00722CCA"/>
    <w:rsid w:val="007254B9"/>
    <w:rsid w:val="007271E9"/>
    <w:rsid w:val="00742001"/>
    <w:rsid w:val="00757859"/>
    <w:rsid w:val="00774325"/>
    <w:rsid w:val="007772DB"/>
    <w:rsid w:val="0078244E"/>
    <w:rsid w:val="007924FF"/>
    <w:rsid w:val="007C7652"/>
    <w:rsid w:val="007F0445"/>
    <w:rsid w:val="007F072F"/>
    <w:rsid w:val="00801512"/>
    <w:rsid w:val="00801E82"/>
    <w:rsid w:val="0080545E"/>
    <w:rsid w:val="0080655C"/>
    <w:rsid w:val="00811008"/>
    <w:rsid w:val="0081367D"/>
    <w:rsid w:val="00820408"/>
    <w:rsid w:val="00860FEB"/>
    <w:rsid w:val="00872DE5"/>
    <w:rsid w:val="00876804"/>
    <w:rsid w:val="00876EDD"/>
    <w:rsid w:val="008814A7"/>
    <w:rsid w:val="0088508D"/>
    <w:rsid w:val="00892698"/>
    <w:rsid w:val="008B59AC"/>
    <w:rsid w:val="008D7719"/>
    <w:rsid w:val="008F790D"/>
    <w:rsid w:val="00901F52"/>
    <w:rsid w:val="00913764"/>
    <w:rsid w:val="009300FE"/>
    <w:rsid w:val="00932337"/>
    <w:rsid w:val="00935834"/>
    <w:rsid w:val="00940C42"/>
    <w:rsid w:val="00940E74"/>
    <w:rsid w:val="00943813"/>
    <w:rsid w:val="00992541"/>
    <w:rsid w:val="009A6FF3"/>
    <w:rsid w:val="009A7E52"/>
    <w:rsid w:val="009C6AE6"/>
    <w:rsid w:val="009C6D53"/>
    <w:rsid w:val="009E5672"/>
    <w:rsid w:val="009F078E"/>
    <w:rsid w:val="009F3B08"/>
    <w:rsid w:val="009F6D6E"/>
    <w:rsid w:val="00A0048D"/>
    <w:rsid w:val="00A1363C"/>
    <w:rsid w:val="00A25314"/>
    <w:rsid w:val="00A67D15"/>
    <w:rsid w:val="00A71CBF"/>
    <w:rsid w:val="00A7668B"/>
    <w:rsid w:val="00A84892"/>
    <w:rsid w:val="00A90F6B"/>
    <w:rsid w:val="00AB476D"/>
    <w:rsid w:val="00AB61B3"/>
    <w:rsid w:val="00AB7038"/>
    <w:rsid w:val="00AB7706"/>
    <w:rsid w:val="00AC0DC4"/>
    <w:rsid w:val="00AD0C9D"/>
    <w:rsid w:val="00B01AB8"/>
    <w:rsid w:val="00B03901"/>
    <w:rsid w:val="00B141DD"/>
    <w:rsid w:val="00B33323"/>
    <w:rsid w:val="00B359E7"/>
    <w:rsid w:val="00B5568C"/>
    <w:rsid w:val="00B6175A"/>
    <w:rsid w:val="00B62F87"/>
    <w:rsid w:val="00B635A5"/>
    <w:rsid w:val="00B77E46"/>
    <w:rsid w:val="00B83BD1"/>
    <w:rsid w:val="00B87903"/>
    <w:rsid w:val="00BC4BBB"/>
    <w:rsid w:val="00BD075A"/>
    <w:rsid w:val="00BD3FF5"/>
    <w:rsid w:val="00BD61F3"/>
    <w:rsid w:val="00BE5F58"/>
    <w:rsid w:val="00BF31D0"/>
    <w:rsid w:val="00C0001C"/>
    <w:rsid w:val="00C04902"/>
    <w:rsid w:val="00C05271"/>
    <w:rsid w:val="00C36859"/>
    <w:rsid w:val="00C628F6"/>
    <w:rsid w:val="00C802B5"/>
    <w:rsid w:val="00C87DA0"/>
    <w:rsid w:val="00C9061E"/>
    <w:rsid w:val="00C91595"/>
    <w:rsid w:val="00C918C4"/>
    <w:rsid w:val="00CB6EAD"/>
    <w:rsid w:val="00CC5F6C"/>
    <w:rsid w:val="00CD1404"/>
    <w:rsid w:val="00CD3E63"/>
    <w:rsid w:val="00CE0EA3"/>
    <w:rsid w:val="00D163F3"/>
    <w:rsid w:val="00D54D3C"/>
    <w:rsid w:val="00D66B6A"/>
    <w:rsid w:val="00DA0901"/>
    <w:rsid w:val="00DB5547"/>
    <w:rsid w:val="00DD3F9D"/>
    <w:rsid w:val="00DD4DA4"/>
    <w:rsid w:val="00DE0558"/>
    <w:rsid w:val="00DE0A01"/>
    <w:rsid w:val="00DF3CE3"/>
    <w:rsid w:val="00E04159"/>
    <w:rsid w:val="00E16066"/>
    <w:rsid w:val="00E21355"/>
    <w:rsid w:val="00E27A21"/>
    <w:rsid w:val="00E4040A"/>
    <w:rsid w:val="00E57D33"/>
    <w:rsid w:val="00E62888"/>
    <w:rsid w:val="00E65F29"/>
    <w:rsid w:val="00E806E2"/>
    <w:rsid w:val="00E9653F"/>
    <w:rsid w:val="00EA3DE5"/>
    <w:rsid w:val="00EC11AF"/>
    <w:rsid w:val="00ED5612"/>
    <w:rsid w:val="00EE5266"/>
    <w:rsid w:val="00EE5468"/>
    <w:rsid w:val="00F25144"/>
    <w:rsid w:val="00F36B90"/>
    <w:rsid w:val="00F37442"/>
    <w:rsid w:val="00F4586F"/>
    <w:rsid w:val="00F52AEA"/>
    <w:rsid w:val="00F54488"/>
    <w:rsid w:val="00F67EB9"/>
    <w:rsid w:val="00F71DC1"/>
    <w:rsid w:val="00F80BED"/>
    <w:rsid w:val="00F9060E"/>
    <w:rsid w:val="00F91071"/>
    <w:rsid w:val="00F9235A"/>
    <w:rsid w:val="00F93255"/>
    <w:rsid w:val="00FC369F"/>
    <w:rsid w:val="00FC6BEF"/>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1745</Words>
  <Characters>9951</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90</cp:revision>
  <dcterms:created xsi:type="dcterms:W3CDTF">2025-02-26T05:39:00Z</dcterms:created>
  <dcterms:modified xsi:type="dcterms:W3CDTF">2025-03-06T14:13:00Z</dcterms:modified>
</cp:coreProperties>
</file>