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1B6F1" w14:textId="39468324" w:rsidR="00B1417C" w:rsidRPr="00D80654" w:rsidRDefault="00B1417C" w:rsidP="0033143F">
      <w:pPr>
        <w:tabs>
          <w:tab w:val="left" w:pos="13325"/>
          <w:tab w:val="left" w:pos="13467"/>
          <w:tab w:val="left" w:pos="13750"/>
        </w:tabs>
        <w:spacing w:after="0" w:line="240" w:lineRule="auto"/>
        <w:rPr>
          <w:rFonts w:ascii="Arial" w:hAnsi="Arial" w:cs="Arial"/>
          <w:b/>
          <w:bCs/>
          <w:sz w:val="21"/>
          <w:szCs w:val="21"/>
        </w:rPr>
      </w:pPr>
    </w:p>
    <w:p w14:paraId="41171132" w14:textId="4052669A" w:rsidR="00B73CE1" w:rsidRPr="00D80654" w:rsidRDefault="004B7589" w:rsidP="0033143F">
      <w:pPr>
        <w:spacing w:after="0" w:line="240" w:lineRule="auto"/>
        <w:ind w:left="6480" w:hanging="6480"/>
        <w:jc w:val="center"/>
        <w:rPr>
          <w:rFonts w:ascii="Arial" w:hAnsi="Arial" w:cs="Arial"/>
          <w:sz w:val="21"/>
          <w:szCs w:val="21"/>
        </w:rPr>
      </w:pPr>
      <w:r w:rsidRPr="00D80654">
        <w:rPr>
          <w:rFonts w:ascii="Arial" w:hAnsi="Arial" w:cs="Arial"/>
          <w:sz w:val="21"/>
          <w:szCs w:val="21"/>
        </w:rPr>
        <w:t xml:space="preserve">JUDRIOJO </w:t>
      </w:r>
      <w:r w:rsidR="009334A9" w:rsidRPr="00D80654">
        <w:rPr>
          <w:rFonts w:ascii="Arial" w:hAnsi="Arial" w:cs="Arial"/>
          <w:sz w:val="21"/>
          <w:szCs w:val="21"/>
        </w:rPr>
        <w:t>(</w:t>
      </w:r>
      <w:r w:rsidR="00D92422" w:rsidRPr="00D80654">
        <w:rPr>
          <w:rFonts w:ascii="Arial" w:hAnsi="Arial" w:cs="Arial"/>
          <w:sz w:val="21"/>
          <w:szCs w:val="21"/>
        </w:rPr>
        <w:t>MOBILAUS</w:t>
      </w:r>
      <w:r w:rsidR="009334A9" w:rsidRPr="00D80654">
        <w:rPr>
          <w:rFonts w:ascii="Arial" w:hAnsi="Arial" w:cs="Arial"/>
          <w:sz w:val="21"/>
          <w:szCs w:val="21"/>
        </w:rPr>
        <w:t>)</w:t>
      </w:r>
      <w:r w:rsidR="00A11074" w:rsidRPr="00D80654">
        <w:rPr>
          <w:rFonts w:ascii="Arial" w:hAnsi="Arial" w:cs="Arial"/>
          <w:sz w:val="21"/>
          <w:szCs w:val="21"/>
        </w:rPr>
        <w:t xml:space="preserve"> </w:t>
      </w:r>
      <w:r w:rsidR="00B73CE1" w:rsidRPr="00D80654">
        <w:rPr>
          <w:rFonts w:ascii="Arial" w:hAnsi="Arial" w:cs="Arial"/>
          <w:sz w:val="21"/>
          <w:szCs w:val="21"/>
        </w:rPr>
        <w:t>RYŠIO PASLAUGŲ</w:t>
      </w:r>
    </w:p>
    <w:p w14:paraId="700294E3" w14:textId="37404DFC" w:rsidR="00B73CE1" w:rsidRPr="00D80654" w:rsidRDefault="00B73CE1" w:rsidP="0033143F">
      <w:pPr>
        <w:spacing w:after="0" w:line="240" w:lineRule="auto"/>
        <w:ind w:left="6480" w:hanging="6480"/>
        <w:jc w:val="center"/>
        <w:rPr>
          <w:rFonts w:ascii="Arial" w:hAnsi="Arial" w:cs="Arial"/>
          <w:sz w:val="21"/>
          <w:szCs w:val="21"/>
        </w:rPr>
      </w:pPr>
      <w:r w:rsidRPr="00D80654">
        <w:rPr>
          <w:rFonts w:ascii="Arial" w:hAnsi="Arial" w:cs="Arial"/>
          <w:sz w:val="21"/>
          <w:szCs w:val="21"/>
        </w:rPr>
        <w:t>TECHNINĖ SPECIFIKACIJA</w:t>
      </w:r>
    </w:p>
    <w:p w14:paraId="4967D093" w14:textId="77777777" w:rsidR="00B73CE1" w:rsidRPr="00D80654" w:rsidRDefault="00B73CE1" w:rsidP="0033143F">
      <w:pPr>
        <w:spacing w:after="0" w:line="240" w:lineRule="auto"/>
        <w:rPr>
          <w:rFonts w:ascii="Arial" w:hAnsi="Arial" w:cs="Arial"/>
          <w:b/>
          <w:bCs/>
          <w:sz w:val="21"/>
          <w:szCs w:val="21"/>
        </w:rPr>
      </w:pPr>
    </w:p>
    <w:p w14:paraId="4C9B9BAF" w14:textId="381677E5" w:rsidR="003C001D" w:rsidRPr="00D80654" w:rsidRDefault="003C001D" w:rsidP="0033143F">
      <w:pPr>
        <w:pStyle w:val="Betarp"/>
        <w:spacing w:after="240"/>
        <w:jc w:val="both"/>
        <w:rPr>
          <w:rFonts w:ascii="Arial" w:hAnsi="Arial" w:cs="Arial"/>
          <w:sz w:val="21"/>
          <w:szCs w:val="21"/>
        </w:rPr>
      </w:pPr>
      <w:r w:rsidRPr="00D80654">
        <w:rPr>
          <w:rFonts w:ascii="Arial" w:hAnsi="Arial" w:cs="Arial"/>
          <w:sz w:val="21"/>
          <w:szCs w:val="21"/>
        </w:rPr>
        <w:t>Techniniai reikalavimai paslaugai:</w:t>
      </w:r>
    </w:p>
    <w:tbl>
      <w:tblPr>
        <w:tblStyle w:val="Lentelstinklelis"/>
        <w:tblW w:w="0" w:type="auto"/>
        <w:tblLook w:val="04A0" w:firstRow="1" w:lastRow="0" w:firstColumn="1" w:lastColumn="0" w:noHBand="0" w:noVBand="1"/>
      </w:tblPr>
      <w:tblGrid>
        <w:gridCol w:w="686"/>
        <w:gridCol w:w="2003"/>
        <w:gridCol w:w="6939"/>
      </w:tblGrid>
      <w:tr w:rsidR="00F5073D" w:rsidRPr="00D80654" w14:paraId="65A88133" w14:textId="391D3636" w:rsidTr="00D80654">
        <w:tc>
          <w:tcPr>
            <w:tcW w:w="686" w:type="dxa"/>
            <w:shd w:val="clear" w:color="auto" w:fill="D9D9D9" w:themeFill="background1" w:themeFillShade="D9"/>
            <w:vAlign w:val="center"/>
          </w:tcPr>
          <w:p w14:paraId="23730BF5" w14:textId="1A767489" w:rsidR="006D5638" w:rsidRPr="00D80654" w:rsidRDefault="006D5638" w:rsidP="0033143F">
            <w:pPr>
              <w:pStyle w:val="Betarp"/>
              <w:spacing w:after="240"/>
              <w:jc w:val="center"/>
              <w:rPr>
                <w:rFonts w:ascii="Arial" w:hAnsi="Arial" w:cs="Arial"/>
                <w:sz w:val="21"/>
                <w:szCs w:val="21"/>
              </w:rPr>
            </w:pPr>
            <w:r w:rsidRPr="00D80654">
              <w:rPr>
                <w:rFonts w:ascii="Arial" w:hAnsi="Arial" w:cs="Arial"/>
                <w:sz w:val="21"/>
                <w:szCs w:val="21"/>
              </w:rPr>
              <w:t>Nr.</w:t>
            </w:r>
          </w:p>
        </w:tc>
        <w:tc>
          <w:tcPr>
            <w:tcW w:w="2003" w:type="dxa"/>
            <w:shd w:val="clear" w:color="auto" w:fill="D9D9D9" w:themeFill="background1" w:themeFillShade="D9"/>
            <w:vAlign w:val="center"/>
          </w:tcPr>
          <w:p w14:paraId="0F9E71E0" w14:textId="166C63F9" w:rsidR="006D5638" w:rsidRPr="00D80654" w:rsidRDefault="006D5638" w:rsidP="0033143F">
            <w:pPr>
              <w:pStyle w:val="Betarp"/>
              <w:spacing w:after="240"/>
              <w:jc w:val="center"/>
              <w:rPr>
                <w:rFonts w:ascii="Arial" w:hAnsi="Arial" w:cs="Arial"/>
                <w:sz w:val="21"/>
                <w:szCs w:val="21"/>
              </w:rPr>
            </w:pPr>
            <w:r w:rsidRPr="00D80654">
              <w:rPr>
                <w:rFonts w:ascii="Arial" w:hAnsi="Arial" w:cs="Arial"/>
                <w:sz w:val="21"/>
                <w:szCs w:val="21"/>
              </w:rPr>
              <w:t>Parametras</w:t>
            </w:r>
          </w:p>
        </w:tc>
        <w:tc>
          <w:tcPr>
            <w:tcW w:w="6939" w:type="dxa"/>
            <w:shd w:val="clear" w:color="auto" w:fill="D9D9D9" w:themeFill="background1" w:themeFillShade="D9"/>
            <w:vAlign w:val="center"/>
          </w:tcPr>
          <w:p w14:paraId="30B58BC9" w14:textId="21A41CBB" w:rsidR="006D5638" w:rsidRPr="00D80654" w:rsidRDefault="006D5638" w:rsidP="0033143F">
            <w:pPr>
              <w:pStyle w:val="Betarp"/>
              <w:spacing w:after="240"/>
              <w:jc w:val="center"/>
              <w:rPr>
                <w:rFonts w:ascii="Arial" w:hAnsi="Arial" w:cs="Arial"/>
                <w:sz w:val="21"/>
                <w:szCs w:val="21"/>
              </w:rPr>
            </w:pPr>
            <w:r w:rsidRPr="00D80654">
              <w:rPr>
                <w:rFonts w:ascii="Arial" w:hAnsi="Arial" w:cs="Arial"/>
                <w:sz w:val="21"/>
                <w:szCs w:val="21"/>
              </w:rPr>
              <w:t>Reikšmė</w:t>
            </w:r>
          </w:p>
        </w:tc>
      </w:tr>
      <w:tr w:rsidR="00D81D4E" w:rsidRPr="00D80654" w14:paraId="11FA56B6" w14:textId="3FC07383" w:rsidTr="00D80654">
        <w:tc>
          <w:tcPr>
            <w:tcW w:w="686" w:type="dxa"/>
          </w:tcPr>
          <w:p w14:paraId="0C7179B7" w14:textId="00776328" w:rsidR="006D5638" w:rsidRPr="00D80654" w:rsidRDefault="006D5638" w:rsidP="0033143F">
            <w:pPr>
              <w:pStyle w:val="Betarp"/>
              <w:spacing w:after="240"/>
              <w:jc w:val="center"/>
              <w:rPr>
                <w:rFonts w:ascii="Arial" w:hAnsi="Arial" w:cs="Arial"/>
                <w:sz w:val="21"/>
                <w:szCs w:val="21"/>
              </w:rPr>
            </w:pPr>
            <w:r w:rsidRPr="00D80654">
              <w:rPr>
                <w:rFonts w:ascii="Arial" w:hAnsi="Arial" w:cs="Arial"/>
                <w:sz w:val="21"/>
                <w:szCs w:val="21"/>
              </w:rPr>
              <w:t>1</w:t>
            </w:r>
            <w:r w:rsidR="000C4EFC" w:rsidRPr="00D80654">
              <w:rPr>
                <w:rFonts w:ascii="Arial" w:hAnsi="Arial" w:cs="Arial"/>
                <w:sz w:val="21"/>
                <w:szCs w:val="21"/>
              </w:rPr>
              <w:t>.</w:t>
            </w:r>
          </w:p>
        </w:tc>
        <w:tc>
          <w:tcPr>
            <w:tcW w:w="2003" w:type="dxa"/>
          </w:tcPr>
          <w:p w14:paraId="78572271" w14:textId="013A97AA" w:rsidR="006D5638" w:rsidRPr="00D80654" w:rsidRDefault="006D5638" w:rsidP="0033143F">
            <w:pPr>
              <w:pStyle w:val="Betarp"/>
              <w:spacing w:after="240"/>
              <w:jc w:val="both"/>
              <w:rPr>
                <w:rFonts w:ascii="Arial" w:hAnsi="Arial" w:cs="Arial"/>
                <w:b/>
                <w:bCs/>
                <w:sz w:val="21"/>
                <w:szCs w:val="21"/>
              </w:rPr>
            </w:pPr>
            <w:r w:rsidRPr="00D80654">
              <w:rPr>
                <w:rFonts w:ascii="Arial" w:hAnsi="Arial" w:cs="Arial"/>
                <w:sz w:val="21"/>
                <w:szCs w:val="21"/>
              </w:rPr>
              <w:t>Paslaugos apibrėžimas</w:t>
            </w:r>
          </w:p>
        </w:tc>
        <w:tc>
          <w:tcPr>
            <w:tcW w:w="6939" w:type="dxa"/>
          </w:tcPr>
          <w:p w14:paraId="551C4C18" w14:textId="42CE0430" w:rsidR="006D5638" w:rsidRPr="00D80654" w:rsidRDefault="004B7589" w:rsidP="0033143F">
            <w:pPr>
              <w:pStyle w:val="Betarp"/>
              <w:tabs>
                <w:tab w:val="left" w:pos="206"/>
              </w:tabs>
              <w:spacing w:after="240"/>
              <w:jc w:val="both"/>
              <w:rPr>
                <w:rFonts w:ascii="Arial" w:hAnsi="Arial" w:cs="Arial"/>
                <w:sz w:val="21"/>
                <w:szCs w:val="21"/>
              </w:rPr>
            </w:pPr>
            <w:r w:rsidRPr="00D80654">
              <w:rPr>
                <w:rFonts w:ascii="Arial" w:hAnsi="Arial" w:cs="Arial"/>
                <w:sz w:val="21"/>
                <w:szCs w:val="21"/>
              </w:rPr>
              <w:t>Judriojo</w:t>
            </w:r>
            <w:r w:rsidR="006D5638" w:rsidRPr="00D80654">
              <w:rPr>
                <w:rFonts w:ascii="Arial" w:hAnsi="Arial" w:cs="Arial"/>
                <w:sz w:val="21"/>
                <w:szCs w:val="21"/>
              </w:rPr>
              <w:t xml:space="preserve"> (mobilaus) ryšio paslauga</w:t>
            </w:r>
          </w:p>
        </w:tc>
      </w:tr>
      <w:tr w:rsidR="007A6A6C" w:rsidRPr="00D80654" w14:paraId="2A22ED2A" w14:textId="77777777" w:rsidTr="00D80654">
        <w:tc>
          <w:tcPr>
            <w:tcW w:w="686" w:type="dxa"/>
          </w:tcPr>
          <w:p w14:paraId="59B4D93F" w14:textId="6C93DAC6" w:rsidR="007A6A6C" w:rsidRPr="00D80654" w:rsidRDefault="001D5924" w:rsidP="0033143F">
            <w:pPr>
              <w:pStyle w:val="Betarp"/>
              <w:spacing w:after="240"/>
              <w:jc w:val="center"/>
              <w:rPr>
                <w:rFonts w:ascii="Arial" w:hAnsi="Arial" w:cs="Arial"/>
                <w:sz w:val="21"/>
                <w:szCs w:val="21"/>
              </w:rPr>
            </w:pPr>
            <w:r w:rsidRPr="00D80654">
              <w:rPr>
                <w:rFonts w:ascii="Arial" w:hAnsi="Arial" w:cs="Arial"/>
                <w:sz w:val="21"/>
                <w:szCs w:val="21"/>
              </w:rPr>
              <w:t>2.</w:t>
            </w:r>
          </w:p>
        </w:tc>
        <w:tc>
          <w:tcPr>
            <w:tcW w:w="2003" w:type="dxa"/>
          </w:tcPr>
          <w:p w14:paraId="09FF1C22" w14:textId="58FA2C62" w:rsidR="007A6A6C" w:rsidRPr="00D80654" w:rsidRDefault="001D5924" w:rsidP="0033143F">
            <w:pPr>
              <w:pStyle w:val="Betarp"/>
              <w:spacing w:after="240"/>
              <w:jc w:val="both"/>
              <w:rPr>
                <w:rFonts w:ascii="Arial" w:hAnsi="Arial" w:cs="Arial"/>
                <w:sz w:val="21"/>
                <w:szCs w:val="21"/>
              </w:rPr>
            </w:pPr>
            <w:r w:rsidRPr="00D80654">
              <w:rPr>
                <w:rFonts w:ascii="Arial" w:hAnsi="Arial" w:cs="Arial"/>
                <w:sz w:val="21"/>
                <w:szCs w:val="21"/>
              </w:rPr>
              <w:t>Paslaugų teikimo sąlygos</w:t>
            </w:r>
          </w:p>
        </w:tc>
        <w:tc>
          <w:tcPr>
            <w:tcW w:w="6939" w:type="dxa"/>
          </w:tcPr>
          <w:p w14:paraId="1AE6FA74" w14:textId="615E2D36" w:rsidR="007A6A6C" w:rsidRPr="00D80654" w:rsidRDefault="007A6A6C" w:rsidP="0033143F">
            <w:pPr>
              <w:pStyle w:val="Betarp"/>
              <w:spacing w:after="240"/>
              <w:jc w:val="both"/>
              <w:rPr>
                <w:rFonts w:ascii="Arial" w:hAnsi="Arial" w:cs="Arial"/>
                <w:sz w:val="21"/>
                <w:szCs w:val="21"/>
              </w:rPr>
            </w:pPr>
            <w:r w:rsidRPr="00D80654">
              <w:rPr>
                <w:rFonts w:ascii="Arial" w:hAnsi="Arial" w:cs="Arial"/>
                <w:sz w:val="21"/>
                <w:szCs w:val="21"/>
              </w:rPr>
              <w:t>Paslaugos turi būti teikiamos vadovaujantis aktualiais elektroninių ryšių paslaugų teikimą reglamentuojančiais Lietuvos Respublikos teisės aktais.</w:t>
            </w:r>
          </w:p>
        </w:tc>
      </w:tr>
      <w:tr w:rsidR="001D5924" w:rsidRPr="00D80654" w14:paraId="3A7556C9" w14:textId="77777777" w:rsidTr="00D80654">
        <w:tc>
          <w:tcPr>
            <w:tcW w:w="686" w:type="dxa"/>
          </w:tcPr>
          <w:p w14:paraId="384D55FC" w14:textId="0A60D14C" w:rsidR="001D5924" w:rsidRPr="00D80654" w:rsidRDefault="001D5924" w:rsidP="001D5924">
            <w:pPr>
              <w:pStyle w:val="Betarp"/>
              <w:spacing w:after="240"/>
              <w:jc w:val="center"/>
              <w:rPr>
                <w:rFonts w:ascii="Arial" w:hAnsi="Arial" w:cs="Arial"/>
                <w:sz w:val="21"/>
                <w:szCs w:val="21"/>
              </w:rPr>
            </w:pPr>
            <w:r w:rsidRPr="00D80654">
              <w:rPr>
                <w:rFonts w:ascii="Arial" w:hAnsi="Arial" w:cs="Arial"/>
                <w:sz w:val="21"/>
                <w:szCs w:val="21"/>
              </w:rPr>
              <w:t>3.</w:t>
            </w:r>
          </w:p>
        </w:tc>
        <w:tc>
          <w:tcPr>
            <w:tcW w:w="2003" w:type="dxa"/>
          </w:tcPr>
          <w:p w14:paraId="09E87015" w14:textId="16AA3B5F" w:rsidR="001D5924" w:rsidRPr="00D80654" w:rsidRDefault="001D5924" w:rsidP="001D5924">
            <w:pPr>
              <w:pStyle w:val="Betarp"/>
              <w:spacing w:after="240"/>
              <w:jc w:val="both"/>
              <w:rPr>
                <w:rFonts w:ascii="Arial" w:hAnsi="Arial" w:cs="Arial"/>
                <w:sz w:val="21"/>
                <w:szCs w:val="21"/>
              </w:rPr>
            </w:pPr>
            <w:r w:rsidRPr="00D80654">
              <w:rPr>
                <w:rFonts w:ascii="Arial" w:hAnsi="Arial" w:cs="Arial"/>
                <w:sz w:val="21"/>
                <w:szCs w:val="21"/>
              </w:rPr>
              <w:t>Paslaugų teikimo technologija</w:t>
            </w:r>
          </w:p>
        </w:tc>
        <w:tc>
          <w:tcPr>
            <w:tcW w:w="6939" w:type="dxa"/>
          </w:tcPr>
          <w:p w14:paraId="35207D58" w14:textId="1C996ED3" w:rsidR="001D5924" w:rsidRPr="00D80654" w:rsidRDefault="001D5924" w:rsidP="001D5924">
            <w:pPr>
              <w:pStyle w:val="Betarp"/>
              <w:spacing w:after="240"/>
              <w:jc w:val="both"/>
              <w:rPr>
                <w:rFonts w:ascii="Arial" w:hAnsi="Arial" w:cs="Arial"/>
                <w:sz w:val="21"/>
                <w:szCs w:val="21"/>
              </w:rPr>
            </w:pPr>
            <w:r w:rsidRPr="00D80654">
              <w:rPr>
                <w:rFonts w:ascii="Arial" w:hAnsi="Arial" w:cs="Arial"/>
                <w:sz w:val="21"/>
                <w:szCs w:val="21"/>
              </w:rPr>
              <w:t>Tiekėjas parenka ir pasitelkia tokią technologiją paslaugų teikimui, kad būtų patenkinti techniniai reikalavimai tinkamam paslaugų suteikimui visos Lietuvos Respublikos teritorijos ribose (momentinė duomenų perdavimo greitaveika gali priklausyti nuo konkrečios teritorijos ryšio padengimo toje vietoje ir gali skirtis nuo vidutinių reikšmių).</w:t>
            </w:r>
          </w:p>
        </w:tc>
      </w:tr>
      <w:tr w:rsidR="001D5924" w:rsidRPr="00D80654" w14:paraId="79781806" w14:textId="39A016F3" w:rsidTr="00D80654">
        <w:tc>
          <w:tcPr>
            <w:tcW w:w="686" w:type="dxa"/>
          </w:tcPr>
          <w:p w14:paraId="277C10B3" w14:textId="5D3B322E" w:rsidR="001D5924" w:rsidRPr="00D80654" w:rsidRDefault="001D5924" w:rsidP="001D5924">
            <w:pPr>
              <w:pStyle w:val="Betarp"/>
              <w:spacing w:after="240"/>
              <w:jc w:val="center"/>
              <w:rPr>
                <w:rFonts w:ascii="Arial" w:hAnsi="Arial" w:cs="Arial"/>
                <w:sz w:val="21"/>
                <w:szCs w:val="21"/>
              </w:rPr>
            </w:pPr>
            <w:r w:rsidRPr="00D80654">
              <w:rPr>
                <w:rFonts w:ascii="Arial" w:hAnsi="Arial" w:cs="Arial"/>
                <w:sz w:val="21"/>
                <w:szCs w:val="21"/>
              </w:rPr>
              <w:t>4.</w:t>
            </w:r>
          </w:p>
        </w:tc>
        <w:tc>
          <w:tcPr>
            <w:tcW w:w="2003" w:type="dxa"/>
          </w:tcPr>
          <w:p w14:paraId="5D99639D" w14:textId="79D72D1F" w:rsidR="001D5924" w:rsidRPr="00D80654" w:rsidRDefault="001D5924" w:rsidP="001D5924">
            <w:pPr>
              <w:pStyle w:val="Betarp"/>
              <w:spacing w:after="240"/>
              <w:jc w:val="both"/>
              <w:rPr>
                <w:rFonts w:ascii="Arial" w:hAnsi="Arial" w:cs="Arial"/>
                <w:sz w:val="21"/>
                <w:szCs w:val="21"/>
              </w:rPr>
            </w:pPr>
            <w:r w:rsidRPr="00D80654">
              <w:rPr>
                <w:rFonts w:ascii="Arial" w:hAnsi="Arial" w:cs="Arial"/>
                <w:sz w:val="21"/>
                <w:szCs w:val="21"/>
              </w:rPr>
              <w:t>Teikiamų paslaugų apimtys</w:t>
            </w:r>
          </w:p>
        </w:tc>
        <w:tc>
          <w:tcPr>
            <w:tcW w:w="6939" w:type="dxa"/>
          </w:tcPr>
          <w:p w14:paraId="3B3A1FEB" w14:textId="502BA3B2"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Privalo būti teikiamos ne mažiau kaip sekančios paslaugos:</w:t>
            </w:r>
          </w:p>
          <w:p w14:paraId="67C12EF0" w14:textId="11289FD6"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Skambučių Lietuvoje atlikimas ir priėmimas;</w:t>
            </w:r>
          </w:p>
          <w:p w14:paraId="7932945C" w14:textId="5E88836C"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Tekstinių pranešimų (SMS) Lietuvoje siuntimas ir gavimas;</w:t>
            </w:r>
          </w:p>
          <w:p w14:paraId="24729232" w14:textId="3626A64B"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Iliustruotų pranešimų (MMS) Lietuvoje siuntimas ir gavimas;</w:t>
            </w:r>
          </w:p>
          <w:p w14:paraId="5A5F5CE8" w14:textId="03C65FD8"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Tarptautinių skambučių atlikimas ir priėmimas;</w:t>
            </w:r>
          </w:p>
          <w:p w14:paraId="177C1AD5" w14:textId="6C5797B7"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Tekstinių pranešimų (SMS) į užsienio valstybes siuntimas ir gavimas;</w:t>
            </w:r>
          </w:p>
          <w:p w14:paraId="282EF1F2" w14:textId="776434CC"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Interneto paslaugos duomenų naudojamame įrenginyje siuntimas ir gavimas (mobilusis internetas);</w:t>
            </w:r>
          </w:p>
          <w:p w14:paraId="573DA452" w14:textId="517AE3B5"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Mobiliojo elektroninio parašo paslauga.</w:t>
            </w:r>
          </w:p>
          <w:p w14:paraId="0804DB79" w14:textId="04EB787F" w:rsidR="001D5924" w:rsidRPr="00D80654" w:rsidRDefault="001D5924" w:rsidP="001D5924">
            <w:pPr>
              <w:pStyle w:val="Betarp"/>
              <w:rPr>
                <w:rFonts w:ascii="Arial" w:hAnsi="Arial" w:cs="Arial"/>
                <w:sz w:val="21"/>
                <w:szCs w:val="21"/>
              </w:rPr>
            </w:pPr>
            <w:r w:rsidRPr="00D80654">
              <w:rPr>
                <w:rFonts w:ascii="Arial" w:hAnsi="Arial" w:cs="Arial"/>
                <w:sz w:val="21"/>
                <w:szCs w:val="21"/>
              </w:rPr>
              <w:t>Tarptinklinio ryšio paslaugos. Paslaugos teikiamos abonentui prisijungus prie kitos (nei Lietuvos) valstybės judriojo (mobilaus) ryšio paslaugų teikėjo. Tarptinklinio ryšio paslauga sudaryta iš ne mažiau kaip sekančių paslaugų:</w:t>
            </w:r>
          </w:p>
          <w:p w14:paraId="3D6454A0" w14:textId="587A44A0" w:rsidR="001D5924" w:rsidRPr="00D80654" w:rsidRDefault="001D5924" w:rsidP="001D5924">
            <w:pPr>
              <w:pStyle w:val="Betarp"/>
              <w:rPr>
                <w:rFonts w:ascii="Arial" w:hAnsi="Arial" w:cs="Arial"/>
                <w:sz w:val="21"/>
                <w:szCs w:val="21"/>
              </w:rPr>
            </w:pPr>
            <w:r w:rsidRPr="00D80654">
              <w:rPr>
                <w:rFonts w:ascii="Arial" w:hAnsi="Arial" w:cs="Arial"/>
                <w:sz w:val="21"/>
                <w:szCs w:val="21"/>
              </w:rPr>
              <w:t>Skambučių atlikimas (įskaitant skambučius į kitas užsienio valstybes) ir priėmimas užsienio valstybėje;</w:t>
            </w:r>
          </w:p>
          <w:p w14:paraId="4D0F4EC9" w14:textId="65A79992" w:rsidR="001D5924" w:rsidRPr="00D80654" w:rsidRDefault="001D5924" w:rsidP="001D5924">
            <w:pPr>
              <w:pStyle w:val="Betarp"/>
              <w:rPr>
                <w:rFonts w:ascii="Arial" w:hAnsi="Arial" w:cs="Arial"/>
                <w:sz w:val="21"/>
                <w:szCs w:val="21"/>
              </w:rPr>
            </w:pPr>
            <w:r w:rsidRPr="00D80654">
              <w:rPr>
                <w:rFonts w:ascii="Arial" w:hAnsi="Arial" w:cs="Arial"/>
                <w:sz w:val="21"/>
                <w:szCs w:val="21"/>
              </w:rPr>
              <w:t>Tekstinių pranešimų (SMS) siuntimas ir gavimas užsienio valstybėje;</w:t>
            </w:r>
          </w:p>
          <w:p w14:paraId="5F4E5048" w14:textId="69BB6202" w:rsidR="001D5924" w:rsidRPr="00D80654" w:rsidRDefault="001D5924" w:rsidP="001D5924">
            <w:pPr>
              <w:pStyle w:val="Betarp"/>
              <w:rPr>
                <w:rFonts w:ascii="Arial" w:hAnsi="Arial" w:cs="Arial"/>
                <w:sz w:val="21"/>
                <w:szCs w:val="21"/>
              </w:rPr>
            </w:pPr>
            <w:r w:rsidRPr="00D80654">
              <w:rPr>
                <w:rFonts w:ascii="Arial" w:hAnsi="Arial" w:cs="Arial"/>
                <w:sz w:val="21"/>
                <w:szCs w:val="21"/>
              </w:rPr>
              <w:t>Iliustruotų pranešimų (MMS) užsienio valstybėje siuntimas ir gavimas;</w:t>
            </w:r>
          </w:p>
          <w:p w14:paraId="4D9D4723" w14:textId="604E7B13" w:rsidR="001D5924" w:rsidRPr="00D80654" w:rsidRDefault="001D5924" w:rsidP="001D5924">
            <w:pPr>
              <w:pStyle w:val="Betarp"/>
              <w:spacing w:after="240"/>
              <w:jc w:val="both"/>
              <w:rPr>
                <w:rFonts w:ascii="Arial" w:hAnsi="Arial" w:cs="Arial"/>
                <w:sz w:val="21"/>
                <w:szCs w:val="21"/>
              </w:rPr>
            </w:pPr>
            <w:r w:rsidRPr="00D80654">
              <w:rPr>
                <w:rFonts w:ascii="Arial" w:hAnsi="Arial" w:cs="Arial"/>
                <w:sz w:val="21"/>
                <w:szCs w:val="21"/>
              </w:rPr>
              <w:t>Interneto paslaugos duomenų naudojamame įrenginyje siuntimas ir gavimas (mobilusis internetas) užsienio valstybėje.</w:t>
            </w:r>
          </w:p>
        </w:tc>
      </w:tr>
      <w:tr w:rsidR="001D5924" w:rsidRPr="00D80654" w14:paraId="3F013521" w14:textId="77777777" w:rsidTr="00D80654">
        <w:tc>
          <w:tcPr>
            <w:tcW w:w="686" w:type="dxa"/>
          </w:tcPr>
          <w:p w14:paraId="794F0D69" w14:textId="516CFA16" w:rsidR="001D5924" w:rsidRPr="00D80654" w:rsidRDefault="008B1EDB" w:rsidP="001D5924">
            <w:pPr>
              <w:pStyle w:val="Betarp"/>
              <w:spacing w:after="240"/>
              <w:jc w:val="center"/>
              <w:rPr>
                <w:rFonts w:ascii="Arial" w:hAnsi="Arial" w:cs="Arial"/>
                <w:sz w:val="21"/>
                <w:szCs w:val="21"/>
              </w:rPr>
            </w:pPr>
            <w:r w:rsidRPr="00D80654">
              <w:rPr>
                <w:rFonts w:ascii="Arial" w:hAnsi="Arial" w:cs="Arial"/>
                <w:sz w:val="21"/>
                <w:szCs w:val="21"/>
              </w:rPr>
              <w:t>5</w:t>
            </w:r>
            <w:r w:rsidR="001D5924" w:rsidRPr="00D80654">
              <w:rPr>
                <w:rFonts w:ascii="Arial" w:hAnsi="Arial" w:cs="Arial"/>
                <w:sz w:val="21"/>
                <w:szCs w:val="21"/>
              </w:rPr>
              <w:t>.</w:t>
            </w:r>
          </w:p>
        </w:tc>
        <w:tc>
          <w:tcPr>
            <w:tcW w:w="2003" w:type="dxa"/>
          </w:tcPr>
          <w:p w14:paraId="68C25B0B" w14:textId="5545A684" w:rsidR="001D5924" w:rsidRPr="00D80654" w:rsidRDefault="001D5924" w:rsidP="001D5924">
            <w:pPr>
              <w:pStyle w:val="Betarp"/>
              <w:spacing w:after="240"/>
              <w:jc w:val="both"/>
              <w:rPr>
                <w:rFonts w:ascii="Arial" w:hAnsi="Arial" w:cs="Arial"/>
                <w:sz w:val="21"/>
                <w:szCs w:val="21"/>
              </w:rPr>
            </w:pPr>
            <w:r w:rsidRPr="00D80654">
              <w:rPr>
                <w:rFonts w:ascii="Arial" w:hAnsi="Arial" w:cs="Arial"/>
                <w:sz w:val="21"/>
                <w:szCs w:val="21"/>
              </w:rPr>
              <w:t>Paslaugų teikimo laikas</w:t>
            </w:r>
          </w:p>
        </w:tc>
        <w:tc>
          <w:tcPr>
            <w:tcW w:w="6939" w:type="dxa"/>
          </w:tcPr>
          <w:p w14:paraId="032BB667" w14:textId="116E303B"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Visos judriojo ryšio paslaugos teikiamos nenutrūkstamai (24x7 režimu).</w:t>
            </w:r>
          </w:p>
        </w:tc>
      </w:tr>
      <w:tr w:rsidR="001D5924" w:rsidRPr="00D80654" w14:paraId="4663544E" w14:textId="77777777" w:rsidTr="00D80654">
        <w:tc>
          <w:tcPr>
            <w:tcW w:w="686" w:type="dxa"/>
          </w:tcPr>
          <w:p w14:paraId="2C60172C" w14:textId="4059A4A7" w:rsidR="001D5924" w:rsidRPr="00D80654" w:rsidRDefault="008B1EDB" w:rsidP="001D5924">
            <w:pPr>
              <w:pStyle w:val="Betarp"/>
              <w:spacing w:after="240"/>
              <w:jc w:val="center"/>
              <w:rPr>
                <w:rFonts w:ascii="Arial" w:hAnsi="Arial" w:cs="Arial"/>
                <w:sz w:val="21"/>
                <w:szCs w:val="21"/>
              </w:rPr>
            </w:pPr>
            <w:r w:rsidRPr="00D80654">
              <w:rPr>
                <w:rFonts w:ascii="Arial" w:hAnsi="Arial" w:cs="Arial"/>
                <w:sz w:val="21"/>
                <w:szCs w:val="21"/>
              </w:rPr>
              <w:t>6</w:t>
            </w:r>
            <w:r w:rsidR="001D5924" w:rsidRPr="00D80654">
              <w:rPr>
                <w:rFonts w:ascii="Arial" w:hAnsi="Arial" w:cs="Arial"/>
                <w:sz w:val="21"/>
                <w:szCs w:val="21"/>
              </w:rPr>
              <w:t>.</w:t>
            </w:r>
          </w:p>
        </w:tc>
        <w:tc>
          <w:tcPr>
            <w:tcW w:w="2003" w:type="dxa"/>
          </w:tcPr>
          <w:p w14:paraId="7D65B7D7" w14:textId="0E810189" w:rsidR="001D5924" w:rsidRPr="00D80654" w:rsidRDefault="001D5924" w:rsidP="001D5924">
            <w:pPr>
              <w:pStyle w:val="Betarp"/>
              <w:spacing w:after="240"/>
              <w:jc w:val="both"/>
              <w:rPr>
                <w:rFonts w:ascii="Arial" w:hAnsi="Arial" w:cs="Arial"/>
                <w:sz w:val="21"/>
                <w:szCs w:val="21"/>
              </w:rPr>
            </w:pPr>
            <w:r w:rsidRPr="00D80654">
              <w:rPr>
                <w:rFonts w:ascii="Arial" w:hAnsi="Arial" w:cs="Arial"/>
                <w:sz w:val="21"/>
                <w:szCs w:val="21"/>
              </w:rPr>
              <w:t xml:space="preserve">Paslaugos teikimo atkūrimo laikotarpis </w:t>
            </w:r>
          </w:p>
        </w:tc>
        <w:tc>
          <w:tcPr>
            <w:tcW w:w="6939" w:type="dxa"/>
          </w:tcPr>
          <w:p w14:paraId="424AB089" w14:textId="2E6B5449"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ne ilgiau nei 4 (keturios) valandos nuo pranešimo apie Paslaugų teikimo sutrikimą gavimo.</w:t>
            </w:r>
          </w:p>
        </w:tc>
      </w:tr>
      <w:tr w:rsidR="001D5924" w:rsidRPr="00D80654" w14:paraId="45D5C8BE" w14:textId="77777777" w:rsidTr="00D80654">
        <w:tc>
          <w:tcPr>
            <w:tcW w:w="686" w:type="dxa"/>
          </w:tcPr>
          <w:p w14:paraId="5733C916" w14:textId="26E0792D" w:rsidR="001D5924" w:rsidRPr="00D80654" w:rsidRDefault="008B1EDB" w:rsidP="001D5924">
            <w:pPr>
              <w:pStyle w:val="Betarp"/>
              <w:spacing w:after="240"/>
              <w:jc w:val="center"/>
              <w:rPr>
                <w:rFonts w:ascii="Arial" w:hAnsi="Arial" w:cs="Arial"/>
                <w:sz w:val="21"/>
                <w:szCs w:val="21"/>
              </w:rPr>
            </w:pPr>
            <w:r w:rsidRPr="00D80654">
              <w:rPr>
                <w:rFonts w:ascii="Arial" w:hAnsi="Arial" w:cs="Arial"/>
                <w:sz w:val="21"/>
                <w:szCs w:val="21"/>
              </w:rPr>
              <w:t>7</w:t>
            </w:r>
            <w:r w:rsidR="001D5924" w:rsidRPr="00D80654">
              <w:rPr>
                <w:rFonts w:ascii="Arial" w:hAnsi="Arial" w:cs="Arial"/>
                <w:sz w:val="21"/>
                <w:szCs w:val="21"/>
              </w:rPr>
              <w:t>.</w:t>
            </w:r>
          </w:p>
        </w:tc>
        <w:tc>
          <w:tcPr>
            <w:tcW w:w="2003" w:type="dxa"/>
          </w:tcPr>
          <w:p w14:paraId="78B638D7" w14:textId="3FDBC567" w:rsidR="001D5924" w:rsidRPr="00D80654" w:rsidRDefault="001D5924" w:rsidP="001D5924">
            <w:pPr>
              <w:pStyle w:val="Betarp"/>
              <w:spacing w:after="240"/>
              <w:jc w:val="both"/>
              <w:rPr>
                <w:rFonts w:ascii="Arial" w:hAnsi="Arial" w:cs="Arial"/>
                <w:sz w:val="21"/>
                <w:szCs w:val="21"/>
              </w:rPr>
            </w:pPr>
            <w:r w:rsidRPr="00D80654">
              <w:rPr>
                <w:rFonts w:ascii="Arial" w:hAnsi="Arial" w:cs="Arial"/>
                <w:sz w:val="21"/>
                <w:szCs w:val="21"/>
              </w:rPr>
              <w:t>Judriojo ryšio aprėpties zonos padengimas Lietuvoje</w:t>
            </w:r>
          </w:p>
        </w:tc>
        <w:tc>
          <w:tcPr>
            <w:tcW w:w="6939" w:type="dxa"/>
          </w:tcPr>
          <w:p w14:paraId="56F8503A" w14:textId="77777777"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 xml:space="preserve">Pagal viešai prieinamus duomenis internetiniame puslapyje </w:t>
            </w:r>
            <w:hyperlink r:id="rId7" w:history="1">
              <w:r w:rsidRPr="00D80654">
                <w:rPr>
                  <w:rStyle w:val="Hipersaitas"/>
                  <w:rFonts w:ascii="Arial" w:hAnsi="Arial" w:cs="Arial"/>
                  <w:sz w:val="21"/>
                  <w:szCs w:val="21"/>
                </w:rPr>
                <w:t>https://www.rrt.lt/judriojo-rysio-tinklu-tiketinos-aprepties-zonos/</w:t>
              </w:r>
            </w:hyperlink>
            <w:r w:rsidRPr="00D80654">
              <w:rPr>
                <w:rFonts w:ascii="Arial" w:hAnsi="Arial" w:cs="Arial"/>
                <w:sz w:val="21"/>
                <w:szCs w:val="21"/>
              </w:rPr>
              <w:t xml:space="preserve"> </w:t>
            </w:r>
          </w:p>
          <w:p w14:paraId="6C741BB1" w14:textId="2829B5FB" w:rsidR="001D5924" w:rsidRPr="00D80654" w:rsidRDefault="001D5924" w:rsidP="001D5924">
            <w:pPr>
              <w:pStyle w:val="Betarp"/>
              <w:numPr>
                <w:ilvl w:val="0"/>
                <w:numId w:val="8"/>
              </w:numPr>
              <w:jc w:val="both"/>
              <w:rPr>
                <w:rFonts w:ascii="Arial" w:hAnsi="Arial" w:cs="Arial"/>
                <w:sz w:val="21"/>
                <w:szCs w:val="21"/>
              </w:rPr>
            </w:pPr>
            <w:r w:rsidRPr="00D80654">
              <w:rPr>
                <w:rFonts w:ascii="Arial" w:hAnsi="Arial" w:cs="Arial"/>
                <w:sz w:val="21"/>
                <w:szCs w:val="21"/>
              </w:rPr>
              <w:t xml:space="preserve">pagal skiltyje „GSM (2G)“ pateikiamus duomenis ne prastesnio nei silpno lygio signalo padengimas turi užtikrinti ne mažiau nei 97 </w:t>
            </w:r>
            <w:r w:rsidRPr="00D80654">
              <w:rPr>
                <w:rFonts w:ascii="Arial" w:hAnsi="Arial" w:cs="Arial"/>
                <w:sz w:val="21"/>
                <w:szCs w:val="21"/>
                <w:lang w:val="en-US"/>
              </w:rPr>
              <w:t xml:space="preserve">% </w:t>
            </w:r>
            <w:r w:rsidRPr="00D80654">
              <w:rPr>
                <w:rFonts w:ascii="Arial" w:hAnsi="Arial" w:cs="Arial"/>
                <w:sz w:val="21"/>
                <w:szCs w:val="21"/>
              </w:rPr>
              <w:t>Lietuvos Respublikos teritorijos padengimą.</w:t>
            </w:r>
          </w:p>
          <w:p w14:paraId="01AF86DF" w14:textId="2D13D289" w:rsidR="001D5924" w:rsidRPr="00D80654" w:rsidRDefault="001D5924" w:rsidP="00D80654">
            <w:pPr>
              <w:pStyle w:val="Betarp"/>
              <w:numPr>
                <w:ilvl w:val="0"/>
                <w:numId w:val="8"/>
              </w:numPr>
              <w:spacing w:after="240"/>
              <w:jc w:val="both"/>
              <w:rPr>
                <w:rFonts w:ascii="Arial" w:hAnsi="Arial" w:cs="Arial"/>
                <w:sz w:val="21"/>
                <w:szCs w:val="21"/>
              </w:rPr>
            </w:pPr>
            <w:r w:rsidRPr="00D80654">
              <w:rPr>
                <w:rFonts w:ascii="Arial" w:hAnsi="Arial" w:cs="Arial"/>
                <w:sz w:val="21"/>
                <w:szCs w:val="21"/>
              </w:rPr>
              <w:t xml:space="preserve">pagal skiltyje „LTE(4G)“ pateikiamus duomenis ne prastesnio nei silpno lygio signalo padengimas turi užtikrinti ne mažiau nei 93 </w:t>
            </w:r>
            <w:r w:rsidRPr="00D80654">
              <w:rPr>
                <w:rFonts w:ascii="Arial" w:hAnsi="Arial" w:cs="Arial"/>
                <w:sz w:val="21"/>
                <w:szCs w:val="21"/>
                <w:lang w:val="en-US"/>
              </w:rPr>
              <w:t xml:space="preserve">% </w:t>
            </w:r>
            <w:r w:rsidRPr="00D80654">
              <w:rPr>
                <w:rFonts w:ascii="Arial" w:hAnsi="Arial" w:cs="Arial"/>
                <w:sz w:val="21"/>
                <w:szCs w:val="21"/>
              </w:rPr>
              <w:t>Lietuvos Respublikos teritorijos padengimą.</w:t>
            </w:r>
          </w:p>
        </w:tc>
      </w:tr>
      <w:tr w:rsidR="001D5924" w:rsidRPr="00D80654" w14:paraId="12A3348F" w14:textId="77777777" w:rsidTr="00D80654">
        <w:tc>
          <w:tcPr>
            <w:tcW w:w="686" w:type="dxa"/>
          </w:tcPr>
          <w:p w14:paraId="406F1048" w14:textId="5F8D0529" w:rsidR="001D5924" w:rsidRPr="00D80654" w:rsidRDefault="008B1EDB" w:rsidP="001D5924">
            <w:pPr>
              <w:pStyle w:val="Betarp"/>
              <w:spacing w:after="240"/>
              <w:jc w:val="center"/>
              <w:rPr>
                <w:rFonts w:ascii="Arial" w:hAnsi="Arial" w:cs="Arial"/>
                <w:sz w:val="21"/>
                <w:szCs w:val="21"/>
              </w:rPr>
            </w:pPr>
            <w:r w:rsidRPr="00D80654">
              <w:rPr>
                <w:rFonts w:ascii="Arial" w:hAnsi="Arial" w:cs="Arial"/>
                <w:sz w:val="21"/>
                <w:szCs w:val="21"/>
              </w:rPr>
              <w:t>8</w:t>
            </w:r>
            <w:r w:rsidR="001D5924" w:rsidRPr="00D80654">
              <w:rPr>
                <w:rFonts w:ascii="Arial" w:hAnsi="Arial" w:cs="Arial"/>
                <w:sz w:val="21"/>
                <w:szCs w:val="21"/>
              </w:rPr>
              <w:t>.</w:t>
            </w:r>
          </w:p>
        </w:tc>
        <w:tc>
          <w:tcPr>
            <w:tcW w:w="2003" w:type="dxa"/>
          </w:tcPr>
          <w:p w14:paraId="7FD0703F" w14:textId="415E4E28" w:rsidR="001D5924" w:rsidRPr="00D80654" w:rsidRDefault="001D5924" w:rsidP="001D5924">
            <w:pPr>
              <w:pStyle w:val="Betarp"/>
              <w:spacing w:after="240"/>
              <w:jc w:val="both"/>
              <w:rPr>
                <w:rFonts w:ascii="Arial" w:hAnsi="Arial" w:cs="Arial"/>
                <w:sz w:val="21"/>
                <w:szCs w:val="21"/>
              </w:rPr>
            </w:pPr>
            <w:r w:rsidRPr="00D80654">
              <w:rPr>
                <w:rFonts w:ascii="Arial" w:hAnsi="Arial" w:cs="Arial"/>
                <w:sz w:val="21"/>
                <w:szCs w:val="21"/>
              </w:rPr>
              <w:t xml:space="preserve">Minimali užtikrinama </w:t>
            </w:r>
            <w:r w:rsidRPr="00D80654">
              <w:rPr>
                <w:rFonts w:ascii="Arial" w:hAnsi="Arial" w:cs="Arial"/>
                <w:sz w:val="21"/>
                <w:szCs w:val="21"/>
              </w:rPr>
              <w:lastRenderedPageBreak/>
              <w:t>duomenų perdavimo greitaveika Lietuvoje</w:t>
            </w:r>
          </w:p>
        </w:tc>
        <w:tc>
          <w:tcPr>
            <w:tcW w:w="6939" w:type="dxa"/>
          </w:tcPr>
          <w:p w14:paraId="16F0E983" w14:textId="77777777"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lastRenderedPageBreak/>
              <w:t>Vidutinė gaunamų duomenų greitaveika ne mažiau nei 45 Mb/s;</w:t>
            </w:r>
          </w:p>
          <w:p w14:paraId="333AF738" w14:textId="77777777"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Vidutinė siunčiamų duomenų greitaveika ne mažiau nei 15 Mb/s;</w:t>
            </w:r>
          </w:p>
          <w:p w14:paraId="782AF4C2" w14:textId="77777777" w:rsidR="001D5924" w:rsidRPr="00D80654" w:rsidRDefault="001D5924" w:rsidP="001D5924">
            <w:pPr>
              <w:pStyle w:val="Betarp"/>
              <w:spacing w:after="240"/>
              <w:jc w:val="both"/>
              <w:rPr>
                <w:rFonts w:ascii="Arial" w:hAnsi="Arial" w:cs="Arial"/>
                <w:sz w:val="21"/>
                <w:szCs w:val="21"/>
              </w:rPr>
            </w:pPr>
            <w:r w:rsidRPr="00D80654">
              <w:rPr>
                <w:rFonts w:ascii="Arial" w:hAnsi="Arial" w:cs="Arial"/>
                <w:sz w:val="21"/>
                <w:szCs w:val="21"/>
              </w:rPr>
              <w:lastRenderedPageBreak/>
              <w:t>Vidutinė delsa ne daugiau nei 65 ms.</w:t>
            </w:r>
          </w:p>
          <w:p w14:paraId="7A6F15C6" w14:textId="22FCB961" w:rsidR="001D5924" w:rsidRPr="00D80654" w:rsidRDefault="001D5924" w:rsidP="00D80654">
            <w:pPr>
              <w:pStyle w:val="Betarp"/>
              <w:spacing w:after="240"/>
              <w:jc w:val="both"/>
              <w:rPr>
                <w:rFonts w:ascii="Arial" w:hAnsi="Arial" w:cs="Arial"/>
                <w:sz w:val="21"/>
                <w:szCs w:val="21"/>
              </w:rPr>
            </w:pPr>
            <w:r w:rsidRPr="00D80654">
              <w:rPr>
                <w:rFonts w:ascii="Arial" w:hAnsi="Arial" w:cs="Arial"/>
                <w:sz w:val="21"/>
                <w:szCs w:val="21"/>
              </w:rPr>
              <w:t xml:space="preserve">(pagal matuojamus ir viešai skelbiamus tinklalapyje </w:t>
            </w:r>
            <w:hyperlink r:id="rId8" w:history="1">
              <w:r w:rsidRPr="00D80654">
                <w:rPr>
                  <w:rStyle w:val="Hipersaitas"/>
                  <w:rFonts w:ascii="Arial" w:hAnsi="Arial" w:cs="Arial"/>
                  <w:sz w:val="21"/>
                  <w:szCs w:val="21"/>
                </w:rPr>
                <w:t>www.rrt.lt</w:t>
              </w:r>
            </w:hyperlink>
            <w:r w:rsidRPr="00D80654">
              <w:rPr>
                <w:rFonts w:ascii="Arial" w:hAnsi="Arial" w:cs="Arial"/>
                <w:sz w:val="21"/>
                <w:szCs w:val="21"/>
              </w:rPr>
              <w:t xml:space="preserve"> kokybės parametrus, visų reikalaujamų parametrų matavimo metai turi būti vienodi, vėliausi publikuojami metai).</w:t>
            </w:r>
          </w:p>
        </w:tc>
      </w:tr>
      <w:tr w:rsidR="001D5924" w:rsidRPr="00D80654" w14:paraId="647CEEB6" w14:textId="25BEE1E8" w:rsidTr="00D80654">
        <w:tc>
          <w:tcPr>
            <w:tcW w:w="686" w:type="dxa"/>
          </w:tcPr>
          <w:p w14:paraId="4BDD30A0" w14:textId="23188F59" w:rsidR="001D5924" w:rsidRPr="00D80654" w:rsidRDefault="008B1EDB" w:rsidP="001D5924">
            <w:pPr>
              <w:pStyle w:val="Betarp"/>
              <w:spacing w:after="240"/>
              <w:jc w:val="center"/>
              <w:rPr>
                <w:rFonts w:ascii="Arial" w:hAnsi="Arial" w:cs="Arial"/>
                <w:sz w:val="21"/>
                <w:szCs w:val="21"/>
              </w:rPr>
            </w:pPr>
            <w:r w:rsidRPr="00D80654">
              <w:rPr>
                <w:rFonts w:ascii="Arial" w:hAnsi="Arial" w:cs="Arial"/>
                <w:sz w:val="21"/>
                <w:szCs w:val="21"/>
              </w:rPr>
              <w:lastRenderedPageBreak/>
              <w:t>9</w:t>
            </w:r>
            <w:r w:rsidR="001D5924" w:rsidRPr="00D80654">
              <w:rPr>
                <w:rFonts w:ascii="Arial" w:hAnsi="Arial" w:cs="Arial"/>
                <w:sz w:val="21"/>
                <w:szCs w:val="21"/>
              </w:rPr>
              <w:t>.</w:t>
            </w:r>
          </w:p>
        </w:tc>
        <w:tc>
          <w:tcPr>
            <w:tcW w:w="2003" w:type="dxa"/>
          </w:tcPr>
          <w:p w14:paraId="7F9F3FEA" w14:textId="26BC0636" w:rsidR="001D5924" w:rsidRPr="00D80654" w:rsidRDefault="001D5924" w:rsidP="001D5924">
            <w:pPr>
              <w:pStyle w:val="Betarp"/>
              <w:spacing w:after="240"/>
              <w:jc w:val="both"/>
              <w:rPr>
                <w:rFonts w:ascii="Arial" w:hAnsi="Arial" w:cs="Arial"/>
                <w:sz w:val="21"/>
                <w:szCs w:val="21"/>
              </w:rPr>
            </w:pPr>
            <w:r w:rsidRPr="00D80654">
              <w:rPr>
                <w:rFonts w:ascii="Arial" w:hAnsi="Arial" w:cs="Arial"/>
                <w:sz w:val="21"/>
                <w:szCs w:val="21"/>
              </w:rPr>
              <w:t>Pagrindinių ryšio paslaugų rinkinys vienam abonentui</w:t>
            </w:r>
          </w:p>
        </w:tc>
        <w:tc>
          <w:tcPr>
            <w:tcW w:w="6939" w:type="dxa"/>
          </w:tcPr>
          <w:p w14:paraId="6385BDFA" w14:textId="14297DB3"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Vieno abonento SIM kortelei už fiksuotą abonentinį kalendorinio mėnesio mokestį turi būti teikiamos ne mažiau kaip sekančios paslaugos:</w:t>
            </w:r>
          </w:p>
          <w:p w14:paraId="2509EA66" w14:textId="77777777"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Neribotas kiekis skambučių Lietuvoje atlikimas ir priėmimas;</w:t>
            </w:r>
          </w:p>
          <w:p w14:paraId="7C902820" w14:textId="09588544"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Neribotas kiekis tekstinių pranešimų (SMS) Lietuvoje siuntimas ir gavimas;</w:t>
            </w:r>
          </w:p>
          <w:p w14:paraId="68F00B27" w14:textId="77777777"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Neribotas Iliustruotų pranešimų (MMS) Lietuvoje gavimas;</w:t>
            </w:r>
          </w:p>
          <w:p w14:paraId="03C21443" w14:textId="034E33A7"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Neribotas tarptautinių skambučių priėmimas;</w:t>
            </w:r>
          </w:p>
          <w:p w14:paraId="26ED531B" w14:textId="2988E9A2" w:rsidR="001D5924" w:rsidRPr="00D80654" w:rsidRDefault="001D5924" w:rsidP="00D80654">
            <w:pPr>
              <w:pStyle w:val="Betarp"/>
              <w:spacing w:after="240"/>
              <w:jc w:val="both"/>
              <w:rPr>
                <w:rFonts w:ascii="Arial" w:hAnsi="Arial" w:cs="Arial"/>
                <w:sz w:val="21"/>
                <w:szCs w:val="21"/>
              </w:rPr>
            </w:pPr>
            <w:r w:rsidRPr="00D80654">
              <w:rPr>
                <w:rFonts w:ascii="Arial" w:hAnsi="Arial" w:cs="Arial"/>
                <w:sz w:val="21"/>
                <w:szCs w:val="21"/>
              </w:rPr>
              <w:t>Neribotas tekstinių pranešimų (SMS) į užsienio gavimas.</w:t>
            </w:r>
          </w:p>
        </w:tc>
      </w:tr>
      <w:tr w:rsidR="001D5924" w:rsidRPr="00D80654" w14:paraId="094CD9D1" w14:textId="35A7B5A9" w:rsidTr="00D80654">
        <w:tc>
          <w:tcPr>
            <w:tcW w:w="686" w:type="dxa"/>
          </w:tcPr>
          <w:p w14:paraId="2D2B7FD2" w14:textId="5B68471F" w:rsidR="001D5924" w:rsidRPr="00D80654" w:rsidRDefault="008B1EDB" w:rsidP="001D5924">
            <w:pPr>
              <w:pStyle w:val="Betarp"/>
              <w:spacing w:after="240"/>
              <w:jc w:val="center"/>
              <w:rPr>
                <w:rFonts w:ascii="Arial" w:hAnsi="Arial" w:cs="Arial"/>
                <w:sz w:val="21"/>
                <w:szCs w:val="21"/>
              </w:rPr>
            </w:pPr>
            <w:r w:rsidRPr="00D80654">
              <w:rPr>
                <w:rFonts w:ascii="Arial" w:hAnsi="Arial" w:cs="Arial"/>
                <w:sz w:val="21"/>
                <w:szCs w:val="21"/>
              </w:rPr>
              <w:t>10</w:t>
            </w:r>
            <w:r w:rsidR="001D5924" w:rsidRPr="00D80654">
              <w:rPr>
                <w:rFonts w:ascii="Arial" w:hAnsi="Arial" w:cs="Arial"/>
                <w:sz w:val="21"/>
                <w:szCs w:val="21"/>
              </w:rPr>
              <w:t>.</w:t>
            </w:r>
          </w:p>
        </w:tc>
        <w:tc>
          <w:tcPr>
            <w:tcW w:w="2003" w:type="dxa"/>
          </w:tcPr>
          <w:p w14:paraId="78D371AE" w14:textId="4984E097" w:rsidR="001D5924" w:rsidRPr="00D80654" w:rsidRDefault="001D5924" w:rsidP="001D5924">
            <w:pPr>
              <w:pStyle w:val="Betarp"/>
              <w:spacing w:after="240"/>
              <w:jc w:val="both"/>
              <w:rPr>
                <w:rFonts w:ascii="Arial" w:hAnsi="Arial" w:cs="Arial"/>
                <w:b/>
                <w:bCs/>
                <w:sz w:val="21"/>
                <w:szCs w:val="21"/>
              </w:rPr>
            </w:pPr>
            <w:r w:rsidRPr="00D80654">
              <w:rPr>
                <w:rFonts w:ascii="Arial" w:hAnsi="Arial" w:cs="Arial"/>
                <w:sz w:val="21"/>
                <w:szCs w:val="21"/>
              </w:rPr>
              <w:t>Interneto paslaugos siunčiamų ir gaunamų duomenų kiekio planai</w:t>
            </w:r>
          </w:p>
        </w:tc>
        <w:tc>
          <w:tcPr>
            <w:tcW w:w="6939" w:type="dxa"/>
          </w:tcPr>
          <w:p w14:paraId="0938635D" w14:textId="230A601E"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Kartu su pagrindiniu ryšio paslaugų rinkiniu gali būti pasirenkamas vienas iš duomenų planų, kuris suteikia ne mažesnį nei nurodytą duomenų kiekį per kalendorinį mėnesį:</w:t>
            </w:r>
          </w:p>
          <w:p w14:paraId="581CD67F" w14:textId="0AC6D725"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a) ne mažiau nei 5 GB/mėn.</w:t>
            </w:r>
          </w:p>
          <w:p w14:paraId="655DB46E" w14:textId="2CDD7BF3"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 xml:space="preserve">b) ne mažiau nei 10 GB/mėn. </w:t>
            </w:r>
          </w:p>
          <w:p w14:paraId="56DFC82F" w14:textId="27456F11"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 xml:space="preserve">c) ne mažiau nei 20 GB/mėn. </w:t>
            </w:r>
          </w:p>
          <w:p w14:paraId="620FA650" w14:textId="2DC29E31"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d) ne mažiau nei 50 GB/mėn.</w:t>
            </w:r>
          </w:p>
          <w:p w14:paraId="0D6C32D7" w14:textId="77777777" w:rsidR="001D5924" w:rsidRPr="00D80654" w:rsidRDefault="001D5924" w:rsidP="001D5924">
            <w:pPr>
              <w:pStyle w:val="Betarp"/>
              <w:spacing w:after="240"/>
              <w:jc w:val="both"/>
              <w:rPr>
                <w:rFonts w:ascii="Arial" w:hAnsi="Arial" w:cs="Arial"/>
                <w:sz w:val="21"/>
                <w:szCs w:val="21"/>
              </w:rPr>
            </w:pPr>
            <w:r w:rsidRPr="00D80654">
              <w:rPr>
                <w:rFonts w:ascii="Arial" w:hAnsi="Arial" w:cs="Arial"/>
                <w:sz w:val="21"/>
                <w:szCs w:val="21"/>
              </w:rPr>
              <w:t>e) neriboti GB/mėn.</w:t>
            </w:r>
          </w:p>
          <w:p w14:paraId="0AE72B8A" w14:textId="77777777"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Išnaudotų duomenų kiekis turi būti atvaizduojamas ne didesniu nei 100 MB tikslumu. Išnaudojus pasirinkto plano duomenų kiekį, papildomo GB kaina nurodyta konkretaus pirkimo pasiūlyme. Papildomas duomenų kiekis turi būti atvaizduojamas ne didesniu nei 100 MB tikslumu, apmokestinamas ne didesniu nei 1 GB tikslumu.</w:t>
            </w:r>
          </w:p>
          <w:p w14:paraId="617E00E8" w14:textId="77777777"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Pagal Užsakovo prašymą Tiekėjas turi apriboti maksimalų mėnesinį  duomenų kiekį, kuris negali būti mažesnis, nei pasirinkto plano duomenų kiekis. Tokiu atveju mokestis už nustatyto duomenų kiekio limito viršijimą negali būti skaičiuojamas.</w:t>
            </w:r>
          </w:p>
          <w:p w14:paraId="7DF0E743" w14:textId="0E9FE852" w:rsidR="001D5924" w:rsidRPr="00D80654" w:rsidRDefault="001D5924" w:rsidP="00D80654">
            <w:pPr>
              <w:pStyle w:val="Betarp"/>
              <w:spacing w:after="240"/>
              <w:jc w:val="both"/>
              <w:rPr>
                <w:rFonts w:ascii="Arial" w:hAnsi="Arial" w:cs="Arial"/>
                <w:sz w:val="21"/>
                <w:szCs w:val="21"/>
              </w:rPr>
            </w:pPr>
            <w:r w:rsidRPr="00D80654">
              <w:rPr>
                <w:rFonts w:ascii="Arial" w:hAnsi="Arial" w:cs="Arial"/>
                <w:sz w:val="21"/>
                <w:szCs w:val="21"/>
              </w:rPr>
              <w:t>Visų planų greitaveika (įskaitant papildomai naudojamus duomenis, išnaudojus pasirinkto plano mėnesio kiekį) neturi mažėti ar būti ribojama priklausomai nuo išnaudotų duomenų kiekio.</w:t>
            </w:r>
          </w:p>
        </w:tc>
      </w:tr>
      <w:tr w:rsidR="001D5924" w:rsidRPr="00D80654" w14:paraId="098C4F9B" w14:textId="77777777" w:rsidTr="00D80654">
        <w:tc>
          <w:tcPr>
            <w:tcW w:w="686" w:type="dxa"/>
          </w:tcPr>
          <w:p w14:paraId="72579C60" w14:textId="2ABE46D8" w:rsidR="001D5924" w:rsidRPr="00D80654" w:rsidRDefault="008B1EDB" w:rsidP="008B1EDB">
            <w:pPr>
              <w:pStyle w:val="Betarp"/>
              <w:spacing w:after="240"/>
              <w:rPr>
                <w:rFonts w:ascii="Arial" w:hAnsi="Arial" w:cs="Arial"/>
                <w:sz w:val="21"/>
                <w:szCs w:val="21"/>
              </w:rPr>
            </w:pPr>
            <w:r w:rsidRPr="00D80654">
              <w:rPr>
                <w:rFonts w:ascii="Arial" w:hAnsi="Arial" w:cs="Arial"/>
                <w:sz w:val="21"/>
                <w:szCs w:val="21"/>
              </w:rPr>
              <w:t>11</w:t>
            </w:r>
            <w:r w:rsidR="001D5924" w:rsidRPr="00D80654">
              <w:rPr>
                <w:rFonts w:ascii="Arial" w:hAnsi="Arial" w:cs="Arial"/>
                <w:sz w:val="21"/>
                <w:szCs w:val="21"/>
              </w:rPr>
              <w:t>.</w:t>
            </w:r>
          </w:p>
        </w:tc>
        <w:tc>
          <w:tcPr>
            <w:tcW w:w="2003" w:type="dxa"/>
          </w:tcPr>
          <w:p w14:paraId="26170C3B" w14:textId="0578A625" w:rsidR="001D5924" w:rsidRPr="00D80654" w:rsidRDefault="001D5924" w:rsidP="001D5924">
            <w:pPr>
              <w:pStyle w:val="Betarp"/>
              <w:spacing w:after="240"/>
              <w:jc w:val="both"/>
              <w:rPr>
                <w:rFonts w:ascii="Arial" w:hAnsi="Arial" w:cs="Arial"/>
                <w:sz w:val="21"/>
                <w:szCs w:val="21"/>
              </w:rPr>
            </w:pPr>
            <w:r w:rsidRPr="00D80654">
              <w:rPr>
                <w:rFonts w:ascii="Arial" w:hAnsi="Arial" w:cs="Arial"/>
                <w:sz w:val="21"/>
                <w:szCs w:val="21"/>
              </w:rPr>
              <w:t>Papildomos paslaugos</w:t>
            </w:r>
          </w:p>
        </w:tc>
        <w:tc>
          <w:tcPr>
            <w:tcW w:w="6939" w:type="dxa"/>
          </w:tcPr>
          <w:p w14:paraId="34E43B75" w14:textId="77777777" w:rsidR="001D5924" w:rsidRPr="00D80654" w:rsidRDefault="001D5924" w:rsidP="001D5924">
            <w:pPr>
              <w:pStyle w:val="Betarp"/>
              <w:spacing w:after="240"/>
              <w:jc w:val="both"/>
              <w:rPr>
                <w:rFonts w:ascii="Arial" w:hAnsi="Arial" w:cs="Arial"/>
                <w:sz w:val="21"/>
                <w:szCs w:val="21"/>
              </w:rPr>
            </w:pPr>
            <w:r w:rsidRPr="00D80654">
              <w:rPr>
                <w:rFonts w:ascii="Arial" w:hAnsi="Arial" w:cs="Arial"/>
                <w:sz w:val="21"/>
                <w:szCs w:val="21"/>
              </w:rPr>
              <w:t>Paslaugų teikėjas pagal užsakovo pateiktą užsakymą privalo teikti ne mažiau kaip sekančias balso ir ryšio paslaugas:</w:t>
            </w:r>
          </w:p>
          <w:p w14:paraId="04990153" w14:textId="5B21DAEC"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Mobilaus kvalifikuoto elektroninio parašo paslaugą (gali būti teikiama už papildomą mokestį, užklausų žinučių kiekis Lietuvoje neturi būti ribojamas ir papildomai apmokestinamas)</w:t>
            </w:r>
          </w:p>
          <w:p w14:paraId="3AE8DD76" w14:textId="6054DF3F"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Numerio perkėlimo iš kito operatoriaus paslaugą (nemokamai, perkeliamas numeris neturi turėti galiojančių terminuotų įsipareigojimų esamam operatoriui)</w:t>
            </w:r>
          </w:p>
          <w:p w14:paraId="10523369" w14:textId="77777777"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Skambučio laukimo paslaugą (teikiama nemokamai, paslauga užtikrina vykstančio pokalbio metu informavimą apie kitą įeinanti skambutį su galimybę atsiliepti į jį)</w:t>
            </w:r>
          </w:p>
          <w:p w14:paraId="6DBA47C8" w14:textId="2643BD5D" w:rsidR="001D5924" w:rsidRPr="00D80654" w:rsidRDefault="001D5924" w:rsidP="001D5924">
            <w:pPr>
              <w:pStyle w:val="Betarp"/>
              <w:jc w:val="both"/>
              <w:rPr>
                <w:rFonts w:ascii="Arial" w:hAnsi="Arial" w:cs="Arial"/>
                <w:sz w:val="21"/>
                <w:szCs w:val="21"/>
              </w:rPr>
            </w:pPr>
            <w:r w:rsidRPr="00D80654">
              <w:rPr>
                <w:rFonts w:ascii="Arial" w:hAnsi="Arial" w:cs="Arial"/>
                <w:sz w:val="21"/>
                <w:szCs w:val="21"/>
              </w:rPr>
              <w:t>Skambučių nukreipimo paslaugą (teikiama nemokamai, paslauga užtikrina galimybę nukreipti į kitą naudotojo nurodytą telefono numerį</w:t>
            </w:r>
          </w:p>
          <w:p w14:paraId="5D3D08ED" w14:textId="526FD92F" w:rsidR="001D5924" w:rsidRPr="00D80654" w:rsidRDefault="001D5924" w:rsidP="00D80654">
            <w:pPr>
              <w:pStyle w:val="Betarp"/>
              <w:spacing w:after="240"/>
              <w:jc w:val="both"/>
              <w:rPr>
                <w:rFonts w:ascii="Arial" w:hAnsi="Arial" w:cs="Arial"/>
                <w:sz w:val="21"/>
                <w:szCs w:val="21"/>
              </w:rPr>
            </w:pPr>
            <w:r w:rsidRPr="00D80654">
              <w:rPr>
                <w:rFonts w:ascii="Arial" w:hAnsi="Arial" w:cs="Arial"/>
                <w:sz w:val="21"/>
                <w:szCs w:val="21"/>
              </w:rPr>
              <w:t>Sudaryti galimybę Abonentams naudotis Lietuvos Respublikos teisės aktuose nustatytomis Vyriausybinio ryšio paslaugomis, kurios numatytos tiekėjo sutartyje su Vyriausybinių ryšių centru.</w:t>
            </w:r>
          </w:p>
        </w:tc>
      </w:tr>
      <w:tr w:rsidR="00360273" w:rsidRPr="00D80654" w14:paraId="1A6DFC0E" w14:textId="77777777" w:rsidTr="00D80654">
        <w:tc>
          <w:tcPr>
            <w:tcW w:w="686" w:type="dxa"/>
          </w:tcPr>
          <w:p w14:paraId="2D6A8F38" w14:textId="303A5ED0" w:rsidR="00360273" w:rsidRPr="00D80654" w:rsidRDefault="00EE7348" w:rsidP="008B1EDB">
            <w:pPr>
              <w:pStyle w:val="Betarp"/>
              <w:spacing w:after="240"/>
              <w:rPr>
                <w:rFonts w:ascii="Arial" w:hAnsi="Arial" w:cs="Arial"/>
                <w:sz w:val="21"/>
                <w:szCs w:val="21"/>
              </w:rPr>
            </w:pPr>
            <w:r w:rsidRPr="00D80654">
              <w:rPr>
                <w:rFonts w:ascii="Arial" w:hAnsi="Arial" w:cs="Arial"/>
                <w:sz w:val="21"/>
                <w:szCs w:val="21"/>
              </w:rPr>
              <w:t>12.</w:t>
            </w:r>
          </w:p>
        </w:tc>
        <w:tc>
          <w:tcPr>
            <w:tcW w:w="2003" w:type="dxa"/>
          </w:tcPr>
          <w:p w14:paraId="6C052A23" w14:textId="131CBD53" w:rsidR="00360273" w:rsidRPr="00D80654" w:rsidRDefault="00360273" w:rsidP="001D5924">
            <w:pPr>
              <w:pStyle w:val="Betarp"/>
              <w:spacing w:after="240"/>
              <w:jc w:val="both"/>
              <w:rPr>
                <w:rFonts w:ascii="Arial" w:hAnsi="Arial" w:cs="Arial"/>
                <w:sz w:val="21"/>
                <w:szCs w:val="21"/>
              </w:rPr>
            </w:pPr>
            <w:r w:rsidRPr="00D80654">
              <w:rPr>
                <w:rFonts w:ascii="Arial" w:hAnsi="Arial" w:cs="Arial"/>
                <w:sz w:val="21"/>
                <w:szCs w:val="21"/>
              </w:rPr>
              <w:t>Virtualios SIM kortelės (eSIM) paslauga</w:t>
            </w:r>
          </w:p>
        </w:tc>
        <w:tc>
          <w:tcPr>
            <w:tcW w:w="6939" w:type="dxa"/>
          </w:tcPr>
          <w:p w14:paraId="1D2E75E8" w14:textId="6DBD9B00" w:rsidR="00360273" w:rsidRPr="00D80654" w:rsidRDefault="00360273" w:rsidP="001D5924">
            <w:pPr>
              <w:pStyle w:val="Betarp"/>
              <w:spacing w:after="240"/>
              <w:jc w:val="both"/>
              <w:rPr>
                <w:rFonts w:ascii="Arial" w:hAnsi="Arial" w:cs="Arial"/>
                <w:sz w:val="21"/>
                <w:szCs w:val="21"/>
              </w:rPr>
            </w:pPr>
            <w:r w:rsidRPr="00D80654">
              <w:rPr>
                <w:rFonts w:ascii="Arial" w:eastAsia="Calibri" w:hAnsi="Arial" w:cs="Arial"/>
                <w:kern w:val="0"/>
                <w:sz w:val="21"/>
                <w:szCs w:val="21"/>
                <w14:ligatures w14:val="none"/>
              </w:rPr>
              <w:t xml:space="preserve">Tiekėjas privalo turėti galimybę teikti virtualios SIM kortelės paslaugą (toliau - eSIM). eSIM paslauga privalo užtikrinti visų šioje techninėje specifikacijoje nurodytų pagrindinių paslaugų, duomenų perdavimo paslaugų ir papildomų paslaugų, išskyrus mobilaus kvalifikuoto elektroninio parašo paslaugą (atitinkamai šios techninės specifikacijos </w:t>
            </w:r>
            <w:r w:rsidRPr="00D80654">
              <w:rPr>
                <w:rFonts w:ascii="Arial" w:eastAsia="Calibri" w:hAnsi="Arial" w:cs="Arial"/>
                <w:kern w:val="0"/>
                <w:sz w:val="21"/>
                <w:szCs w:val="21"/>
                <w14:ligatures w14:val="none"/>
              </w:rPr>
              <w:lastRenderedPageBreak/>
              <w:t>lentelės 4,10 ir 11 p.) teikimą. eSIM naudojimas ar paslaugų teikimas, naudojant virtualią kortelę (eSIM) nėra papildomai apmokestinamos. Paslaugos, naudojant virtualią (eSIM) kortelę, gali būti teikiamos tik jeigu užsakovo techninė įranga aparatiniame lygyje palaiko šį funkcionalumą. Užsakovas turi teisę bet kada nemokamai pakeisti fizinę SIM kortelę į virtualią (eSIM) arba atvirkščiai, bet ne dažniau nei 1 kartą per mėnesį.</w:t>
            </w:r>
          </w:p>
        </w:tc>
      </w:tr>
      <w:tr w:rsidR="00865BE4" w:rsidRPr="00D80654" w14:paraId="74A4BD33" w14:textId="77777777" w:rsidTr="00D80654">
        <w:tc>
          <w:tcPr>
            <w:tcW w:w="686" w:type="dxa"/>
          </w:tcPr>
          <w:p w14:paraId="66EE8AD9" w14:textId="1985066E" w:rsidR="00865BE4" w:rsidRPr="00D80654" w:rsidRDefault="00865BE4" w:rsidP="008B1EDB">
            <w:pPr>
              <w:pStyle w:val="Betarp"/>
              <w:spacing w:after="240"/>
              <w:rPr>
                <w:rFonts w:ascii="Arial" w:hAnsi="Arial" w:cs="Arial"/>
                <w:sz w:val="21"/>
                <w:szCs w:val="21"/>
              </w:rPr>
            </w:pPr>
            <w:r w:rsidRPr="00D80654">
              <w:rPr>
                <w:rFonts w:ascii="Arial" w:hAnsi="Arial" w:cs="Arial"/>
                <w:sz w:val="21"/>
                <w:szCs w:val="21"/>
              </w:rPr>
              <w:lastRenderedPageBreak/>
              <w:t>1</w:t>
            </w:r>
            <w:r w:rsidR="00EE7348" w:rsidRPr="00D80654">
              <w:rPr>
                <w:rFonts w:ascii="Arial" w:hAnsi="Arial" w:cs="Arial"/>
                <w:sz w:val="21"/>
                <w:szCs w:val="21"/>
              </w:rPr>
              <w:t>3</w:t>
            </w:r>
            <w:r w:rsidRPr="00D80654">
              <w:rPr>
                <w:rFonts w:ascii="Arial" w:hAnsi="Arial" w:cs="Arial"/>
                <w:sz w:val="21"/>
                <w:szCs w:val="21"/>
              </w:rPr>
              <w:t>.</w:t>
            </w:r>
          </w:p>
        </w:tc>
        <w:tc>
          <w:tcPr>
            <w:tcW w:w="2003" w:type="dxa"/>
          </w:tcPr>
          <w:p w14:paraId="68519F51" w14:textId="0C865F27" w:rsidR="00865BE4" w:rsidRPr="00D80654" w:rsidRDefault="00865BE4" w:rsidP="001D5924">
            <w:pPr>
              <w:pStyle w:val="Betarp"/>
              <w:spacing w:after="240"/>
              <w:jc w:val="both"/>
              <w:rPr>
                <w:rFonts w:ascii="Arial" w:hAnsi="Arial" w:cs="Arial"/>
                <w:sz w:val="21"/>
                <w:szCs w:val="21"/>
              </w:rPr>
            </w:pPr>
            <w:r w:rsidRPr="00D80654">
              <w:rPr>
                <w:rFonts w:ascii="Arial" w:hAnsi="Arial" w:cs="Arial"/>
                <w:sz w:val="21"/>
                <w:szCs w:val="21"/>
              </w:rPr>
              <w:t>Kitos susijusios paslaugos</w:t>
            </w:r>
          </w:p>
        </w:tc>
        <w:tc>
          <w:tcPr>
            <w:tcW w:w="6939" w:type="dxa"/>
          </w:tcPr>
          <w:p w14:paraId="1E59C344" w14:textId="347D8A3D" w:rsidR="00865BE4" w:rsidRPr="00D80654" w:rsidRDefault="00865BE4" w:rsidP="001D5924">
            <w:pPr>
              <w:pStyle w:val="Betarp"/>
              <w:spacing w:after="240"/>
              <w:jc w:val="both"/>
              <w:rPr>
                <w:rFonts w:ascii="Arial" w:hAnsi="Arial" w:cs="Arial"/>
                <w:sz w:val="21"/>
                <w:szCs w:val="21"/>
              </w:rPr>
            </w:pPr>
            <w:r w:rsidRPr="00D80654">
              <w:rPr>
                <w:rFonts w:ascii="Arial" w:hAnsi="Arial" w:cs="Arial"/>
                <w:sz w:val="21"/>
                <w:szCs w:val="21"/>
              </w:rPr>
              <w:t>Sutarties pagrindu užsakovas gali įsigyti ir kitas susijusias paslaugas. Kitos susijusios paslaugos - tokios paslaugos, kurios yra susijusios su paslaugomis ir/ar būtinos tinkamam paslaugų suteikimui (pvz. galimybė sumokėti SMS žinute už automobilio stovėjimą, galimybė skambinti trečioms šalims trumpaisiais numeriais (pvz. pagalba, taksi, bankams),  balso paštas, ir kitos su pirkimo objektu susijusios paslaugos). Kitų susijusių paslaugų apmokėjimas vykdomas už praeitą kalendorinį mėnesį</w:t>
            </w:r>
            <w:r w:rsidR="00CF0FEC" w:rsidRPr="00D80654">
              <w:rPr>
                <w:rFonts w:ascii="Arial" w:hAnsi="Arial" w:cs="Arial"/>
                <w:sz w:val="21"/>
                <w:szCs w:val="21"/>
              </w:rPr>
              <w:t xml:space="preserve"> faktiškai suteiktas susijusias paslaugas</w:t>
            </w:r>
            <w:r w:rsidRPr="00D80654">
              <w:rPr>
                <w:rFonts w:ascii="Arial" w:hAnsi="Arial" w:cs="Arial"/>
                <w:sz w:val="21"/>
                <w:szCs w:val="21"/>
              </w:rPr>
              <w:t xml:space="preserve"> pagal paslaugų teikėjo oficialiame internetiniame puslapyje viešai paskelbtus įkainius</w:t>
            </w:r>
            <w:r w:rsidR="00CF0FEC" w:rsidRPr="00D80654">
              <w:rPr>
                <w:rFonts w:ascii="Arial" w:hAnsi="Arial" w:cs="Arial"/>
                <w:sz w:val="21"/>
                <w:szCs w:val="21"/>
              </w:rPr>
              <w:t>.</w:t>
            </w:r>
          </w:p>
        </w:tc>
      </w:tr>
      <w:tr w:rsidR="001D5924" w:rsidRPr="00D80654" w14:paraId="0EE35C0E" w14:textId="77777777" w:rsidTr="00D80654">
        <w:tc>
          <w:tcPr>
            <w:tcW w:w="686" w:type="dxa"/>
          </w:tcPr>
          <w:p w14:paraId="70E75F84" w14:textId="040432AE" w:rsidR="001D5924" w:rsidRPr="00D80654" w:rsidRDefault="001D5924" w:rsidP="001D5924">
            <w:pPr>
              <w:pStyle w:val="Betarp"/>
              <w:spacing w:after="240"/>
              <w:jc w:val="center"/>
              <w:rPr>
                <w:rFonts w:ascii="Arial" w:hAnsi="Arial" w:cs="Arial"/>
                <w:sz w:val="21"/>
                <w:szCs w:val="21"/>
              </w:rPr>
            </w:pPr>
            <w:r w:rsidRPr="00D80654">
              <w:rPr>
                <w:rFonts w:ascii="Arial" w:hAnsi="Arial" w:cs="Arial"/>
                <w:sz w:val="21"/>
                <w:szCs w:val="21"/>
              </w:rPr>
              <w:t>1</w:t>
            </w:r>
            <w:r w:rsidR="00EE7348" w:rsidRPr="00D80654">
              <w:rPr>
                <w:rFonts w:ascii="Arial" w:hAnsi="Arial" w:cs="Arial"/>
                <w:sz w:val="21"/>
                <w:szCs w:val="21"/>
              </w:rPr>
              <w:t>4</w:t>
            </w:r>
            <w:r w:rsidRPr="00D80654">
              <w:rPr>
                <w:rFonts w:ascii="Arial" w:hAnsi="Arial" w:cs="Arial"/>
                <w:sz w:val="21"/>
                <w:szCs w:val="21"/>
              </w:rPr>
              <w:t>.</w:t>
            </w:r>
          </w:p>
        </w:tc>
        <w:tc>
          <w:tcPr>
            <w:tcW w:w="2003" w:type="dxa"/>
          </w:tcPr>
          <w:p w14:paraId="77483E57" w14:textId="6943A593" w:rsidR="001D5924" w:rsidRPr="00D80654" w:rsidRDefault="001D5924" w:rsidP="001D5924">
            <w:pPr>
              <w:pStyle w:val="Betarp"/>
              <w:spacing w:after="240"/>
              <w:jc w:val="both"/>
              <w:rPr>
                <w:rFonts w:ascii="Arial" w:hAnsi="Arial" w:cs="Arial"/>
                <w:sz w:val="21"/>
                <w:szCs w:val="21"/>
              </w:rPr>
            </w:pPr>
            <w:r w:rsidRPr="00D80654">
              <w:rPr>
                <w:rFonts w:ascii="Arial" w:hAnsi="Arial" w:cs="Arial"/>
                <w:sz w:val="21"/>
                <w:szCs w:val="21"/>
              </w:rPr>
              <w:t>Paslaugų valdymas</w:t>
            </w:r>
          </w:p>
        </w:tc>
        <w:tc>
          <w:tcPr>
            <w:tcW w:w="6939" w:type="dxa"/>
          </w:tcPr>
          <w:p w14:paraId="5F3157F1" w14:textId="77777777" w:rsidR="001D5924" w:rsidRPr="00D80654" w:rsidRDefault="001D5924" w:rsidP="008B1EDB">
            <w:pPr>
              <w:pStyle w:val="Betarp"/>
              <w:jc w:val="both"/>
              <w:rPr>
                <w:rFonts w:ascii="Arial" w:hAnsi="Arial" w:cs="Arial"/>
                <w:sz w:val="21"/>
                <w:szCs w:val="21"/>
              </w:rPr>
            </w:pPr>
            <w:r w:rsidRPr="00D80654">
              <w:rPr>
                <w:rFonts w:ascii="Arial" w:hAnsi="Arial" w:cs="Arial"/>
                <w:sz w:val="21"/>
                <w:szCs w:val="21"/>
              </w:rPr>
              <w:t>Paslaugų teikėjas turi sudaryti galimybę Užsakovo atsakingiems asmenims nuotoliniu būdu administruoti paslaugų užsakymą vartotojams.</w:t>
            </w:r>
          </w:p>
          <w:p w14:paraId="255C9000" w14:textId="2B99BB0D" w:rsidR="001D5924" w:rsidRPr="00D80654" w:rsidRDefault="001D5924" w:rsidP="008B1EDB">
            <w:pPr>
              <w:pStyle w:val="Betarp"/>
              <w:jc w:val="both"/>
              <w:rPr>
                <w:rFonts w:ascii="Arial" w:hAnsi="Arial" w:cs="Arial"/>
                <w:sz w:val="21"/>
                <w:szCs w:val="21"/>
              </w:rPr>
            </w:pPr>
            <w:r w:rsidRPr="00D80654">
              <w:rPr>
                <w:rFonts w:ascii="Arial" w:hAnsi="Arial" w:cs="Arial"/>
                <w:sz w:val="21"/>
                <w:szCs w:val="21"/>
              </w:rPr>
              <w:t>Turi būti galimybė nemokamai atlikti sekančias operacijas kiekvienam naudotojui:</w:t>
            </w:r>
          </w:p>
          <w:p w14:paraId="0B5AE3D1" w14:textId="77777777" w:rsidR="001D5924" w:rsidRPr="00D80654" w:rsidRDefault="001D5924" w:rsidP="008B1EDB">
            <w:pPr>
              <w:pStyle w:val="Betarp"/>
              <w:jc w:val="both"/>
              <w:rPr>
                <w:rFonts w:ascii="Arial" w:hAnsi="Arial" w:cs="Arial"/>
                <w:sz w:val="21"/>
                <w:szCs w:val="21"/>
              </w:rPr>
            </w:pPr>
            <w:r w:rsidRPr="00D80654">
              <w:rPr>
                <w:rFonts w:ascii="Arial" w:hAnsi="Arial" w:cs="Arial"/>
                <w:sz w:val="21"/>
                <w:szCs w:val="21"/>
              </w:rPr>
              <w:t>Einamojo mėnesio sąskaitos stebėjimas realiuoju laiku (informacijos atnaujinimas ne rečiau nei kas valandą);</w:t>
            </w:r>
          </w:p>
          <w:p w14:paraId="57A6A110" w14:textId="589FBFE5" w:rsidR="001D5924" w:rsidRPr="00D80654" w:rsidRDefault="001D5924" w:rsidP="008B1EDB">
            <w:pPr>
              <w:pStyle w:val="Betarp"/>
              <w:jc w:val="both"/>
              <w:rPr>
                <w:rFonts w:ascii="Arial" w:hAnsi="Arial" w:cs="Arial"/>
                <w:sz w:val="21"/>
                <w:szCs w:val="21"/>
              </w:rPr>
            </w:pPr>
            <w:r w:rsidRPr="00D80654">
              <w:rPr>
                <w:rFonts w:ascii="Arial" w:hAnsi="Arial" w:cs="Arial"/>
                <w:sz w:val="21"/>
                <w:szCs w:val="21"/>
              </w:rPr>
              <w:t>Galimybė matyti naudojamą paslaugų planą ir išnaudotus paslaugų limitus (kai jie taikomi);</w:t>
            </w:r>
          </w:p>
          <w:p w14:paraId="7F05FE82" w14:textId="2FEAAA9B" w:rsidR="001D5924" w:rsidRPr="00D80654" w:rsidRDefault="001D5924" w:rsidP="008B1EDB">
            <w:pPr>
              <w:pStyle w:val="Betarp"/>
              <w:jc w:val="both"/>
              <w:rPr>
                <w:rFonts w:ascii="Arial" w:hAnsi="Arial" w:cs="Arial"/>
                <w:sz w:val="21"/>
                <w:szCs w:val="21"/>
              </w:rPr>
            </w:pPr>
            <w:r w:rsidRPr="00D80654">
              <w:rPr>
                <w:rFonts w:ascii="Arial" w:hAnsi="Arial" w:cs="Arial"/>
                <w:sz w:val="21"/>
                <w:szCs w:val="21"/>
              </w:rPr>
              <w:t>Galimybė nustatyti ir keisti paslaugų naudojimo limitus;</w:t>
            </w:r>
          </w:p>
          <w:p w14:paraId="04ADD96A" w14:textId="10A2FBE8" w:rsidR="001D5924" w:rsidRPr="00D80654" w:rsidRDefault="001D5924" w:rsidP="008B1EDB">
            <w:pPr>
              <w:pStyle w:val="Betarp"/>
              <w:jc w:val="both"/>
              <w:rPr>
                <w:rFonts w:ascii="Arial" w:hAnsi="Arial" w:cs="Arial"/>
                <w:sz w:val="21"/>
                <w:szCs w:val="21"/>
              </w:rPr>
            </w:pPr>
            <w:r w:rsidRPr="00D80654">
              <w:rPr>
                <w:rFonts w:ascii="Arial" w:hAnsi="Arial" w:cs="Arial"/>
                <w:sz w:val="21"/>
                <w:szCs w:val="21"/>
              </w:rPr>
              <w:t>Galimybė matyti visas įjungtas ir išjungtas papildomas paslaugas;</w:t>
            </w:r>
          </w:p>
          <w:p w14:paraId="66630E1E" w14:textId="77777777" w:rsidR="001D5924" w:rsidRPr="00D80654" w:rsidRDefault="001D5924" w:rsidP="008B1EDB">
            <w:pPr>
              <w:pStyle w:val="Betarp"/>
              <w:jc w:val="both"/>
              <w:rPr>
                <w:rFonts w:ascii="Arial" w:hAnsi="Arial" w:cs="Arial"/>
                <w:sz w:val="21"/>
                <w:szCs w:val="21"/>
              </w:rPr>
            </w:pPr>
            <w:r w:rsidRPr="00D80654">
              <w:rPr>
                <w:rFonts w:ascii="Arial" w:hAnsi="Arial" w:cs="Arial"/>
                <w:sz w:val="21"/>
                <w:szCs w:val="21"/>
              </w:rPr>
              <w:t>Galimybė užsakyti ir atsisakyti papildomų paslaugų;</w:t>
            </w:r>
          </w:p>
          <w:p w14:paraId="7FD19988" w14:textId="14828CE0" w:rsidR="001D5924" w:rsidRPr="00D80654" w:rsidRDefault="001D5924" w:rsidP="008B1EDB">
            <w:pPr>
              <w:pStyle w:val="Betarp"/>
              <w:jc w:val="both"/>
              <w:rPr>
                <w:rFonts w:ascii="Arial" w:hAnsi="Arial" w:cs="Arial"/>
                <w:sz w:val="21"/>
                <w:szCs w:val="21"/>
              </w:rPr>
            </w:pPr>
            <w:r w:rsidRPr="00D80654">
              <w:rPr>
                <w:rFonts w:ascii="Arial" w:hAnsi="Arial" w:cs="Arial"/>
                <w:sz w:val="21"/>
                <w:szCs w:val="21"/>
              </w:rPr>
              <w:t>Galimybė suformuoti ir parsisiųsti vartotojų pokalbių išklotines.</w:t>
            </w:r>
          </w:p>
          <w:p w14:paraId="298C8552" w14:textId="439FC732" w:rsidR="001D5924" w:rsidRPr="00D80654" w:rsidRDefault="001D5924" w:rsidP="00D80654">
            <w:pPr>
              <w:pStyle w:val="Betarp"/>
              <w:spacing w:after="240"/>
              <w:jc w:val="both"/>
              <w:rPr>
                <w:rFonts w:ascii="Arial" w:hAnsi="Arial" w:cs="Arial"/>
                <w:sz w:val="21"/>
                <w:szCs w:val="21"/>
              </w:rPr>
            </w:pPr>
            <w:r w:rsidRPr="00D80654">
              <w:rPr>
                <w:rFonts w:ascii="Arial" w:hAnsi="Arial" w:cs="Arial"/>
                <w:sz w:val="21"/>
                <w:szCs w:val="21"/>
              </w:rPr>
              <w:t>Galimybė blokuoti papildomų mokamų paslaugų naudojimą konkrečiam vartotojui.</w:t>
            </w:r>
          </w:p>
        </w:tc>
      </w:tr>
      <w:tr w:rsidR="001D5924" w:rsidRPr="00D80654" w14:paraId="3E2F86AA" w14:textId="4DEDD441" w:rsidTr="00D80654">
        <w:tc>
          <w:tcPr>
            <w:tcW w:w="686" w:type="dxa"/>
          </w:tcPr>
          <w:p w14:paraId="2AC35027" w14:textId="4896F8F2" w:rsidR="001D5924" w:rsidRPr="00D80654" w:rsidRDefault="008B1EDB" w:rsidP="001D5924">
            <w:pPr>
              <w:pStyle w:val="Betarp"/>
              <w:spacing w:after="240"/>
              <w:jc w:val="center"/>
              <w:rPr>
                <w:rFonts w:ascii="Arial" w:hAnsi="Arial" w:cs="Arial"/>
                <w:sz w:val="21"/>
                <w:szCs w:val="21"/>
              </w:rPr>
            </w:pPr>
            <w:r w:rsidRPr="00D80654">
              <w:rPr>
                <w:rFonts w:ascii="Arial" w:hAnsi="Arial" w:cs="Arial"/>
                <w:sz w:val="21"/>
                <w:szCs w:val="21"/>
              </w:rPr>
              <w:t>1</w:t>
            </w:r>
            <w:r w:rsidR="00EE7348" w:rsidRPr="00D80654">
              <w:rPr>
                <w:rFonts w:ascii="Arial" w:hAnsi="Arial" w:cs="Arial"/>
                <w:sz w:val="21"/>
                <w:szCs w:val="21"/>
              </w:rPr>
              <w:t>5</w:t>
            </w:r>
            <w:r w:rsidRPr="00D80654">
              <w:rPr>
                <w:rFonts w:ascii="Arial" w:hAnsi="Arial" w:cs="Arial"/>
                <w:sz w:val="21"/>
                <w:szCs w:val="21"/>
              </w:rPr>
              <w:t>.</w:t>
            </w:r>
          </w:p>
        </w:tc>
        <w:tc>
          <w:tcPr>
            <w:tcW w:w="2003" w:type="dxa"/>
          </w:tcPr>
          <w:p w14:paraId="21E6C1DC" w14:textId="5E40DB3A" w:rsidR="001D5924" w:rsidRPr="00D80654" w:rsidRDefault="001D5924" w:rsidP="001D5924">
            <w:pPr>
              <w:pStyle w:val="Betarp"/>
              <w:spacing w:after="240"/>
              <w:jc w:val="both"/>
              <w:rPr>
                <w:rFonts w:ascii="Arial" w:hAnsi="Arial" w:cs="Arial"/>
                <w:b/>
                <w:bCs/>
                <w:sz w:val="21"/>
                <w:szCs w:val="21"/>
              </w:rPr>
            </w:pPr>
            <w:r w:rsidRPr="00D80654">
              <w:rPr>
                <w:rFonts w:ascii="Arial" w:hAnsi="Arial" w:cs="Arial"/>
                <w:sz w:val="21"/>
                <w:szCs w:val="21"/>
              </w:rPr>
              <w:t xml:space="preserve">Darbo vietų prijungimas </w:t>
            </w:r>
          </w:p>
        </w:tc>
        <w:tc>
          <w:tcPr>
            <w:tcW w:w="6939" w:type="dxa"/>
          </w:tcPr>
          <w:p w14:paraId="37F49FF3" w14:textId="1682D461" w:rsidR="001D5924" w:rsidRPr="00D80654" w:rsidRDefault="001D5924" w:rsidP="001D5924">
            <w:pPr>
              <w:pStyle w:val="Betarp"/>
              <w:spacing w:after="240"/>
              <w:jc w:val="both"/>
              <w:rPr>
                <w:rFonts w:ascii="Arial" w:hAnsi="Arial" w:cs="Arial"/>
                <w:sz w:val="21"/>
                <w:szCs w:val="21"/>
              </w:rPr>
            </w:pPr>
            <w:r w:rsidRPr="00D80654">
              <w:rPr>
                <w:rFonts w:ascii="Arial" w:hAnsi="Arial" w:cs="Arial"/>
                <w:sz w:val="21"/>
                <w:szCs w:val="21"/>
              </w:rPr>
              <w:t>Tiekėjas turi pateikti tiek fizinių SIM kortelių, kokiam abonentų skaičiui užsakoma paslauga. Fizinė SIM kortelė turi būti universalaus dydžio – t.y. be papildomų įrankių ar įrangos turi būti galimybė naudoti Standard SIM ir Micro SIM, ir Nano SIM įrenginiuose. Fizinio SIM kortelės sugadinimo arba praradimo atveju, Tiekėjas pakeičia kortelę, kurios kaina įtraukta į pasiūlymo kainą. Paaiškėjus SIM kortelės gamykliniam defektui, Tiekėjas privalo nemokamai atlikti jos pakeitimą. Paslaugų teikėjas privalo pateikti prisijungimo prie trumpųjų pranešimų apdorojimo centro ir interneto nustatymus.</w:t>
            </w:r>
          </w:p>
        </w:tc>
      </w:tr>
      <w:tr w:rsidR="001D5924" w:rsidRPr="00D80654" w14:paraId="49A770D9" w14:textId="61C8BDC8" w:rsidTr="000C4EFC">
        <w:trPr>
          <w:trHeight w:val="567"/>
        </w:trPr>
        <w:tc>
          <w:tcPr>
            <w:tcW w:w="9628" w:type="dxa"/>
            <w:gridSpan w:val="3"/>
            <w:vAlign w:val="center"/>
          </w:tcPr>
          <w:p w14:paraId="6D257FD7" w14:textId="0F98B90E" w:rsidR="001D5924" w:rsidRPr="00D80654" w:rsidRDefault="001D5924" w:rsidP="001D5924">
            <w:pPr>
              <w:pStyle w:val="Betarp"/>
              <w:jc w:val="center"/>
              <w:rPr>
                <w:rFonts w:ascii="Arial" w:hAnsi="Arial" w:cs="Arial"/>
                <w:color w:val="538135" w:themeColor="accent6" w:themeShade="BF"/>
                <w:sz w:val="21"/>
                <w:szCs w:val="21"/>
              </w:rPr>
            </w:pPr>
            <w:r w:rsidRPr="00D80654">
              <w:rPr>
                <w:rFonts w:ascii="Arial" w:hAnsi="Arial" w:cs="Arial"/>
                <w:sz w:val="21"/>
                <w:szCs w:val="21"/>
              </w:rPr>
              <w:t>Aplinkosauginiai reikalavimai</w:t>
            </w:r>
          </w:p>
        </w:tc>
      </w:tr>
      <w:tr w:rsidR="001D5924" w:rsidRPr="00D80654" w14:paraId="2D8C411D" w14:textId="52A6414F" w:rsidTr="00FA4892">
        <w:tc>
          <w:tcPr>
            <w:tcW w:w="686" w:type="dxa"/>
            <w:shd w:val="clear" w:color="auto" w:fill="auto"/>
          </w:tcPr>
          <w:p w14:paraId="37A111F8" w14:textId="40BC6CA0" w:rsidR="001D5924" w:rsidRPr="00D80654" w:rsidRDefault="001D5924" w:rsidP="001D5924">
            <w:pPr>
              <w:pStyle w:val="Betarp"/>
              <w:spacing w:after="240"/>
              <w:jc w:val="center"/>
              <w:rPr>
                <w:rFonts w:ascii="Arial" w:hAnsi="Arial" w:cs="Arial"/>
                <w:color w:val="FF0000"/>
                <w:sz w:val="21"/>
                <w:szCs w:val="21"/>
              </w:rPr>
            </w:pPr>
            <w:r w:rsidRPr="00D80654">
              <w:rPr>
                <w:rFonts w:ascii="Arial" w:hAnsi="Arial" w:cs="Arial"/>
                <w:sz w:val="21"/>
                <w:szCs w:val="21"/>
              </w:rPr>
              <w:t>1</w:t>
            </w:r>
            <w:r w:rsidR="00EE7348" w:rsidRPr="00D80654">
              <w:rPr>
                <w:rFonts w:ascii="Arial" w:hAnsi="Arial" w:cs="Arial"/>
                <w:sz w:val="21"/>
                <w:szCs w:val="21"/>
              </w:rPr>
              <w:t>6</w:t>
            </w:r>
            <w:r w:rsidRPr="00D80654">
              <w:rPr>
                <w:rFonts w:ascii="Arial" w:hAnsi="Arial" w:cs="Arial"/>
                <w:sz w:val="21"/>
                <w:szCs w:val="21"/>
              </w:rPr>
              <w:t>.</w:t>
            </w:r>
          </w:p>
        </w:tc>
        <w:tc>
          <w:tcPr>
            <w:tcW w:w="8942" w:type="dxa"/>
            <w:gridSpan w:val="2"/>
            <w:shd w:val="clear" w:color="auto" w:fill="auto"/>
          </w:tcPr>
          <w:p w14:paraId="4F24443F" w14:textId="64D6E905" w:rsidR="001D5924" w:rsidRPr="00D80654" w:rsidRDefault="001D5924" w:rsidP="001D5924">
            <w:pPr>
              <w:pStyle w:val="Betarp"/>
              <w:spacing w:after="240"/>
              <w:jc w:val="both"/>
              <w:rPr>
                <w:rFonts w:ascii="Arial" w:hAnsi="Arial" w:cs="Arial"/>
                <w:color w:val="538135" w:themeColor="accent6" w:themeShade="BF"/>
                <w:sz w:val="21"/>
                <w:szCs w:val="21"/>
              </w:rPr>
            </w:pPr>
            <w:r w:rsidRPr="00D80654">
              <w:rPr>
                <w:rFonts w:ascii="Arial" w:hAnsi="Arial" w:cs="Arial"/>
                <w:sz w:val="21"/>
                <w:szCs w:val="21"/>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4.4.4.3 papunktyje nustatytą sąlygą: prekei pagaminti, paslaugai teikti ar darbams atlikti naudojama mažiau ar nenaudojama pavojingųjų cheminių medžiagų, neteršiama aplinka ir nekeliamas pavojus sveikatai.</w:t>
            </w:r>
          </w:p>
        </w:tc>
      </w:tr>
    </w:tbl>
    <w:p w14:paraId="63EBB442" w14:textId="7092F856" w:rsidR="003C001D" w:rsidRPr="00D80654" w:rsidRDefault="003C001D" w:rsidP="0033143F">
      <w:pPr>
        <w:pStyle w:val="Betarp"/>
        <w:spacing w:after="240"/>
        <w:jc w:val="both"/>
        <w:rPr>
          <w:rFonts w:ascii="Arial" w:hAnsi="Arial" w:cs="Arial"/>
          <w:b/>
          <w:bCs/>
          <w:sz w:val="21"/>
          <w:szCs w:val="21"/>
        </w:rPr>
      </w:pPr>
    </w:p>
    <w:sectPr w:rsidR="003C001D" w:rsidRPr="00D80654" w:rsidSect="00223450">
      <w:pgSz w:w="11906" w:h="16838"/>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80BB7" w14:textId="77777777" w:rsidR="005C47CE" w:rsidRDefault="005C47CE" w:rsidP="004A2D56">
      <w:pPr>
        <w:spacing w:after="0" w:line="240" w:lineRule="auto"/>
      </w:pPr>
      <w:r>
        <w:separator/>
      </w:r>
    </w:p>
  </w:endnote>
  <w:endnote w:type="continuationSeparator" w:id="0">
    <w:p w14:paraId="78E6A6B6" w14:textId="77777777" w:rsidR="005C47CE" w:rsidRDefault="005C47CE" w:rsidP="004A2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st">
    <w:panose1 w:val="00000000000000000000"/>
    <w:charset w:val="00"/>
    <w:family w:val="auto"/>
    <w:pitch w:val="variable"/>
    <w:sig w:usb0="A00002EF" w:usb1="0000205B" w:usb2="00000010" w:usb3="00000000" w:csb0="000000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E62F9" w14:textId="77777777" w:rsidR="005C47CE" w:rsidRDefault="005C47CE" w:rsidP="004A2D56">
      <w:pPr>
        <w:spacing w:after="0" w:line="240" w:lineRule="auto"/>
      </w:pPr>
      <w:r>
        <w:separator/>
      </w:r>
    </w:p>
  </w:footnote>
  <w:footnote w:type="continuationSeparator" w:id="0">
    <w:p w14:paraId="3610A174" w14:textId="77777777" w:rsidR="005C47CE" w:rsidRDefault="005C47CE" w:rsidP="004A2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4EB3"/>
    <w:multiLevelType w:val="multilevel"/>
    <w:tmpl w:val="D654EB2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1B67AD2"/>
    <w:multiLevelType w:val="hybridMultilevel"/>
    <w:tmpl w:val="3CC24DCE"/>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2F24D27"/>
    <w:multiLevelType w:val="hybridMultilevel"/>
    <w:tmpl w:val="278A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A68C7"/>
    <w:multiLevelType w:val="hybridMultilevel"/>
    <w:tmpl w:val="D7C6690E"/>
    <w:lvl w:ilvl="0" w:tplc="DC540034">
      <w:start w:val="1"/>
      <w:numFmt w:val="decimal"/>
      <w:lvlText w:val="%1)"/>
      <w:lvlJc w:val="left"/>
      <w:pPr>
        <w:ind w:left="1180" w:hanging="360"/>
      </w:pPr>
    </w:lvl>
    <w:lvl w:ilvl="1" w:tplc="4C8C0604">
      <w:start w:val="1"/>
      <w:numFmt w:val="decimal"/>
      <w:lvlText w:val="%2)"/>
      <w:lvlJc w:val="left"/>
      <w:pPr>
        <w:ind w:left="1180" w:hanging="360"/>
      </w:pPr>
    </w:lvl>
    <w:lvl w:ilvl="2" w:tplc="0F188B22">
      <w:start w:val="1"/>
      <w:numFmt w:val="decimal"/>
      <w:lvlText w:val="%3)"/>
      <w:lvlJc w:val="left"/>
      <w:pPr>
        <w:ind w:left="1180" w:hanging="360"/>
      </w:pPr>
    </w:lvl>
    <w:lvl w:ilvl="3" w:tplc="0EFA052C">
      <w:start w:val="1"/>
      <w:numFmt w:val="decimal"/>
      <w:lvlText w:val="%4)"/>
      <w:lvlJc w:val="left"/>
      <w:pPr>
        <w:ind w:left="1180" w:hanging="360"/>
      </w:pPr>
    </w:lvl>
    <w:lvl w:ilvl="4" w:tplc="E92253DE">
      <w:start w:val="1"/>
      <w:numFmt w:val="decimal"/>
      <w:lvlText w:val="%5)"/>
      <w:lvlJc w:val="left"/>
      <w:pPr>
        <w:ind w:left="1180" w:hanging="360"/>
      </w:pPr>
    </w:lvl>
    <w:lvl w:ilvl="5" w:tplc="E1D4183E">
      <w:start w:val="1"/>
      <w:numFmt w:val="decimal"/>
      <w:lvlText w:val="%6)"/>
      <w:lvlJc w:val="left"/>
      <w:pPr>
        <w:ind w:left="1180" w:hanging="360"/>
      </w:pPr>
    </w:lvl>
    <w:lvl w:ilvl="6" w:tplc="65A4E09C">
      <w:start w:val="1"/>
      <w:numFmt w:val="decimal"/>
      <w:lvlText w:val="%7)"/>
      <w:lvlJc w:val="left"/>
      <w:pPr>
        <w:ind w:left="1180" w:hanging="360"/>
      </w:pPr>
    </w:lvl>
    <w:lvl w:ilvl="7" w:tplc="7430CD2E">
      <w:start w:val="1"/>
      <w:numFmt w:val="decimal"/>
      <w:lvlText w:val="%8)"/>
      <w:lvlJc w:val="left"/>
      <w:pPr>
        <w:ind w:left="1180" w:hanging="360"/>
      </w:pPr>
    </w:lvl>
    <w:lvl w:ilvl="8" w:tplc="DF44F7F0">
      <w:start w:val="1"/>
      <w:numFmt w:val="decimal"/>
      <w:lvlText w:val="%9)"/>
      <w:lvlJc w:val="left"/>
      <w:pPr>
        <w:ind w:left="1180" w:hanging="360"/>
      </w:pPr>
    </w:lvl>
  </w:abstractNum>
  <w:abstractNum w:abstractNumId="4" w15:restartNumberingAfterBreak="0">
    <w:nsid w:val="2C1D0C3E"/>
    <w:multiLevelType w:val="multilevel"/>
    <w:tmpl w:val="8B641CE4"/>
    <w:lvl w:ilvl="0">
      <w:start w:val="18"/>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2C8659EF"/>
    <w:multiLevelType w:val="hybridMultilevel"/>
    <w:tmpl w:val="EB6AF732"/>
    <w:lvl w:ilvl="0" w:tplc="F7E4939C">
      <w:start w:val="1"/>
      <w:numFmt w:val="decimal"/>
      <w:lvlText w:val="%1)"/>
      <w:lvlJc w:val="left"/>
      <w:pPr>
        <w:ind w:left="720" w:hanging="360"/>
      </w:pPr>
    </w:lvl>
    <w:lvl w:ilvl="1" w:tplc="6E24CF8E">
      <w:start w:val="1"/>
      <w:numFmt w:val="decimal"/>
      <w:lvlText w:val="%2)"/>
      <w:lvlJc w:val="left"/>
      <w:pPr>
        <w:ind w:left="720" w:hanging="360"/>
      </w:pPr>
    </w:lvl>
    <w:lvl w:ilvl="2" w:tplc="FB04959E">
      <w:start w:val="1"/>
      <w:numFmt w:val="decimal"/>
      <w:lvlText w:val="%3)"/>
      <w:lvlJc w:val="left"/>
      <w:pPr>
        <w:ind w:left="720" w:hanging="360"/>
      </w:pPr>
    </w:lvl>
    <w:lvl w:ilvl="3" w:tplc="3228A10E">
      <w:start w:val="1"/>
      <w:numFmt w:val="decimal"/>
      <w:lvlText w:val="%4)"/>
      <w:lvlJc w:val="left"/>
      <w:pPr>
        <w:ind w:left="720" w:hanging="360"/>
      </w:pPr>
    </w:lvl>
    <w:lvl w:ilvl="4" w:tplc="37BEC948">
      <w:start w:val="1"/>
      <w:numFmt w:val="decimal"/>
      <w:lvlText w:val="%5)"/>
      <w:lvlJc w:val="left"/>
      <w:pPr>
        <w:ind w:left="720" w:hanging="360"/>
      </w:pPr>
    </w:lvl>
    <w:lvl w:ilvl="5" w:tplc="491AFC02">
      <w:start w:val="1"/>
      <w:numFmt w:val="decimal"/>
      <w:lvlText w:val="%6)"/>
      <w:lvlJc w:val="left"/>
      <w:pPr>
        <w:ind w:left="720" w:hanging="360"/>
      </w:pPr>
    </w:lvl>
    <w:lvl w:ilvl="6" w:tplc="82D22D8A">
      <w:start w:val="1"/>
      <w:numFmt w:val="decimal"/>
      <w:lvlText w:val="%7)"/>
      <w:lvlJc w:val="left"/>
      <w:pPr>
        <w:ind w:left="720" w:hanging="360"/>
      </w:pPr>
    </w:lvl>
    <w:lvl w:ilvl="7" w:tplc="602604BC">
      <w:start w:val="1"/>
      <w:numFmt w:val="decimal"/>
      <w:lvlText w:val="%8)"/>
      <w:lvlJc w:val="left"/>
      <w:pPr>
        <w:ind w:left="720" w:hanging="360"/>
      </w:pPr>
    </w:lvl>
    <w:lvl w:ilvl="8" w:tplc="E1A04DF2">
      <w:start w:val="1"/>
      <w:numFmt w:val="decimal"/>
      <w:lvlText w:val="%9)"/>
      <w:lvlJc w:val="left"/>
      <w:pPr>
        <w:ind w:left="720" w:hanging="360"/>
      </w:pPr>
    </w:lvl>
  </w:abstractNum>
  <w:abstractNum w:abstractNumId="6" w15:restartNumberingAfterBreak="0">
    <w:nsid w:val="529A285E"/>
    <w:multiLevelType w:val="hybridMultilevel"/>
    <w:tmpl w:val="9060429A"/>
    <w:lvl w:ilvl="0" w:tplc="66C409FE">
      <w:start w:val="1"/>
      <w:numFmt w:val="decimal"/>
      <w:lvlText w:val="%1)"/>
      <w:lvlJc w:val="left"/>
      <w:pPr>
        <w:ind w:left="1020" w:hanging="360"/>
      </w:pPr>
    </w:lvl>
    <w:lvl w:ilvl="1" w:tplc="9CFC211A">
      <w:start w:val="1"/>
      <w:numFmt w:val="decimal"/>
      <w:lvlText w:val="%2)"/>
      <w:lvlJc w:val="left"/>
      <w:pPr>
        <w:ind w:left="1020" w:hanging="360"/>
      </w:pPr>
    </w:lvl>
    <w:lvl w:ilvl="2" w:tplc="3A7AA72C">
      <w:start w:val="1"/>
      <w:numFmt w:val="decimal"/>
      <w:lvlText w:val="%3)"/>
      <w:lvlJc w:val="left"/>
      <w:pPr>
        <w:ind w:left="1020" w:hanging="360"/>
      </w:pPr>
    </w:lvl>
    <w:lvl w:ilvl="3" w:tplc="BA8C2FA8">
      <w:start w:val="1"/>
      <w:numFmt w:val="decimal"/>
      <w:lvlText w:val="%4)"/>
      <w:lvlJc w:val="left"/>
      <w:pPr>
        <w:ind w:left="1020" w:hanging="360"/>
      </w:pPr>
    </w:lvl>
    <w:lvl w:ilvl="4" w:tplc="A08C9E82">
      <w:start w:val="1"/>
      <w:numFmt w:val="decimal"/>
      <w:lvlText w:val="%5)"/>
      <w:lvlJc w:val="left"/>
      <w:pPr>
        <w:ind w:left="1020" w:hanging="360"/>
      </w:pPr>
    </w:lvl>
    <w:lvl w:ilvl="5" w:tplc="4C3E6E8E">
      <w:start w:val="1"/>
      <w:numFmt w:val="decimal"/>
      <w:lvlText w:val="%6)"/>
      <w:lvlJc w:val="left"/>
      <w:pPr>
        <w:ind w:left="1020" w:hanging="360"/>
      </w:pPr>
    </w:lvl>
    <w:lvl w:ilvl="6" w:tplc="A1FCAB14">
      <w:start w:val="1"/>
      <w:numFmt w:val="decimal"/>
      <w:lvlText w:val="%7)"/>
      <w:lvlJc w:val="left"/>
      <w:pPr>
        <w:ind w:left="1020" w:hanging="360"/>
      </w:pPr>
    </w:lvl>
    <w:lvl w:ilvl="7" w:tplc="9C1A251A">
      <w:start w:val="1"/>
      <w:numFmt w:val="decimal"/>
      <w:lvlText w:val="%8)"/>
      <w:lvlJc w:val="left"/>
      <w:pPr>
        <w:ind w:left="1020" w:hanging="360"/>
      </w:pPr>
    </w:lvl>
    <w:lvl w:ilvl="8" w:tplc="D310AB10">
      <w:start w:val="1"/>
      <w:numFmt w:val="decimal"/>
      <w:lvlText w:val="%9)"/>
      <w:lvlJc w:val="left"/>
      <w:pPr>
        <w:ind w:left="1020" w:hanging="360"/>
      </w:pPr>
    </w:lvl>
  </w:abstractNum>
  <w:abstractNum w:abstractNumId="7" w15:restartNumberingAfterBreak="0">
    <w:nsid w:val="7FB056CE"/>
    <w:multiLevelType w:val="hybridMultilevel"/>
    <w:tmpl w:val="5BA43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26799517">
    <w:abstractNumId w:val="3"/>
  </w:num>
  <w:num w:numId="2" w16cid:durableId="1162307302">
    <w:abstractNumId w:val="5"/>
  </w:num>
  <w:num w:numId="3" w16cid:durableId="1356224475">
    <w:abstractNumId w:val="4"/>
  </w:num>
  <w:num w:numId="4" w16cid:durableId="462963189">
    <w:abstractNumId w:val="0"/>
  </w:num>
  <w:num w:numId="5" w16cid:durableId="948855958">
    <w:abstractNumId w:val="1"/>
  </w:num>
  <w:num w:numId="6" w16cid:durableId="2009551105">
    <w:abstractNumId w:val="6"/>
  </w:num>
  <w:num w:numId="7" w16cid:durableId="223831330">
    <w:abstractNumId w:val="2"/>
  </w:num>
  <w:num w:numId="8" w16cid:durableId="1032610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7C"/>
    <w:rsid w:val="0000537A"/>
    <w:rsid w:val="00025581"/>
    <w:rsid w:val="00042ECA"/>
    <w:rsid w:val="00053652"/>
    <w:rsid w:val="000576DE"/>
    <w:rsid w:val="00072614"/>
    <w:rsid w:val="0009646E"/>
    <w:rsid w:val="000A7123"/>
    <w:rsid w:val="000A79D0"/>
    <w:rsid w:val="000C4EFC"/>
    <w:rsid w:val="000E3844"/>
    <w:rsid w:val="000E60C3"/>
    <w:rsid w:val="000E79B6"/>
    <w:rsid w:val="001300BB"/>
    <w:rsid w:val="001304BE"/>
    <w:rsid w:val="00133C97"/>
    <w:rsid w:val="00156775"/>
    <w:rsid w:val="001606BF"/>
    <w:rsid w:val="00182652"/>
    <w:rsid w:val="001918CE"/>
    <w:rsid w:val="00197373"/>
    <w:rsid w:val="0019765D"/>
    <w:rsid w:val="001A324F"/>
    <w:rsid w:val="001B1506"/>
    <w:rsid w:val="001C7AA6"/>
    <w:rsid w:val="001D5924"/>
    <w:rsid w:val="001E1107"/>
    <w:rsid w:val="001E6136"/>
    <w:rsid w:val="002211D7"/>
    <w:rsid w:val="00223450"/>
    <w:rsid w:val="0022551E"/>
    <w:rsid w:val="00232711"/>
    <w:rsid w:val="002415BD"/>
    <w:rsid w:val="00241F11"/>
    <w:rsid w:val="00266F7B"/>
    <w:rsid w:val="00295BD7"/>
    <w:rsid w:val="002A4CF3"/>
    <w:rsid w:val="002B09AB"/>
    <w:rsid w:val="002B21DD"/>
    <w:rsid w:val="002C00C8"/>
    <w:rsid w:val="002C17AE"/>
    <w:rsid w:val="002F1B5F"/>
    <w:rsid w:val="0030731E"/>
    <w:rsid w:val="003158AB"/>
    <w:rsid w:val="0032522A"/>
    <w:rsid w:val="0032727F"/>
    <w:rsid w:val="0033143F"/>
    <w:rsid w:val="00351E65"/>
    <w:rsid w:val="00352B9C"/>
    <w:rsid w:val="00354810"/>
    <w:rsid w:val="003552BE"/>
    <w:rsid w:val="00357F10"/>
    <w:rsid w:val="00360273"/>
    <w:rsid w:val="0038737E"/>
    <w:rsid w:val="00387A3C"/>
    <w:rsid w:val="003A50CF"/>
    <w:rsid w:val="003A622C"/>
    <w:rsid w:val="003B1B3A"/>
    <w:rsid w:val="003C001D"/>
    <w:rsid w:val="003C00BB"/>
    <w:rsid w:val="003C021B"/>
    <w:rsid w:val="00416F39"/>
    <w:rsid w:val="004319F9"/>
    <w:rsid w:val="0043274D"/>
    <w:rsid w:val="00443BD3"/>
    <w:rsid w:val="00444FDF"/>
    <w:rsid w:val="00447EAB"/>
    <w:rsid w:val="004502DC"/>
    <w:rsid w:val="004523A5"/>
    <w:rsid w:val="00455275"/>
    <w:rsid w:val="00461288"/>
    <w:rsid w:val="00461B9F"/>
    <w:rsid w:val="00470875"/>
    <w:rsid w:val="0049426A"/>
    <w:rsid w:val="00494798"/>
    <w:rsid w:val="00496FF9"/>
    <w:rsid w:val="004A23CE"/>
    <w:rsid w:val="004A2D56"/>
    <w:rsid w:val="004B7589"/>
    <w:rsid w:val="004D06A6"/>
    <w:rsid w:val="004F2F4F"/>
    <w:rsid w:val="00505212"/>
    <w:rsid w:val="005248B5"/>
    <w:rsid w:val="00524BC1"/>
    <w:rsid w:val="00541494"/>
    <w:rsid w:val="00554C16"/>
    <w:rsid w:val="005610C7"/>
    <w:rsid w:val="00574861"/>
    <w:rsid w:val="00584100"/>
    <w:rsid w:val="005908DA"/>
    <w:rsid w:val="005C47CE"/>
    <w:rsid w:val="005E13C7"/>
    <w:rsid w:val="005E2B24"/>
    <w:rsid w:val="005F1CDE"/>
    <w:rsid w:val="005F25EC"/>
    <w:rsid w:val="005F37E5"/>
    <w:rsid w:val="005F4943"/>
    <w:rsid w:val="006110F4"/>
    <w:rsid w:val="00632681"/>
    <w:rsid w:val="00634DEE"/>
    <w:rsid w:val="00652DDE"/>
    <w:rsid w:val="006734E6"/>
    <w:rsid w:val="0068253D"/>
    <w:rsid w:val="006946FA"/>
    <w:rsid w:val="006A1AB8"/>
    <w:rsid w:val="006A4875"/>
    <w:rsid w:val="006B04B7"/>
    <w:rsid w:val="006B3FBE"/>
    <w:rsid w:val="006C2424"/>
    <w:rsid w:val="006D4E11"/>
    <w:rsid w:val="006D5638"/>
    <w:rsid w:val="006F48EA"/>
    <w:rsid w:val="006F6E34"/>
    <w:rsid w:val="00702CA3"/>
    <w:rsid w:val="007037E1"/>
    <w:rsid w:val="007406ED"/>
    <w:rsid w:val="007417DE"/>
    <w:rsid w:val="00744D7F"/>
    <w:rsid w:val="00773D9F"/>
    <w:rsid w:val="00784C3C"/>
    <w:rsid w:val="00790CD0"/>
    <w:rsid w:val="00795A66"/>
    <w:rsid w:val="007962F7"/>
    <w:rsid w:val="007A65CC"/>
    <w:rsid w:val="007A6A6C"/>
    <w:rsid w:val="007A6A81"/>
    <w:rsid w:val="007B0797"/>
    <w:rsid w:val="007B26D1"/>
    <w:rsid w:val="007B4C69"/>
    <w:rsid w:val="007C4483"/>
    <w:rsid w:val="007D6BBF"/>
    <w:rsid w:val="007E1DF2"/>
    <w:rsid w:val="007F263B"/>
    <w:rsid w:val="007F271C"/>
    <w:rsid w:val="007F577F"/>
    <w:rsid w:val="007F5792"/>
    <w:rsid w:val="00804D1E"/>
    <w:rsid w:val="008257A9"/>
    <w:rsid w:val="00827C92"/>
    <w:rsid w:val="00827DD4"/>
    <w:rsid w:val="00832074"/>
    <w:rsid w:val="008655F9"/>
    <w:rsid w:val="00865BE4"/>
    <w:rsid w:val="00866365"/>
    <w:rsid w:val="00893420"/>
    <w:rsid w:val="008B1EDB"/>
    <w:rsid w:val="008D49D3"/>
    <w:rsid w:val="008D7B9C"/>
    <w:rsid w:val="008F42F3"/>
    <w:rsid w:val="008F5EE9"/>
    <w:rsid w:val="00900980"/>
    <w:rsid w:val="00900C66"/>
    <w:rsid w:val="00902B0B"/>
    <w:rsid w:val="00932CC0"/>
    <w:rsid w:val="009334A9"/>
    <w:rsid w:val="009445A4"/>
    <w:rsid w:val="00951EAA"/>
    <w:rsid w:val="00953579"/>
    <w:rsid w:val="0095768D"/>
    <w:rsid w:val="009736D1"/>
    <w:rsid w:val="00996912"/>
    <w:rsid w:val="009A14D5"/>
    <w:rsid w:val="009A25C4"/>
    <w:rsid w:val="009B5F9C"/>
    <w:rsid w:val="009B7109"/>
    <w:rsid w:val="009D2D0B"/>
    <w:rsid w:val="009D68A8"/>
    <w:rsid w:val="009E027C"/>
    <w:rsid w:val="009E08A7"/>
    <w:rsid w:val="009F09E8"/>
    <w:rsid w:val="009F0A5E"/>
    <w:rsid w:val="00A11074"/>
    <w:rsid w:val="00A36DF7"/>
    <w:rsid w:val="00A44E20"/>
    <w:rsid w:val="00A651F9"/>
    <w:rsid w:val="00A7443F"/>
    <w:rsid w:val="00A74C50"/>
    <w:rsid w:val="00A90D2B"/>
    <w:rsid w:val="00AB2132"/>
    <w:rsid w:val="00AC508E"/>
    <w:rsid w:val="00AE7623"/>
    <w:rsid w:val="00B04B57"/>
    <w:rsid w:val="00B101FD"/>
    <w:rsid w:val="00B13468"/>
    <w:rsid w:val="00B1417C"/>
    <w:rsid w:val="00B17756"/>
    <w:rsid w:val="00B214BF"/>
    <w:rsid w:val="00B40BEE"/>
    <w:rsid w:val="00B50412"/>
    <w:rsid w:val="00B57CA9"/>
    <w:rsid w:val="00B63D88"/>
    <w:rsid w:val="00B64725"/>
    <w:rsid w:val="00B72028"/>
    <w:rsid w:val="00B73CE1"/>
    <w:rsid w:val="00B74852"/>
    <w:rsid w:val="00B7743A"/>
    <w:rsid w:val="00BB6793"/>
    <w:rsid w:val="00BC6721"/>
    <w:rsid w:val="00BC7168"/>
    <w:rsid w:val="00BD00D5"/>
    <w:rsid w:val="00BF44DB"/>
    <w:rsid w:val="00C12579"/>
    <w:rsid w:val="00C35204"/>
    <w:rsid w:val="00C40F3D"/>
    <w:rsid w:val="00C662F7"/>
    <w:rsid w:val="00C77F33"/>
    <w:rsid w:val="00C95A09"/>
    <w:rsid w:val="00CB2D33"/>
    <w:rsid w:val="00CB4320"/>
    <w:rsid w:val="00CC25C5"/>
    <w:rsid w:val="00CC72CB"/>
    <w:rsid w:val="00CD2D10"/>
    <w:rsid w:val="00CD4FCF"/>
    <w:rsid w:val="00CE4B21"/>
    <w:rsid w:val="00CE5483"/>
    <w:rsid w:val="00CE7005"/>
    <w:rsid w:val="00CF0FEC"/>
    <w:rsid w:val="00CF6675"/>
    <w:rsid w:val="00D16026"/>
    <w:rsid w:val="00D255F2"/>
    <w:rsid w:val="00D313F1"/>
    <w:rsid w:val="00D321A9"/>
    <w:rsid w:val="00D3273B"/>
    <w:rsid w:val="00D33E98"/>
    <w:rsid w:val="00D45FF6"/>
    <w:rsid w:val="00D611CD"/>
    <w:rsid w:val="00D62851"/>
    <w:rsid w:val="00D74A04"/>
    <w:rsid w:val="00D76941"/>
    <w:rsid w:val="00D80654"/>
    <w:rsid w:val="00D81D4E"/>
    <w:rsid w:val="00D92422"/>
    <w:rsid w:val="00D940CB"/>
    <w:rsid w:val="00D96946"/>
    <w:rsid w:val="00DD4BB4"/>
    <w:rsid w:val="00E04AED"/>
    <w:rsid w:val="00E23009"/>
    <w:rsid w:val="00E4169C"/>
    <w:rsid w:val="00E50716"/>
    <w:rsid w:val="00E5133F"/>
    <w:rsid w:val="00E51545"/>
    <w:rsid w:val="00E62DB1"/>
    <w:rsid w:val="00E64185"/>
    <w:rsid w:val="00E705DB"/>
    <w:rsid w:val="00E819CC"/>
    <w:rsid w:val="00EA6454"/>
    <w:rsid w:val="00EB17BD"/>
    <w:rsid w:val="00EB3997"/>
    <w:rsid w:val="00ED1C84"/>
    <w:rsid w:val="00ED1F66"/>
    <w:rsid w:val="00EE7348"/>
    <w:rsid w:val="00EF303A"/>
    <w:rsid w:val="00F322FB"/>
    <w:rsid w:val="00F45F12"/>
    <w:rsid w:val="00F5073D"/>
    <w:rsid w:val="00F6481A"/>
    <w:rsid w:val="00F65C50"/>
    <w:rsid w:val="00F75422"/>
    <w:rsid w:val="00FA4892"/>
    <w:rsid w:val="00FB0D98"/>
    <w:rsid w:val="00FD4587"/>
    <w:rsid w:val="00FD5F51"/>
    <w:rsid w:val="00FD60CA"/>
    <w:rsid w:val="00FE2A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D2E6A"/>
  <w15:chartTrackingRefBased/>
  <w15:docId w15:val="{759FA714-DF02-464C-831A-24CE1548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34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73CE1"/>
    <w:pPr>
      <w:spacing w:after="0" w:line="240" w:lineRule="auto"/>
    </w:pPr>
  </w:style>
  <w:style w:type="table" w:styleId="Lentelstinklelis">
    <w:name w:val="Table Grid"/>
    <w:basedOn w:val="prastojilentel"/>
    <w:uiPriority w:val="39"/>
    <w:rsid w:val="003C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A2D5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A2D56"/>
  </w:style>
  <w:style w:type="paragraph" w:styleId="Porat">
    <w:name w:val="footer"/>
    <w:basedOn w:val="prastasis"/>
    <w:link w:val="PoratDiagrama"/>
    <w:uiPriority w:val="99"/>
    <w:unhideWhenUsed/>
    <w:rsid w:val="004A2D5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A2D56"/>
  </w:style>
  <w:style w:type="character" w:styleId="Komentaronuoroda">
    <w:name w:val="annotation reference"/>
    <w:basedOn w:val="Numatytasispastraiposriftas"/>
    <w:uiPriority w:val="99"/>
    <w:semiHidden/>
    <w:unhideWhenUsed/>
    <w:rsid w:val="00B72028"/>
    <w:rPr>
      <w:sz w:val="16"/>
      <w:szCs w:val="16"/>
    </w:rPr>
  </w:style>
  <w:style w:type="paragraph" w:styleId="Komentarotekstas">
    <w:name w:val="annotation text"/>
    <w:basedOn w:val="prastasis"/>
    <w:link w:val="KomentarotekstasDiagrama"/>
    <w:uiPriority w:val="99"/>
    <w:unhideWhenUsed/>
    <w:rsid w:val="00B720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72028"/>
    <w:rPr>
      <w:sz w:val="20"/>
      <w:szCs w:val="20"/>
    </w:rPr>
  </w:style>
  <w:style w:type="paragraph" w:styleId="Komentarotema">
    <w:name w:val="annotation subject"/>
    <w:basedOn w:val="Komentarotekstas"/>
    <w:next w:val="Komentarotekstas"/>
    <w:link w:val="KomentarotemaDiagrama"/>
    <w:uiPriority w:val="99"/>
    <w:semiHidden/>
    <w:unhideWhenUsed/>
    <w:rsid w:val="00B72028"/>
    <w:rPr>
      <w:b/>
      <w:bCs/>
    </w:rPr>
  </w:style>
  <w:style w:type="character" w:customStyle="1" w:styleId="KomentarotemaDiagrama">
    <w:name w:val="Komentaro tema Diagrama"/>
    <w:basedOn w:val="KomentarotekstasDiagrama"/>
    <w:link w:val="Komentarotema"/>
    <w:uiPriority w:val="99"/>
    <w:semiHidden/>
    <w:rsid w:val="00B72028"/>
    <w:rPr>
      <w:b/>
      <w:bCs/>
      <w:sz w:val="20"/>
      <w:szCs w:val="20"/>
    </w:rPr>
  </w:style>
  <w:style w:type="character" w:styleId="Hipersaitas">
    <w:name w:val="Hyperlink"/>
    <w:basedOn w:val="Numatytasispastraiposriftas"/>
    <w:uiPriority w:val="99"/>
    <w:unhideWhenUsed/>
    <w:rsid w:val="00B72028"/>
    <w:rPr>
      <w:color w:val="0563C1" w:themeColor="hyperlink"/>
      <w:u w:val="single"/>
    </w:rPr>
  </w:style>
  <w:style w:type="character" w:styleId="Neapdorotaspaminjimas">
    <w:name w:val="Unresolved Mention"/>
    <w:basedOn w:val="Numatytasispastraiposriftas"/>
    <w:uiPriority w:val="99"/>
    <w:semiHidden/>
    <w:unhideWhenUsed/>
    <w:rsid w:val="00B72028"/>
    <w:rPr>
      <w:color w:val="605E5C"/>
      <w:shd w:val="clear" w:color="auto" w:fill="E1DFDD"/>
    </w:rPr>
  </w:style>
  <w:style w:type="paragraph" w:styleId="Pataisymai">
    <w:name w:val="Revision"/>
    <w:hidden/>
    <w:uiPriority w:val="99"/>
    <w:semiHidden/>
    <w:rsid w:val="00A11074"/>
    <w:pPr>
      <w:spacing w:after="0" w:line="240" w:lineRule="auto"/>
    </w:pPr>
  </w:style>
  <w:style w:type="character" w:styleId="Perirtashipersaitas">
    <w:name w:val="FollowedHyperlink"/>
    <w:basedOn w:val="Numatytasispastraiposriftas"/>
    <w:uiPriority w:val="99"/>
    <w:semiHidden/>
    <w:unhideWhenUsed/>
    <w:rsid w:val="009E08A7"/>
    <w:rPr>
      <w:color w:val="954F72" w:themeColor="followedHyperlink"/>
      <w:u w:val="single"/>
    </w:rPr>
  </w:style>
  <w:style w:type="paragraph" w:customStyle="1" w:styleId="prastasis1">
    <w:name w:val="Įprastasis1"/>
    <w:rsid w:val="006F48EA"/>
    <w:pPr>
      <w:suppressAutoHyphens/>
      <w:autoSpaceDN w:val="0"/>
      <w:spacing w:after="200" w:line="276" w:lineRule="auto"/>
      <w:textAlignment w:val="baseline"/>
    </w:pPr>
    <w:rPr>
      <w:rFonts w:ascii="Calibri" w:eastAsia="Calibri" w:hAnsi="Calibri" w:cs="Times New Roman"/>
      <w:kern w:val="0"/>
      <w14:ligatures w14:val="none"/>
    </w:rPr>
  </w:style>
  <w:style w:type="character" w:customStyle="1" w:styleId="Numatytasispastraiposriftas1">
    <w:name w:val="Numatytasis pastraipos šriftas1"/>
    <w:rsid w:val="006F48EA"/>
  </w:style>
  <w:style w:type="paragraph" w:customStyle="1" w:styleId="pf0">
    <w:name w:val="pf0"/>
    <w:basedOn w:val="prastasis"/>
    <w:rsid w:val="002B09A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2B09AB"/>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49254">
      <w:bodyDiv w:val="1"/>
      <w:marLeft w:val="0"/>
      <w:marRight w:val="0"/>
      <w:marTop w:val="0"/>
      <w:marBottom w:val="0"/>
      <w:divBdr>
        <w:top w:val="none" w:sz="0" w:space="0" w:color="auto"/>
        <w:left w:val="none" w:sz="0" w:space="0" w:color="auto"/>
        <w:bottom w:val="none" w:sz="0" w:space="0" w:color="auto"/>
        <w:right w:val="none" w:sz="0" w:space="0" w:color="auto"/>
      </w:divBdr>
    </w:div>
    <w:div w:id="913470492">
      <w:bodyDiv w:val="1"/>
      <w:marLeft w:val="0"/>
      <w:marRight w:val="0"/>
      <w:marTop w:val="0"/>
      <w:marBottom w:val="0"/>
      <w:divBdr>
        <w:top w:val="none" w:sz="0" w:space="0" w:color="auto"/>
        <w:left w:val="none" w:sz="0" w:space="0" w:color="auto"/>
        <w:bottom w:val="none" w:sz="0" w:space="0" w:color="auto"/>
        <w:right w:val="none" w:sz="0" w:space="0" w:color="auto"/>
      </w:divBdr>
    </w:div>
    <w:div w:id="112619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rt.lt" TargetMode="External"/><Relationship Id="rId3" Type="http://schemas.openxmlformats.org/officeDocument/2006/relationships/settings" Target="settings.xml"/><Relationship Id="rId7" Type="http://schemas.openxmlformats.org/officeDocument/2006/relationships/hyperlink" Target="https://www.rrt.lt/judriojo-rysio-tinklu-tiketinos-aprepties-zon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sirinktinis 4">
      <a:majorFont>
        <a:latin typeface="Jost"/>
        <a:ea typeface=""/>
        <a:cs typeface=""/>
      </a:majorFont>
      <a:minorFont>
        <a:latin typeface="Jos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5828</Words>
  <Characters>3322</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Jolita Gylienė</cp:lastModifiedBy>
  <cp:revision>3</cp:revision>
  <dcterms:created xsi:type="dcterms:W3CDTF">2025-03-06T12:40:00Z</dcterms:created>
  <dcterms:modified xsi:type="dcterms:W3CDTF">2025-03-06T13:37:00Z</dcterms:modified>
</cp:coreProperties>
</file>