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09C1" w14:textId="72F6DA99" w:rsidR="00EE3830" w:rsidRPr="00191EFA" w:rsidRDefault="00044EC9">
      <w:pPr>
        <w:rPr>
          <w:rFonts w:cstheme="minorHAnsi"/>
          <w:sz w:val="24"/>
          <w:szCs w:val="24"/>
        </w:rPr>
      </w:pPr>
      <w:r w:rsidRPr="00191EFA">
        <w:rPr>
          <w:rFonts w:cstheme="minorHAnsi"/>
        </w:rPr>
        <w:tab/>
      </w:r>
      <w:r w:rsidR="00881F62" w:rsidRPr="00191EFA">
        <w:rPr>
          <w:rFonts w:cstheme="minorHAnsi"/>
        </w:rPr>
        <w:tab/>
      </w:r>
      <w:r w:rsidR="00881F62" w:rsidRPr="00191EFA">
        <w:rPr>
          <w:rFonts w:cstheme="minorHAnsi"/>
        </w:rPr>
        <w:tab/>
      </w:r>
      <w:r w:rsidR="00881F62" w:rsidRPr="00191EFA">
        <w:rPr>
          <w:rFonts w:cstheme="minorHAnsi"/>
        </w:rPr>
        <w:tab/>
      </w:r>
      <w:r w:rsidR="00881F62" w:rsidRPr="00191EFA">
        <w:rPr>
          <w:rFonts w:cstheme="minorHAnsi"/>
        </w:rPr>
        <w:tab/>
      </w:r>
      <w:r w:rsidR="00881F62" w:rsidRPr="00191EFA">
        <w:rPr>
          <w:rFonts w:cstheme="minorHAnsi"/>
        </w:rPr>
        <w:tab/>
      </w:r>
      <w:r w:rsidR="00191EFA" w:rsidRPr="00191EFA">
        <w:rPr>
          <w:rFonts w:cstheme="minorHAnsi"/>
          <w:sz w:val="24"/>
          <w:szCs w:val="24"/>
        </w:rPr>
        <w:t>2025-03-07</w:t>
      </w:r>
    </w:p>
    <w:p w14:paraId="409C7649" w14:textId="5ED6B655" w:rsidR="00881F62" w:rsidRPr="00191EFA" w:rsidRDefault="00881F62">
      <w:pPr>
        <w:rPr>
          <w:rFonts w:cstheme="minorHAnsi"/>
          <w:b/>
          <w:bCs/>
          <w:sz w:val="24"/>
          <w:szCs w:val="24"/>
        </w:rPr>
      </w:pPr>
      <w:r w:rsidRPr="00191EFA">
        <w:rPr>
          <w:rFonts w:cstheme="minorHAnsi"/>
          <w:b/>
          <w:bCs/>
          <w:sz w:val="24"/>
          <w:szCs w:val="24"/>
        </w:rPr>
        <w:t>DĖL ATSAKYM</w:t>
      </w:r>
      <w:r w:rsidR="00945AF7" w:rsidRPr="00191EFA">
        <w:rPr>
          <w:rFonts w:cstheme="minorHAnsi"/>
          <w:b/>
          <w:bCs/>
          <w:sz w:val="24"/>
          <w:szCs w:val="24"/>
        </w:rPr>
        <w:t>O</w:t>
      </w:r>
      <w:r w:rsidRPr="00191EFA">
        <w:rPr>
          <w:rFonts w:cstheme="minorHAnsi"/>
          <w:b/>
          <w:bCs/>
          <w:sz w:val="24"/>
          <w:szCs w:val="24"/>
        </w:rPr>
        <w:t xml:space="preserve"> Į KLAUSIM</w:t>
      </w:r>
      <w:r w:rsidR="00191EFA" w:rsidRPr="00191EFA">
        <w:rPr>
          <w:rFonts w:cstheme="minorHAnsi"/>
          <w:b/>
          <w:bCs/>
          <w:sz w:val="24"/>
          <w:szCs w:val="24"/>
        </w:rPr>
        <w:t>US</w:t>
      </w:r>
    </w:p>
    <w:p w14:paraId="7007552D" w14:textId="29E3FD13" w:rsidR="003F13E1" w:rsidRPr="00191EFA" w:rsidRDefault="003F13E1" w:rsidP="00191EFA">
      <w:pPr>
        <w:tabs>
          <w:tab w:val="left" w:pos="630"/>
        </w:tabs>
        <w:spacing w:after="0" w:line="240" w:lineRule="auto"/>
        <w:ind w:firstLine="567"/>
        <w:jc w:val="both"/>
        <w:rPr>
          <w:rFonts w:cstheme="minorHAnsi"/>
          <w:sz w:val="24"/>
          <w:szCs w:val="24"/>
        </w:rPr>
      </w:pPr>
      <w:r w:rsidRPr="00191EFA">
        <w:rPr>
          <w:rFonts w:cstheme="minorHAnsi"/>
          <w:sz w:val="24"/>
          <w:szCs w:val="24"/>
        </w:rPr>
        <w:t>Informuojame, kad viešojo pirkimo komisija (toliau – Komisija), išnagrinėjusi CVP IS priemonėmis pateiktą pranešimą, atsižvelgdama į tai, kad klausima</w:t>
      </w:r>
      <w:r w:rsidR="00191EFA" w:rsidRPr="00191EFA">
        <w:rPr>
          <w:rFonts w:cstheme="minorHAnsi"/>
          <w:sz w:val="24"/>
          <w:szCs w:val="24"/>
        </w:rPr>
        <w:t>i</w:t>
      </w:r>
      <w:r w:rsidRPr="00191EFA">
        <w:rPr>
          <w:rFonts w:cstheme="minorHAnsi"/>
          <w:sz w:val="24"/>
          <w:szCs w:val="24"/>
        </w:rPr>
        <w:t xml:space="preserve"> buvo pateikt</w:t>
      </w:r>
      <w:r w:rsidR="00191EFA" w:rsidRPr="00191EFA">
        <w:rPr>
          <w:rFonts w:cstheme="minorHAnsi"/>
          <w:sz w:val="24"/>
          <w:szCs w:val="24"/>
        </w:rPr>
        <w:t>i</w:t>
      </w:r>
      <w:r w:rsidRPr="00191EFA">
        <w:rPr>
          <w:rFonts w:cstheme="minorHAnsi"/>
          <w:sz w:val="24"/>
          <w:szCs w:val="24"/>
        </w:rPr>
        <w:t xml:space="preserve"> nepraleidžiant </w:t>
      </w:r>
      <w:r w:rsidR="00044EC9" w:rsidRPr="00191EFA">
        <w:rPr>
          <w:rFonts w:cstheme="minorHAnsi"/>
          <w:sz w:val="24"/>
          <w:szCs w:val="24"/>
        </w:rPr>
        <w:t xml:space="preserve">specialiųjų </w:t>
      </w:r>
      <w:r w:rsidRPr="00191EFA">
        <w:rPr>
          <w:rFonts w:cstheme="minorHAnsi"/>
          <w:sz w:val="24"/>
          <w:szCs w:val="24"/>
        </w:rPr>
        <w:t>konkurso sąlygų 1 priede nustatytų terminų, sprendžia atsakyti į j</w:t>
      </w:r>
      <w:r w:rsidR="00191EFA" w:rsidRPr="00191EFA">
        <w:rPr>
          <w:rFonts w:cstheme="minorHAnsi"/>
          <w:sz w:val="24"/>
          <w:szCs w:val="24"/>
        </w:rPr>
        <w:t>uos</w:t>
      </w:r>
      <w:r w:rsidRPr="00191EFA">
        <w:rPr>
          <w:rFonts w:cstheme="minorHAnsi"/>
          <w:sz w:val="24"/>
          <w:szCs w:val="24"/>
        </w:rPr>
        <w:t xml:space="preserve"> taip:</w:t>
      </w:r>
    </w:p>
    <w:tbl>
      <w:tblPr>
        <w:tblStyle w:val="Lentelstinklelis"/>
        <w:tblW w:w="0" w:type="auto"/>
        <w:tblLook w:val="04A0" w:firstRow="1" w:lastRow="0" w:firstColumn="1" w:lastColumn="0" w:noHBand="0" w:noVBand="1"/>
      </w:tblPr>
      <w:tblGrid>
        <w:gridCol w:w="4673"/>
        <w:gridCol w:w="4955"/>
      </w:tblGrid>
      <w:tr w:rsidR="00191EFA" w:rsidRPr="00191EFA" w14:paraId="36F5142F" w14:textId="77777777" w:rsidTr="00191EFA">
        <w:trPr>
          <w:trHeight w:val="425"/>
        </w:trPr>
        <w:tc>
          <w:tcPr>
            <w:tcW w:w="4673" w:type="dxa"/>
            <w:vAlign w:val="center"/>
          </w:tcPr>
          <w:p w14:paraId="0594BB8E" w14:textId="77777777" w:rsidR="00191EFA" w:rsidRPr="00191EFA" w:rsidRDefault="00191EFA" w:rsidP="00191EFA">
            <w:pPr>
              <w:tabs>
                <w:tab w:val="left" w:pos="630"/>
              </w:tabs>
              <w:jc w:val="center"/>
              <w:rPr>
                <w:rFonts w:cstheme="minorHAnsi"/>
                <w:b/>
                <w:bCs/>
                <w:i/>
                <w:color w:val="538135" w:themeColor="accent6" w:themeShade="BF"/>
              </w:rPr>
            </w:pPr>
            <w:bookmarkStart w:id="0" w:name="_Hlk192237266"/>
            <w:r w:rsidRPr="00191EFA">
              <w:rPr>
                <w:rFonts w:cstheme="minorHAnsi"/>
                <w:b/>
                <w:bCs/>
              </w:rPr>
              <w:t xml:space="preserve">Tiekėjo klausimas/prašymas </w:t>
            </w:r>
            <w:r w:rsidRPr="00191EFA">
              <w:rPr>
                <w:rFonts w:cstheme="minorHAnsi"/>
              </w:rPr>
              <w:t>(kalba netaisyta)</w:t>
            </w:r>
            <w:r w:rsidRPr="00191EFA">
              <w:rPr>
                <w:rFonts w:cstheme="minorHAnsi"/>
                <w:b/>
                <w:bCs/>
              </w:rPr>
              <w:t>:</w:t>
            </w:r>
          </w:p>
        </w:tc>
        <w:tc>
          <w:tcPr>
            <w:tcW w:w="4955" w:type="dxa"/>
            <w:vAlign w:val="center"/>
          </w:tcPr>
          <w:p w14:paraId="35EBED22" w14:textId="77777777" w:rsidR="00191EFA" w:rsidRPr="00191EFA" w:rsidRDefault="00191EFA" w:rsidP="00191EFA">
            <w:pPr>
              <w:tabs>
                <w:tab w:val="left" w:pos="630"/>
              </w:tabs>
              <w:jc w:val="center"/>
              <w:rPr>
                <w:rFonts w:cstheme="minorHAnsi"/>
                <w:b/>
                <w:bCs/>
              </w:rPr>
            </w:pPr>
            <w:r w:rsidRPr="00191EFA">
              <w:rPr>
                <w:rFonts w:cstheme="minorHAnsi"/>
                <w:b/>
                <w:bCs/>
              </w:rPr>
              <w:t>Atsakymas:</w:t>
            </w:r>
          </w:p>
        </w:tc>
      </w:tr>
      <w:tr w:rsidR="00191EFA" w:rsidRPr="00191EFA" w14:paraId="57FDCA98" w14:textId="77777777" w:rsidTr="00191EFA">
        <w:tc>
          <w:tcPr>
            <w:tcW w:w="4673" w:type="dxa"/>
          </w:tcPr>
          <w:p w14:paraId="731418F3" w14:textId="77777777" w:rsidR="00191EFA" w:rsidRPr="00191EFA" w:rsidRDefault="00191EFA" w:rsidP="00191EFA">
            <w:pPr>
              <w:tabs>
                <w:tab w:val="left" w:pos="630"/>
              </w:tabs>
              <w:jc w:val="both"/>
              <w:rPr>
                <w:rFonts w:cstheme="minorHAnsi"/>
              </w:rPr>
            </w:pPr>
            <w:r w:rsidRPr="00191EFA">
              <w:rPr>
                <w:rFonts w:cstheme="minorHAnsi"/>
              </w:rPr>
              <w:t>1.</w:t>
            </w:r>
            <w:r w:rsidRPr="00191EFA">
              <w:rPr>
                <w:rFonts w:cstheme="minorHAnsi"/>
                <w:i/>
                <w:iCs/>
                <w:color w:val="92D050"/>
              </w:rPr>
              <w:t xml:space="preserve"> </w:t>
            </w:r>
            <w:r w:rsidRPr="00191EFA">
              <w:rPr>
                <w:rFonts w:cstheme="minorHAnsi"/>
              </w:rPr>
              <w:t>Pirkimo dokumentuose nurodomi pertekliniai ir klaidingi reikalavimai:</w:t>
            </w:r>
          </w:p>
          <w:p w14:paraId="650E2639" w14:textId="77777777" w:rsidR="00191EFA" w:rsidRPr="00191EFA" w:rsidRDefault="00191EFA" w:rsidP="00191EFA">
            <w:pPr>
              <w:tabs>
                <w:tab w:val="left" w:pos="630"/>
              </w:tabs>
              <w:jc w:val="both"/>
              <w:rPr>
                <w:rFonts w:cstheme="minorHAnsi"/>
              </w:rPr>
            </w:pPr>
            <w:r w:rsidRPr="00191EFA">
              <w:rPr>
                <w:rFonts w:cstheme="minorHAnsi"/>
              </w:rPr>
              <w:t>10 priedas</w:t>
            </w:r>
          </w:p>
          <w:p w14:paraId="6ADD53F6" w14:textId="77777777" w:rsidR="00191EFA" w:rsidRPr="00191EFA" w:rsidRDefault="00191EFA" w:rsidP="00191EFA">
            <w:pPr>
              <w:tabs>
                <w:tab w:val="left" w:pos="630"/>
              </w:tabs>
              <w:jc w:val="both"/>
              <w:rPr>
                <w:rFonts w:cstheme="minorHAnsi"/>
              </w:rPr>
            </w:pPr>
            <w:r w:rsidRPr="00191EFA">
              <w:rPr>
                <w:rFonts w:cstheme="minorHAnsi"/>
              </w:rPr>
              <w:t>ĮVYKDYTŲ IR (AR) VYKDOMŲ SUTARČIŲ SĄRAŠAS – reikalaujama konfidenciali informacija. Tokių duomenų negalima pateikti dėl konfidencialumo įsipareigojimų klientui.</w:t>
            </w:r>
          </w:p>
          <w:p w14:paraId="47EAFCDA" w14:textId="77777777" w:rsidR="00191EFA" w:rsidRPr="00191EFA" w:rsidRDefault="00191EFA" w:rsidP="00191EFA">
            <w:pPr>
              <w:tabs>
                <w:tab w:val="left" w:pos="630"/>
              </w:tabs>
              <w:jc w:val="both"/>
              <w:rPr>
                <w:rFonts w:cstheme="minorHAnsi"/>
              </w:rPr>
            </w:pPr>
            <w:r w:rsidRPr="00191EFA">
              <w:rPr>
                <w:rFonts w:cstheme="minorHAnsi"/>
              </w:rPr>
              <w:t>Su šiuo punktu yra susijęs ir 4 priedo 2.1 punktas. Turėtų būti pašalinti.</w:t>
            </w:r>
          </w:p>
          <w:p w14:paraId="1CF31409" w14:textId="77777777" w:rsidR="00191EFA" w:rsidRPr="00191EFA" w:rsidRDefault="00191EFA" w:rsidP="00191EFA">
            <w:pPr>
              <w:tabs>
                <w:tab w:val="left" w:pos="630"/>
              </w:tabs>
              <w:jc w:val="both"/>
              <w:rPr>
                <w:rFonts w:cstheme="minorHAnsi"/>
              </w:rPr>
            </w:pPr>
            <w:r w:rsidRPr="00191EFA">
              <w:rPr>
                <w:rFonts w:cstheme="minorHAnsi"/>
              </w:rPr>
              <w:t>Kvalifikacija patvirtinama darbuotojų kvalifikaciniais pažymėjimais ir VERT išduotu atestatu įmonei.</w:t>
            </w:r>
          </w:p>
        </w:tc>
        <w:tc>
          <w:tcPr>
            <w:tcW w:w="4955" w:type="dxa"/>
          </w:tcPr>
          <w:p w14:paraId="345452C5" w14:textId="77777777" w:rsidR="00191EFA" w:rsidRPr="00191EFA" w:rsidRDefault="00191EFA" w:rsidP="00191EFA">
            <w:pPr>
              <w:tabs>
                <w:tab w:val="left" w:pos="630"/>
              </w:tabs>
              <w:jc w:val="both"/>
              <w:rPr>
                <w:rFonts w:cstheme="minorHAnsi"/>
              </w:rPr>
            </w:pPr>
            <w:r w:rsidRPr="00191EFA">
              <w:rPr>
                <w:rFonts w:cstheme="minorHAnsi"/>
              </w:rPr>
              <w:t xml:space="preserve">Atsakydami informuojame, Perkančioji organizacija turi pareigą ir teisę išsiaiškinti, ar tiekėjas yra kompetentingas, patikimas ir pajėgus įvykdyti pirkimo sąlygas. </w:t>
            </w:r>
          </w:p>
          <w:p w14:paraId="21F81D92" w14:textId="77777777" w:rsidR="00191EFA" w:rsidRPr="00191EFA" w:rsidRDefault="00191EFA" w:rsidP="00191EFA">
            <w:pPr>
              <w:tabs>
                <w:tab w:val="left" w:pos="630"/>
              </w:tabs>
              <w:jc w:val="both"/>
              <w:rPr>
                <w:rFonts w:cstheme="minorHAnsi"/>
              </w:rPr>
            </w:pPr>
            <w:r w:rsidRPr="00191EFA">
              <w:rPr>
                <w:rFonts w:cstheme="minorHAnsi"/>
              </w:rPr>
              <w:t>Pirkimo dokumentų 4 priede 2.1 punkte nustatytas reikalavimas parengtas vadovaujantis Viešųjų pirkimų tarnybos direktoriaus 2017 m. birželio 29 d. įsakymu Nr. Nr. 1S-105 patvirtinta Tiekėjo kvalifikacijos reikalavimų nustatymo metodika (aktualia redakcija).  Šis reikalavimas visiems pirkime dalyvaujantiems tiekėjams taikomas vienodai, yra tikslus, aiškus, objektyviai patikrinamas, dirbtinai neriboja konkurencijos ir proporcingai susijęs su pirkimo objektu.</w:t>
            </w:r>
          </w:p>
          <w:p w14:paraId="469320E3" w14:textId="77777777" w:rsidR="00191EFA" w:rsidRPr="00191EFA" w:rsidRDefault="00191EFA" w:rsidP="00191EFA">
            <w:pPr>
              <w:tabs>
                <w:tab w:val="left" w:pos="630"/>
              </w:tabs>
              <w:jc w:val="both"/>
              <w:rPr>
                <w:rFonts w:cstheme="minorHAnsi"/>
              </w:rPr>
            </w:pPr>
            <w:r w:rsidRPr="00191EFA">
              <w:rPr>
                <w:rFonts w:cstheme="minorHAnsi"/>
              </w:rPr>
              <w:t xml:space="preserve"> Pažymime, kad Perkančioji organizacija, vadovaujantis Viešųjų pirkimų įstatymo 20 straipsnio nuostatomis, turi pareigą užtikrinti tiekėjų pasiūlymų informacijos konfidencialumą.</w:t>
            </w:r>
          </w:p>
          <w:p w14:paraId="15617CCF" w14:textId="77777777" w:rsidR="00191EFA" w:rsidRPr="00191EFA" w:rsidRDefault="00191EFA" w:rsidP="00191EFA">
            <w:pPr>
              <w:tabs>
                <w:tab w:val="left" w:pos="4696"/>
                <w:tab w:val="left" w:pos="6687"/>
              </w:tabs>
              <w:jc w:val="both"/>
              <w:rPr>
                <w:rFonts w:cstheme="minorHAnsi"/>
                <w:iCs/>
                <w:color w:val="538135" w:themeColor="accent6" w:themeShade="BF"/>
              </w:rPr>
            </w:pPr>
            <w:r w:rsidRPr="00191EFA">
              <w:rPr>
                <w:rFonts w:cstheme="minorHAnsi"/>
                <w:iCs/>
              </w:rPr>
              <w:t xml:space="preserve">Atsižvelgiant į aukščiau išdėstytą, Komisija </w:t>
            </w:r>
            <w:r w:rsidRPr="00191EFA">
              <w:rPr>
                <w:rFonts w:cstheme="minorHAnsi"/>
              </w:rPr>
              <w:t xml:space="preserve">Pirkimo dokumentų 4 priede 2.1 punkte nustatyto reikalavimo </w:t>
            </w:r>
            <w:r w:rsidRPr="00191EFA">
              <w:rPr>
                <w:rFonts w:cstheme="minorHAnsi"/>
                <w:iCs/>
              </w:rPr>
              <w:t>pertekliniu ir klaidingu nelaiko.</w:t>
            </w:r>
          </w:p>
        </w:tc>
      </w:tr>
      <w:tr w:rsidR="00191EFA" w:rsidRPr="00191EFA" w14:paraId="21E19AA5" w14:textId="77777777" w:rsidTr="00191EFA">
        <w:tc>
          <w:tcPr>
            <w:tcW w:w="4673" w:type="dxa"/>
          </w:tcPr>
          <w:p w14:paraId="3E52084E" w14:textId="77777777" w:rsidR="00191EFA" w:rsidRPr="00191EFA" w:rsidRDefault="00191EFA" w:rsidP="00191EFA">
            <w:pPr>
              <w:tabs>
                <w:tab w:val="left" w:pos="630"/>
              </w:tabs>
              <w:jc w:val="both"/>
              <w:rPr>
                <w:rFonts w:cstheme="minorHAnsi"/>
              </w:rPr>
            </w:pPr>
            <w:r w:rsidRPr="00191EFA">
              <w:rPr>
                <w:rFonts w:cstheme="minorHAnsi"/>
              </w:rPr>
              <w:t>2. Pirkimo dokumentuose nurodomi pertekliniai ir klaidingi reikalavimai:</w:t>
            </w:r>
          </w:p>
          <w:p w14:paraId="6C155F11" w14:textId="77777777" w:rsidR="00191EFA" w:rsidRPr="00191EFA" w:rsidRDefault="00191EFA" w:rsidP="00191EFA">
            <w:pPr>
              <w:tabs>
                <w:tab w:val="left" w:pos="630"/>
              </w:tabs>
              <w:jc w:val="both"/>
              <w:rPr>
                <w:rFonts w:cstheme="minorHAnsi"/>
              </w:rPr>
            </w:pPr>
            <w:r w:rsidRPr="00191EFA">
              <w:rPr>
                <w:rFonts w:cstheme="minorHAnsi"/>
              </w:rPr>
              <w:t>11 priedas Specialisto kvalifikaciją patvirtinantis dokumentas - prašoma pateikti akredituotos įstaigos išduoto dokumento, tačiau elektrinių matavimų sritis nėra akredituojama.</w:t>
            </w:r>
          </w:p>
        </w:tc>
        <w:tc>
          <w:tcPr>
            <w:tcW w:w="4955" w:type="dxa"/>
          </w:tcPr>
          <w:p w14:paraId="0AECFB00" w14:textId="77777777" w:rsidR="00191EFA" w:rsidRPr="00191EFA" w:rsidRDefault="00191EFA" w:rsidP="00191EFA">
            <w:pPr>
              <w:tabs>
                <w:tab w:val="left" w:pos="630"/>
              </w:tabs>
              <w:jc w:val="both"/>
              <w:rPr>
                <w:rFonts w:cstheme="minorHAnsi"/>
              </w:rPr>
            </w:pPr>
            <w:r w:rsidRPr="00191EFA">
              <w:rPr>
                <w:rFonts w:cstheme="minorHAnsi"/>
              </w:rPr>
              <w:t>Pirkimo dokumentų 4 priede 2.2 punkte nustatytas reikalavimas parengtas vadovaujantis Valstybinės energetikos reguliavimo tarybos 2020 m. gruodžio 18 d. nutarimu Nr. O3E-1458 patvirtinta Bendrąja energetikos darbuotojų atestavimo schema ir jos priedu Nr. 1 „Elektros energetikos sektoriaus darbuotojų, kurie privalo būti atestuojami, sąrašas“ (toliau – Sąrašas). Remiantis Sąrašo skiltimi „Inžinerinių kategorijų darbuotojai“, Eil. Nr. 3, energetikos inžineriniai darbuotojai eksploatuojantys elektros įrenginius iki 1000 V įtampoje privalo turėti Izoliacijos, įžeminimo ir įnulinimo varžų matuotojo energetikos darbuotojo mokymo programos baigimo pažymėjimą.</w:t>
            </w:r>
          </w:p>
          <w:p w14:paraId="4065F129" w14:textId="77777777" w:rsidR="00191EFA" w:rsidRPr="00191EFA" w:rsidRDefault="00191EFA" w:rsidP="00191EFA">
            <w:pPr>
              <w:tabs>
                <w:tab w:val="left" w:pos="630"/>
              </w:tabs>
              <w:jc w:val="both"/>
              <w:rPr>
                <w:rFonts w:cstheme="minorHAnsi"/>
              </w:rPr>
            </w:pPr>
            <w:r w:rsidRPr="00191EFA">
              <w:rPr>
                <w:rFonts w:cstheme="minorHAnsi"/>
                <w:iCs/>
              </w:rPr>
              <w:t xml:space="preserve">Atsižvelgiant į aukščiau išdėstytą, Komisija </w:t>
            </w:r>
            <w:r w:rsidRPr="00191EFA">
              <w:rPr>
                <w:rFonts w:cstheme="minorHAnsi"/>
              </w:rPr>
              <w:t xml:space="preserve">Pirkimo dokumentų 4 priede 2.2 punkte nustatyto reikalavimo </w:t>
            </w:r>
            <w:r w:rsidRPr="00191EFA">
              <w:rPr>
                <w:rFonts w:cstheme="minorHAnsi"/>
                <w:iCs/>
              </w:rPr>
              <w:t>pertekliniu ir klaidingu nelaiko.</w:t>
            </w:r>
          </w:p>
        </w:tc>
      </w:tr>
    </w:tbl>
    <w:bookmarkEnd w:id="0"/>
    <w:p w14:paraId="2537719D" w14:textId="77777777" w:rsidR="00191EFA" w:rsidRPr="00191EFA" w:rsidRDefault="00191EFA" w:rsidP="00191EFA">
      <w:pPr>
        <w:tabs>
          <w:tab w:val="left" w:pos="630"/>
        </w:tabs>
        <w:spacing w:after="0" w:line="240" w:lineRule="auto"/>
        <w:ind w:firstLine="567"/>
        <w:jc w:val="both"/>
        <w:rPr>
          <w:rFonts w:cstheme="minorHAnsi"/>
          <w:bCs/>
          <w:i/>
          <w:color w:val="92D050"/>
          <w:sz w:val="24"/>
          <w:szCs w:val="24"/>
        </w:rPr>
      </w:pPr>
      <w:r w:rsidRPr="00191EFA">
        <w:rPr>
          <w:rFonts w:cstheme="minorHAnsi"/>
          <w:sz w:val="24"/>
          <w:szCs w:val="24"/>
        </w:rPr>
        <w:t xml:space="preserve">Atsižvelgdama į aukščiau išdėstytą, Komisija sprendžia nekeisti pirkimo dokumentuose nurodytų reikalavimų.  </w:t>
      </w:r>
    </w:p>
    <w:p w14:paraId="6310E460" w14:textId="77777777" w:rsidR="00D405B6" w:rsidRPr="00191EFA" w:rsidRDefault="00D405B6" w:rsidP="00191EFA">
      <w:pPr>
        <w:spacing w:after="0" w:line="240" w:lineRule="auto"/>
        <w:rPr>
          <w:rFonts w:cstheme="minorHAnsi"/>
        </w:rPr>
      </w:pPr>
    </w:p>
    <w:sectPr w:rsidR="00D405B6" w:rsidRPr="00191EFA" w:rsidSect="00191E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D1"/>
    <w:rsid w:val="00044EC9"/>
    <w:rsid w:val="00191EFA"/>
    <w:rsid w:val="001F2F58"/>
    <w:rsid w:val="003F13E1"/>
    <w:rsid w:val="00510895"/>
    <w:rsid w:val="00535DB7"/>
    <w:rsid w:val="00716F50"/>
    <w:rsid w:val="007534DA"/>
    <w:rsid w:val="007E568D"/>
    <w:rsid w:val="00812869"/>
    <w:rsid w:val="00881F62"/>
    <w:rsid w:val="008C4D00"/>
    <w:rsid w:val="00945AF7"/>
    <w:rsid w:val="00970E86"/>
    <w:rsid w:val="00A554D1"/>
    <w:rsid w:val="00CC1173"/>
    <w:rsid w:val="00D25235"/>
    <w:rsid w:val="00D405B6"/>
    <w:rsid w:val="00DE37D3"/>
    <w:rsid w:val="00EE3830"/>
    <w:rsid w:val="00F164EA"/>
    <w:rsid w:val="00F675DC"/>
    <w:rsid w:val="00FC4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411"/>
  <w15:chartTrackingRefBased/>
  <w15:docId w15:val="{AF92C2EB-0946-4B7C-B607-CF85E4D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81F6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881F62"/>
    <w:rPr>
      <w:b/>
      <w:bCs/>
    </w:rPr>
  </w:style>
  <w:style w:type="character" w:styleId="Hipersaitas">
    <w:name w:val="Hyperlink"/>
    <w:basedOn w:val="Numatytasispastraiposriftas"/>
    <w:uiPriority w:val="99"/>
    <w:unhideWhenUsed/>
    <w:rsid w:val="00881F62"/>
    <w:rPr>
      <w:color w:val="0563C1" w:themeColor="hyperlink"/>
      <w:u w:val="single"/>
    </w:rPr>
  </w:style>
  <w:style w:type="character" w:styleId="Neapdorotaspaminjimas">
    <w:name w:val="Unresolved Mention"/>
    <w:basedOn w:val="Numatytasispastraiposriftas"/>
    <w:uiPriority w:val="99"/>
    <w:semiHidden/>
    <w:unhideWhenUsed/>
    <w:rsid w:val="00881F62"/>
    <w:rPr>
      <w:color w:val="605E5C"/>
      <w:shd w:val="clear" w:color="auto" w:fill="E1DFDD"/>
    </w:rPr>
  </w:style>
  <w:style w:type="character" w:styleId="Emfaz">
    <w:name w:val="Emphasis"/>
    <w:basedOn w:val="Numatytasispastraiposriftas"/>
    <w:uiPriority w:val="20"/>
    <w:qFormat/>
    <w:rsid w:val="00945AF7"/>
    <w:rPr>
      <w:i/>
      <w:iCs/>
    </w:rPr>
  </w:style>
  <w:style w:type="character" w:customStyle="1" w:styleId="Stilius1">
    <w:name w:val="Stilius1"/>
    <w:basedOn w:val="Numatytasispastraiposriftas"/>
    <w:uiPriority w:val="1"/>
    <w:rsid w:val="003F13E1"/>
    <w:rPr>
      <w:rFonts w:ascii="Times New Roman" w:hAnsi="Times New Roman"/>
      <w:sz w:val="24"/>
    </w:rPr>
  </w:style>
  <w:style w:type="character" w:customStyle="1" w:styleId="Stilius2">
    <w:name w:val="Stilius2"/>
    <w:basedOn w:val="Numatytasispastraiposriftas"/>
    <w:uiPriority w:val="1"/>
    <w:rsid w:val="003F13E1"/>
    <w:rPr>
      <w:rFonts w:ascii="Times New Roman" w:hAnsi="Times New Roman"/>
      <w:sz w:val="24"/>
    </w:rPr>
  </w:style>
  <w:style w:type="table" w:styleId="Lentelstinklelis">
    <w:name w:val="Table Grid"/>
    <w:basedOn w:val="prastojilentel"/>
    <w:uiPriority w:val="59"/>
    <w:rsid w:val="003F13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389">
      <w:bodyDiv w:val="1"/>
      <w:marLeft w:val="0"/>
      <w:marRight w:val="0"/>
      <w:marTop w:val="0"/>
      <w:marBottom w:val="0"/>
      <w:divBdr>
        <w:top w:val="none" w:sz="0" w:space="0" w:color="auto"/>
        <w:left w:val="none" w:sz="0" w:space="0" w:color="auto"/>
        <w:bottom w:val="none" w:sz="0" w:space="0" w:color="auto"/>
        <w:right w:val="none" w:sz="0" w:space="0" w:color="auto"/>
      </w:divBdr>
    </w:div>
    <w:div w:id="20607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1844</Words>
  <Characters>1052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Tomas Guzelis</cp:lastModifiedBy>
  <cp:revision>20</cp:revision>
  <dcterms:created xsi:type="dcterms:W3CDTF">2024-01-17T10:23:00Z</dcterms:created>
  <dcterms:modified xsi:type="dcterms:W3CDTF">2025-03-07T13:34:00Z</dcterms:modified>
</cp:coreProperties>
</file>