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Toc48053171" w:displacedByCustomXml="next"/>
    <w:bookmarkStart w:id="3" w:name="_Ref39666796" w:displacedByCustomXml="next"/>
    <w:bookmarkStart w:id="4" w:name="_Ref39666794"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MAŽOS VERTĖS VIEŠOJO ATRAMINIŲ PADŲ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6D78A1"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6D78A1"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D26443">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 xml:space="preserve">. </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15B143A4" w14:textId="77777777" w:rsidR="00D26443" w:rsidRDefault="00D26443" w:rsidP="00D26443">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Pr="004538AC">
        <w:rPr>
          <w:rFonts w:ascii="Times New Roman" w:hAnsi="Times New Roman" w:cs="Times New Roman"/>
          <w:sz w:val="24"/>
          <w:szCs w:val="24"/>
        </w:rPr>
        <w:t>1.5.</w:t>
      </w:r>
      <w:r w:rsidRPr="004538AC">
        <w:rPr>
          <w:rFonts w:ascii="Times New Roman" w:hAnsi="Times New Roman" w:cs="Times New Roman"/>
          <w:i/>
          <w:iCs/>
          <w:sz w:val="24"/>
          <w:szCs w:val="24"/>
        </w:rPr>
        <w:t xml:space="preserve"> </w:t>
      </w:r>
      <w:r w:rsidRPr="004538AC">
        <w:rPr>
          <w:rFonts w:ascii="Times New Roman" w:hAnsi="Times New Roman" w:cs="Times New Roman"/>
          <w:sz w:val="24"/>
          <w:szCs w:val="24"/>
        </w:rPr>
        <w:t xml:space="preserve">Atliekamas žaliasis pirkimas. Pirkimas vykdomas vadovaujantis </w:t>
      </w:r>
      <w:hyperlink r:id="rId11" w:history="1">
        <w:r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72324">
        <w:rPr>
          <w:rFonts w:ascii="Times New Roman" w:hAnsi="Times New Roman" w:cs="Times New Roman"/>
          <w:sz w:val="24"/>
          <w:szCs w:val="24"/>
        </w:rPr>
        <w:t xml:space="preserve">“ </w:t>
      </w:r>
      <w:r w:rsidRPr="00CC2F01">
        <w:rPr>
          <w:rFonts w:ascii="Times New Roman" w:hAnsi="Times New Roman" w:cs="Times New Roman"/>
          <w:color w:val="000000" w:themeColor="text1"/>
          <w:sz w:val="24"/>
          <w:szCs w:val="24"/>
        </w:rPr>
        <w:t>4.4.4.</w:t>
      </w:r>
      <w:r w:rsidRPr="00CC2F01">
        <w:rPr>
          <w:rFonts w:ascii="Times New Roman" w:hAnsi="Times New Roman" w:cs="Times New Roman"/>
          <w:i/>
          <w:color w:val="000000" w:themeColor="text1"/>
          <w:sz w:val="24"/>
          <w:szCs w:val="24"/>
        </w:rPr>
        <w:t xml:space="preserve"> </w:t>
      </w:r>
      <w:r w:rsidRPr="00CC2F01">
        <w:rPr>
          <w:rFonts w:ascii="Times New Roman" w:hAnsi="Times New Roman" w:cs="Times New Roman"/>
          <w:color w:val="000000" w:themeColor="text1"/>
          <w:sz w:val="24"/>
          <w:szCs w:val="24"/>
        </w:rPr>
        <w:t xml:space="preserve"> </w:t>
      </w:r>
      <w:r w:rsidRPr="00172324">
        <w:rPr>
          <w:rFonts w:ascii="Times New Roman" w:hAnsi="Times New Roman" w:cs="Times New Roman"/>
          <w:sz w:val="24"/>
          <w:szCs w:val="24"/>
        </w:rPr>
        <w:t>punktu (-</w:t>
      </w:r>
      <w:proofErr w:type="spellStart"/>
      <w:r w:rsidRPr="00172324">
        <w:rPr>
          <w:rFonts w:ascii="Times New Roman" w:hAnsi="Times New Roman" w:cs="Times New Roman"/>
          <w:sz w:val="24"/>
          <w:szCs w:val="24"/>
        </w:rPr>
        <w:t>ais</w:t>
      </w:r>
      <w:proofErr w:type="spellEnd"/>
      <w:r w:rsidRPr="00172324">
        <w:rPr>
          <w:rFonts w:ascii="Times New Roman" w:hAnsi="Times New Roman" w:cs="Times New Roman"/>
          <w:sz w:val="24"/>
          <w:szCs w:val="24"/>
        </w:rPr>
        <w:t xml:space="preserve">). Aplinkos apaugos </w:t>
      </w:r>
      <w:r w:rsidRPr="002C6B5A">
        <w:rPr>
          <w:rFonts w:ascii="Times New Roman" w:hAnsi="Times New Roman" w:cs="Times New Roman"/>
          <w:sz w:val="24"/>
          <w:szCs w:val="24"/>
        </w:rPr>
        <w:t>kriterijai nustatyti 2 priede.</w:t>
      </w:r>
      <w:r>
        <w:rPr>
          <w:rFonts w:ascii="Times New Roman" w:hAnsi="Times New Roman" w:cs="Times New Roman"/>
          <w:sz w:val="24"/>
          <w:szCs w:val="24"/>
        </w:rPr>
        <w:t xml:space="preserve"> </w:t>
      </w:r>
    </w:p>
    <w:p w14:paraId="4C7CA8C5" w14:textId="77777777" w:rsidR="00D26443" w:rsidRPr="00172324" w:rsidRDefault="00D26443" w:rsidP="00D26443">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 pirkimo sąlygos yra neatskiriama šių pirkimo sąlygų dalis.</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75420EDE" w14:textId="77777777" w:rsidR="00D26443" w:rsidRDefault="00D26443" w:rsidP="00D26443">
      <w:pPr>
        <w:spacing w:line="240" w:lineRule="auto"/>
        <w:contextualSpacing/>
        <w:rPr>
          <w:rFonts w:ascii="Times New Roman" w:eastAsia="Calibri" w:hAnsi="Times New Roman" w:cs="Times New Roman"/>
          <w:b/>
          <w:color w:val="333333"/>
          <w:sz w:val="24"/>
          <w:szCs w:val="24"/>
          <w:shd w:val="clear" w:color="auto" w:fill="FFFFFF"/>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Pr="009E779C">
        <w:rPr>
          <w:rFonts w:ascii="Times New Roman" w:eastAsia="Calibri" w:hAnsi="Times New Roman" w:cs="Times New Roman"/>
          <w:color w:val="538135" w:themeColor="accent6" w:themeShade="BF"/>
          <w:sz w:val="24"/>
          <w:szCs w:val="24"/>
        </w:rPr>
        <w:t>atraminius padus.</w:t>
      </w:r>
      <w:r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 xml:space="preserve">priede. Bendra sutarties kaina </w:t>
      </w:r>
      <w:r w:rsidRPr="009E779C">
        <w:rPr>
          <w:rFonts w:ascii="Times New Roman" w:eastAsia="Calibri" w:hAnsi="Times New Roman" w:cs="Times New Roman"/>
          <w:b/>
          <w:color w:val="333333"/>
          <w:sz w:val="24"/>
          <w:szCs w:val="24"/>
          <w:shd w:val="clear" w:color="auto" w:fill="FFFFFF"/>
          <w:lang w:eastAsia="en-US"/>
        </w:rPr>
        <w:t>9090,91 EUR be PVM ir</w:t>
      </w:r>
      <w:r w:rsidRPr="009E779C">
        <w:rPr>
          <w:rFonts w:ascii="Times New Roman" w:eastAsia="Calibri" w:hAnsi="Times New Roman" w:cs="Times New Roman"/>
          <w:color w:val="333333"/>
          <w:sz w:val="24"/>
          <w:szCs w:val="24"/>
          <w:shd w:val="clear" w:color="auto" w:fill="FFFFFF"/>
          <w:lang w:eastAsia="en-US"/>
        </w:rPr>
        <w:t xml:space="preserve">  </w:t>
      </w:r>
      <w:r w:rsidRPr="009E779C">
        <w:rPr>
          <w:rFonts w:ascii="Times New Roman" w:eastAsia="Calibri" w:hAnsi="Times New Roman" w:cs="Times New Roman"/>
          <w:b/>
          <w:color w:val="333333"/>
          <w:sz w:val="24"/>
          <w:szCs w:val="24"/>
          <w:shd w:val="clear" w:color="auto" w:fill="FFFFFF"/>
          <w:lang w:eastAsia="en-US"/>
        </w:rPr>
        <w:t>11000,00 EUR su PVM.</w:t>
      </w:r>
    </w:p>
    <w:p w14:paraId="024147E6" w14:textId="77777777" w:rsidR="00D26443" w:rsidRPr="009E779C" w:rsidRDefault="00D26443" w:rsidP="00D26443">
      <w:pPr>
        <w:pStyle w:val="ListParagraph"/>
        <w:numPr>
          <w:ilvl w:val="2"/>
          <w:numId w:val="11"/>
        </w:numPr>
        <w:spacing w:line="240" w:lineRule="auto"/>
        <w:rPr>
          <w:rFonts w:ascii="Times New Roman" w:eastAsia="Calibri" w:hAnsi="Times New Roman" w:cs="Times New Roman"/>
          <w:sz w:val="24"/>
          <w:szCs w:val="24"/>
          <w:lang w:eastAsia="en-US"/>
        </w:rPr>
      </w:pPr>
      <w:r w:rsidRPr="009E779C">
        <w:rPr>
          <w:rFonts w:ascii="Times New Roman" w:eastAsia="Calibri" w:hAnsi="Times New Roman" w:cs="Times New Roman"/>
          <w:sz w:val="24"/>
          <w:szCs w:val="24"/>
          <w:lang w:eastAsia="en-US"/>
        </w:rPr>
        <w:t xml:space="preserve">Laimėtojas  Pirkėjui prekes privalės pristatyti iki 2025 m. gegužės 1 d. </w:t>
      </w:r>
    </w:p>
    <w:p w14:paraId="1D6FEFBD" w14:textId="77777777" w:rsidR="00D26443" w:rsidRPr="009E779C" w:rsidRDefault="00D26443" w:rsidP="00D26443">
      <w:pPr>
        <w:pStyle w:val="NoSpacing"/>
        <w:tabs>
          <w:tab w:val="left" w:pos="1134"/>
        </w:tabs>
        <w:spacing w:after="120"/>
        <w:contextualSpacing/>
        <w:rPr>
          <w:rFonts w:ascii="Times New Roman" w:hAnsi="Times New Roman" w:cs="Times New Roman"/>
          <w:sz w:val="24"/>
          <w:szCs w:val="24"/>
        </w:rPr>
      </w:pPr>
      <w:r w:rsidRPr="009E779C">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priede.</w:t>
      </w:r>
    </w:p>
    <w:p w14:paraId="6A4CED71" w14:textId="77777777"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77777777"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2.4.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0E5F07B"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77777777"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7.3. P</w:t>
      </w:r>
      <w:r w:rsidR="0014359C" w:rsidRPr="00C02DD8">
        <w:rPr>
          <w:rStyle w:val="cf01"/>
          <w:rFonts w:ascii="Times New Roman" w:hAnsi="Times New Roman" w:cs="Times New Roman"/>
          <w:sz w:val="24"/>
          <w:szCs w:val="24"/>
        </w:rPr>
        <w:t>erkančioji organizacija</w:t>
      </w:r>
      <w:r w:rsidR="0098135D" w:rsidRPr="00C02DD8">
        <w:rPr>
          <w:rStyle w:val="cf01"/>
          <w:rFonts w:ascii="Times New Roman" w:hAnsi="Times New Roman" w:cs="Times New Roman"/>
          <w:sz w:val="24"/>
          <w:szCs w:val="24"/>
        </w:rPr>
        <w:t xml:space="preserve"> iš karto, be papildomo informavimo </w:t>
      </w:r>
      <w:r w:rsidR="0014359C" w:rsidRPr="00C02DD8">
        <w:rPr>
          <w:rStyle w:val="cf01"/>
          <w:rFonts w:ascii="Times New Roman" w:hAnsi="Times New Roman" w:cs="Times New Roman"/>
          <w:sz w:val="24"/>
          <w:szCs w:val="24"/>
        </w:rPr>
        <w:t xml:space="preserve"> </w:t>
      </w:r>
      <w:r w:rsidRPr="00C02DD8">
        <w:rPr>
          <w:rStyle w:val="cf01"/>
          <w:rFonts w:ascii="Times New Roman" w:hAnsi="Times New Roman" w:cs="Times New Roman"/>
          <w:sz w:val="24"/>
          <w:szCs w:val="24"/>
        </w:rPr>
        <w:t xml:space="preserve">atmes tiekėjo pasiūlymą, jeigu kartu su pasiūlymu nebus pateikti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pateikti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2A43F54B"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6D78A1"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r w:rsidR="00B10AEE" w:rsidRPr="00B10AEE" w14:paraId="02840D8F" w14:textId="77777777" w:rsidTr="000925D4">
        <w:trPr>
          <w:cantSplit/>
          <w:trHeight w:val="555"/>
        </w:trPr>
        <w:tc>
          <w:tcPr>
            <w:tcW w:w="10201" w:type="dxa"/>
            <w:gridSpan w:val="2"/>
          </w:tcPr>
          <w:p w14:paraId="5625879A" w14:textId="28CF4EFE"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B10AEE">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,,Žaliojo“</w:t>
            </w:r>
            <w:r w:rsidR="00AB255B" w:rsidRPr="001D53BF">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pirkimo deklaracija</w:t>
            </w:r>
            <w:r w:rsidR="00D4287B" w:rsidRPr="005F1719">
              <w:rPr>
                <w:rFonts w:ascii="Times New Roman" w:eastAsia="Calibri" w:hAnsi="Times New Roman" w:cs="Times New Roman"/>
                <w:b/>
                <w:sz w:val="24"/>
                <w:szCs w:val="24"/>
                <w:lang w:eastAsia="en-US"/>
              </w:rPr>
              <w:t xml:space="preserve"> (pateikiama su </w:t>
            </w:r>
            <w:bookmarkStart w:id="22" w:name="_GoBack"/>
            <w:bookmarkEnd w:id="22"/>
            <w:r w:rsidR="00D4287B" w:rsidRPr="005F1719">
              <w:rPr>
                <w:rFonts w:ascii="Times New Roman" w:eastAsia="Calibri" w:hAnsi="Times New Roman" w:cs="Times New Roman"/>
                <w:b/>
                <w:sz w:val="24"/>
                <w:szCs w:val="24"/>
                <w:lang w:eastAsia="en-US"/>
              </w:rPr>
              <w:t>pasiūlymu)</w:t>
            </w:r>
            <w:r w:rsidR="00AB255B" w:rsidRPr="005F1719">
              <w:rPr>
                <w:rFonts w:ascii="Times New Roman" w:eastAsia="Calibri" w:hAnsi="Times New Roman" w:cs="Times New Roman"/>
                <w:b/>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A3214" w14:textId="77777777" w:rsidR="006D78A1" w:rsidRDefault="006D78A1" w:rsidP="00D05666">
      <w:r>
        <w:separator/>
      </w:r>
    </w:p>
  </w:endnote>
  <w:endnote w:type="continuationSeparator" w:id="0">
    <w:p w14:paraId="09CC8FD8" w14:textId="77777777" w:rsidR="006D78A1" w:rsidRDefault="006D78A1" w:rsidP="00D05666">
      <w:r>
        <w:continuationSeparator/>
      </w:r>
    </w:p>
  </w:endnote>
  <w:endnote w:type="continuationNotice" w:id="1">
    <w:p w14:paraId="14F79610" w14:textId="77777777" w:rsidR="006D78A1" w:rsidRDefault="006D78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D581C" w14:textId="77777777" w:rsidR="006D78A1" w:rsidRDefault="006D78A1" w:rsidP="00D05666">
      <w:r>
        <w:separator/>
      </w:r>
    </w:p>
  </w:footnote>
  <w:footnote w:type="continuationSeparator" w:id="0">
    <w:p w14:paraId="705A701D" w14:textId="77777777" w:rsidR="006D78A1" w:rsidRDefault="006D78A1" w:rsidP="00D05666">
      <w:r>
        <w:continuationSeparator/>
      </w:r>
    </w:p>
  </w:footnote>
  <w:footnote w:type="continuationNotice" w:id="1">
    <w:p w14:paraId="0CB7092D" w14:textId="77777777" w:rsidR="006D78A1" w:rsidRDefault="006D78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9F2D4A4" w:rsidR="00285B02" w:rsidRDefault="00285B02">
        <w:pPr>
          <w:pStyle w:val="Header"/>
          <w:jc w:val="center"/>
        </w:pPr>
        <w:r>
          <w:fldChar w:fldCharType="begin"/>
        </w:r>
        <w:r>
          <w:instrText>PAGE   \* MERGEFORMAT</w:instrText>
        </w:r>
        <w:r>
          <w:fldChar w:fldCharType="separate"/>
        </w:r>
        <w:r w:rsidR="005F1719">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D62A5"/>
    <w:rsid w:val="001E3B26"/>
    <w:rsid w:val="002768EB"/>
    <w:rsid w:val="00295EF8"/>
    <w:rsid w:val="00296288"/>
    <w:rsid w:val="002C1509"/>
    <w:rsid w:val="002E2C63"/>
    <w:rsid w:val="003029BA"/>
    <w:rsid w:val="003661A6"/>
    <w:rsid w:val="00390A29"/>
    <w:rsid w:val="003A40E3"/>
    <w:rsid w:val="003C05B3"/>
    <w:rsid w:val="00430113"/>
    <w:rsid w:val="00435616"/>
    <w:rsid w:val="004362B9"/>
    <w:rsid w:val="00447837"/>
    <w:rsid w:val="00460C76"/>
    <w:rsid w:val="0046126A"/>
    <w:rsid w:val="00482991"/>
    <w:rsid w:val="004D38E9"/>
    <w:rsid w:val="00525232"/>
    <w:rsid w:val="00652F79"/>
    <w:rsid w:val="006D77F5"/>
    <w:rsid w:val="00731487"/>
    <w:rsid w:val="0078514A"/>
    <w:rsid w:val="007C7D73"/>
    <w:rsid w:val="007D5777"/>
    <w:rsid w:val="007E27AB"/>
    <w:rsid w:val="007F25D7"/>
    <w:rsid w:val="007F7894"/>
    <w:rsid w:val="00810A25"/>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D1EBF64-AC2E-426E-ABE7-01A7D174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2662</Words>
  <Characters>15178</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131</cp:revision>
  <cp:lastPrinted>2021-11-02T20:49:00Z</cp:lastPrinted>
  <dcterms:created xsi:type="dcterms:W3CDTF">2024-03-27T09:36:00Z</dcterms:created>
  <dcterms:modified xsi:type="dcterms:W3CDTF">2025-03-10T08:50:00Z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