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lt-LT"/>
        </w:rPr>
      </w:pPr>
      <w:r>
        <w:rPr>
          <w:lang w:val="lt-LT"/>
        </w:rPr>
      </w:r>
    </w:p>
    <w:p>
      <w:pPr>
        <w:pStyle w:val="Normal"/>
        <w:tabs>
          <w:tab w:val="clear" w:pos="720"/>
          <w:tab w:val="left" w:pos="2550" w:leader="none"/>
        </w:tabs>
        <w:spacing w:lineRule="auto" w:line="276"/>
        <w:jc w:val="center"/>
        <w:rPr>
          <w:b/>
          <w:caps/>
          <w:lang w:val="lt-LT"/>
        </w:rPr>
      </w:pPr>
      <w:r>
        <w:rPr>
          <w:b/>
          <w:bCs/>
          <w:lang w:val="lt-LT"/>
        </w:rPr>
        <w:t xml:space="preserve">TECHNINĖ SPECIFIKACIJA </w:t>
      </w:r>
    </w:p>
    <w:p>
      <w:pPr>
        <w:pStyle w:val="Normal"/>
        <w:tabs>
          <w:tab w:val="clear" w:pos="720"/>
          <w:tab w:val="center" w:pos="4320" w:leader="none"/>
          <w:tab w:val="right" w:pos="8640" w:leader="none"/>
        </w:tabs>
        <w:jc w:val="center"/>
        <w:rPr>
          <w:b/>
          <w:bCs/>
          <w:lang w:val="lt-LT"/>
        </w:rPr>
      </w:pPr>
      <w:r>
        <w:rPr>
          <w:b/>
          <w:bCs/>
          <w:lang w:val="lt-LT"/>
        </w:rPr>
        <w:t>KRAUJO DONORŲ REGISTRO PALAIKYMO</w:t>
      </w:r>
      <w:r>
        <w:rPr>
          <w:rFonts w:ascii="Times New Roman Bold" w:hAnsi="Times New Roman Bold"/>
          <w:b/>
          <w:caps/>
          <w:lang w:val="lt-LT"/>
        </w:rPr>
        <w:t xml:space="preserve"> </w:t>
      </w:r>
      <w:r>
        <w:rPr>
          <w:b/>
          <w:bCs/>
          <w:lang w:val="lt-LT"/>
        </w:rPr>
        <w:t>PASLAUGŲ PIRKIMAS</w:t>
      </w:r>
    </w:p>
    <w:p>
      <w:pPr>
        <w:pStyle w:val="Normal"/>
        <w:jc w:val="both"/>
        <w:rPr>
          <w:color w:val="000000"/>
          <w:lang w:val="lt-LT"/>
        </w:rPr>
      </w:pPr>
      <w:r>
        <w:rPr>
          <w:color w:val="000000"/>
          <w:lang w:val="lt-LT"/>
        </w:rPr>
      </w:r>
    </w:p>
    <w:p>
      <w:pPr>
        <w:pStyle w:val="Normal"/>
        <w:jc w:val="center"/>
        <w:rPr>
          <w:b/>
          <w:lang w:val="lt-LT"/>
        </w:rPr>
      </w:pPr>
      <w:r>
        <w:rPr>
          <w:b/>
          <w:lang w:val="lt-LT"/>
        </w:rPr>
        <w:t>I. ĮVADINĖ INFORMACIJA</w:t>
      </w:r>
    </w:p>
    <w:p>
      <w:pPr>
        <w:pStyle w:val="Normal"/>
        <w:rPr>
          <w:b/>
          <w:caps/>
          <w:lang w:val="lt-LT"/>
        </w:rPr>
      </w:pPr>
      <w:r>
        <w:rPr>
          <w:b/>
          <w:caps/>
          <w:lang w:val="lt-LT"/>
        </w:rPr>
      </w:r>
    </w:p>
    <w:p>
      <w:pPr>
        <w:pStyle w:val="Normal"/>
        <w:numPr>
          <w:ilvl w:val="0"/>
          <w:numId w:val="1"/>
        </w:numPr>
        <w:tabs>
          <w:tab w:val="clear" w:pos="720"/>
        </w:tabs>
        <w:ind w:firstLine="770" w:left="0"/>
        <w:jc w:val="both"/>
        <w:rPr>
          <w:color w:val="000000"/>
          <w:lang w:val="lt-LT"/>
        </w:rPr>
      </w:pPr>
      <w:r>
        <w:rPr>
          <w:lang w:val="lt-LT"/>
        </w:rPr>
        <w:t>Pirkimo tikslas – įsigyti turimos Kraujo donorų registro taikomosios programinės įrangos komponentų, kurie įdiegti Perkančiosios organizacijos infrastruktūroje 2012 metais ir patobulinti 2024 metais, palaikymo paslaugas.</w:t>
      </w:r>
    </w:p>
    <w:p>
      <w:pPr>
        <w:pStyle w:val="Normal"/>
        <w:numPr>
          <w:ilvl w:val="0"/>
          <w:numId w:val="1"/>
        </w:numPr>
        <w:tabs>
          <w:tab w:val="clear" w:pos="720"/>
        </w:tabs>
        <w:ind w:firstLine="770" w:left="0"/>
        <w:jc w:val="both"/>
        <w:rPr>
          <w:color w:val="000000"/>
          <w:lang w:val="lt-LT"/>
        </w:rPr>
      </w:pPr>
      <w:r>
        <w:rPr>
          <w:color w:val="000000"/>
          <w:lang w:val="lt-LT"/>
        </w:rPr>
        <w:t>Šioje techninėje specifikacijoje naudojamos sąvokos ir sutrumpinimai:</w:t>
      </w:r>
    </w:p>
    <w:p>
      <w:pPr>
        <w:pStyle w:val="Normal"/>
        <w:numPr>
          <w:ilvl w:val="1"/>
          <w:numId w:val="2"/>
        </w:numPr>
        <w:tabs>
          <w:tab w:val="clear" w:pos="720"/>
          <w:tab w:val="left" w:pos="1320" w:leader="none"/>
        </w:tabs>
        <w:ind w:hanging="1440" w:left="2210"/>
        <w:jc w:val="both"/>
        <w:rPr>
          <w:color w:val="000000"/>
          <w:lang w:val="lt-LT"/>
        </w:rPr>
      </w:pPr>
      <w:r>
        <w:rPr>
          <w:lang w:val="lt-LT"/>
        </w:rPr>
        <w:t>Centrinė registro tvarkymo įstaiga (Higienos institutas) – CRTĮ;</w:t>
      </w:r>
    </w:p>
    <w:p>
      <w:pPr>
        <w:pStyle w:val="Normal"/>
        <w:numPr>
          <w:ilvl w:val="1"/>
          <w:numId w:val="2"/>
        </w:numPr>
        <w:tabs>
          <w:tab w:val="clear" w:pos="720"/>
          <w:tab w:val="left" w:pos="1320" w:leader="none"/>
        </w:tabs>
        <w:ind w:firstLine="770" w:left="0"/>
        <w:jc w:val="both"/>
        <w:rPr>
          <w:color w:val="000000"/>
          <w:lang w:val="lt-LT"/>
        </w:rPr>
      </w:pPr>
      <w:r>
        <w:rPr>
          <w:lang w:val="lt-LT"/>
        </w:rPr>
        <w:t>Aprašytas įvykęs ar tikėtinas KDR naudotojų veiklos, susijusios su KDR naudojimu, sutrikimas – Incidentas;</w:t>
      </w:r>
    </w:p>
    <w:p>
      <w:pPr>
        <w:pStyle w:val="Normal"/>
        <w:numPr>
          <w:ilvl w:val="1"/>
          <w:numId w:val="2"/>
        </w:numPr>
        <w:tabs>
          <w:tab w:val="clear" w:pos="720"/>
          <w:tab w:val="left" w:pos="1320" w:leader="none"/>
        </w:tabs>
        <w:ind w:firstLine="770" w:left="0"/>
        <w:jc w:val="both"/>
        <w:rPr>
          <w:color w:val="000000"/>
          <w:lang w:val="lt-LT"/>
        </w:rPr>
      </w:pPr>
      <w:r>
        <w:rPr>
          <w:lang w:val="lt-LT"/>
        </w:rPr>
        <w:t>Kraujo donorystės įstaiga – KDĮ;</w:t>
      </w:r>
    </w:p>
    <w:p>
      <w:pPr>
        <w:pStyle w:val="Normal"/>
        <w:numPr>
          <w:ilvl w:val="1"/>
          <w:numId w:val="2"/>
        </w:numPr>
        <w:tabs>
          <w:tab w:val="clear" w:pos="720"/>
          <w:tab w:val="left" w:pos="1320" w:leader="none"/>
        </w:tabs>
        <w:ind w:firstLine="770" w:left="0"/>
        <w:jc w:val="both"/>
        <w:rPr>
          <w:color w:val="000000"/>
          <w:lang w:val="lt-LT"/>
        </w:rPr>
      </w:pPr>
      <w:r>
        <w:rPr>
          <w:lang w:val="lt-LT"/>
        </w:rPr>
        <w:t>Kraujo donorų registras – KDR;</w:t>
      </w:r>
    </w:p>
    <w:p>
      <w:pPr>
        <w:pStyle w:val="Normal"/>
        <w:numPr>
          <w:ilvl w:val="1"/>
          <w:numId w:val="2"/>
        </w:numPr>
        <w:tabs>
          <w:tab w:val="clear" w:pos="720"/>
          <w:tab w:val="left" w:pos="1320" w:leader="none"/>
        </w:tabs>
        <w:ind w:firstLine="770" w:left="0"/>
        <w:jc w:val="both"/>
        <w:rPr>
          <w:color w:val="000000"/>
          <w:lang w:val="lt-LT"/>
        </w:rPr>
      </w:pPr>
      <w:r>
        <w:rPr>
          <w:lang w:val="lt-LT"/>
        </w:rPr>
        <w:t>Kraujo donorų registro programinė įranga – KDR PĮ;</w:t>
      </w:r>
    </w:p>
    <w:p>
      <w:pPr>
        <w:pStyle w:val="Normal"/>
        <w:numPr>
          <w:ilvl w:val="1"/>
          <w:numId w:val="2"/>
        </w:numPr>
        <w:tabs>
          <w:tab w:val="clear" w:pos="720"/>
          <w:tab w:val="left" w:pos="1320" w:leader="none"/>
        </w:tabs>
        <w:ind w:firstLine="770" w:left="0"/>
        <w:jc w:val="both"/>
        <w:rPr>
          <w:color w:val="000000"/>
          <w:lang w:val="lt-LT"/>
        </w:rPr>
      </w:pPr>
      <w:r>
        <w:rPr>
          <w:lang w:val="lt-LT"/>
        </w:rPr>
        <w:t>Sistemos veikimo neatitikimas aprašytai specifikacijai – Klaida;</w:t>
      </w:r>
    </w:p>
    <w:p>
      <w:pPr>
        <w:pStyle w:val="Normal"/>
        <w:numPr>
          <w:ilvl w:val="1"/>
          <w:numId w:val="2"/>
        </w:numPr>
        <w:tabs>
          <w:tab w:val="clear" w:pos="720"/>
          <w:tab w:val="left" w:pos="1320" w:leader="none"/>
        </w:tabs>
        <w:ind w:firstLine="770" w:left="0"/>
        <w:jc w:val="both"/>
        <w:rPr>
          <w:color w:val="000000"/>
          <w:lang w:val="lt-LT"/>
        </w:rPr>
      </w:pPr>
      <w:r>
        <w:rPr>
          <w:lang w:val="lt-LT"/>
        </w:rPr>
        <w:t>KDR taikomosios programinės įrangos palaikymo paslauga – Paslauga;</w:t>
      </w:r>
    </w:p>
    <w:p>
      <w:pPr>
        <w:pStyle w:val="Normal"/>
        <w:numPr>
          <w:ilvl w:val="1"/>
          <w:numId w:val="2"/>
        </w:numPr>
        <w:tabs>
          <w:tab w:val="clear" w:pos="720"/>
          <w:tab w:val="left" w:pos="1320" w:leader="none"/>
        </w:tabs>
        <w:ind w:firstLine="770" w:left="0"/>
        <w:jc w:val="both"/>
        <w:rPr>
          <w:color w:val="000000"/>
          <w:lang w:val="lt-LT"/>
        </w:rPr>
      </w:pPr>
      <w:r>
        <w:rPr>
          <w:lang w:val="lt-LT"/>
        </w:rPr>
        <w:t>Higienos institutas – Perkančioji organizacija;</w:t>
      </w:r>
    </w:p>
    <w:p>
      <w:pPr>
        <w:pStyle w:val="Normal"/>
        <w:numPr>
          <w:ilvl w:val="1"/>
          <w:numId w:val="2"/>
        </w:numPr>
        <w:tabs>
          <w:tab w:val="clear" w:pos="720"/>
          <w:tab w:val="left" w:pos="1320" w:leader="none"/>
        </w:tabs>
        <w:ind w:firstLine="770" w:left="0"/>
        <w:jc w:val="both"/>
        <w:rPr>
          <w:color w:val="000000"/>
          <w:lang w:val="lt-LT"/>
        </w:rPr>
      </w:pPr>
      <w:r>
        <w:rPr>
          <w:lang w:val="lt-LT"/>
        </w:rPr>
        <w:t>KDR – Registras;</w:t>
      </w:r>
    </w:p>
    <w:p>
      <w:pPr>
        <w:pStyle w:val="Normal"/>
        <w:numPr>
          <w:ilvl w:val="1"/>
          <w:numId w:val="2"/>
        </w:numPr>
        <w:tabs>
          <w:tab w:val="clear" w:pos="720"/>
          <w:tab w:val="left" w:pos="1320" w:leader="none"/>
        </w:tabs>
        <w:ind w:firstLine="770" w:left="0"/>
        <w:jc w:val="both"/>
        <w:rPr>
          <w:color w:val="000000"/>
          <w:lang w:val="lt-LT"/>
        </w:rPr>
      </w:pPr>
      <w:r>
        <w:rPr>
          <w:lang w:val="lt-LT"/>
        </w:rPr>
        <w:t>Dalinis arba pilnas sistemos ar jos komponentės sutrikimas – Triktis;</w:t>
      </w:r>
    </w:p>
    <w:p>
      <w:pPr>
        <w:pStyle w:val="Normal"/>
        <w:numPr>
          <w:ilvl w:val="1"/>
          <w:numId w:val="2"/>
        </w:numPr>
        <w:tabs>
          <w:tab w:val="clear" w:pos="720"/>
          <w:tab w:val="left" w:pos="1320" w:leader="none"/>
        </w:tabs>
        <w:ind w:firstLine="770" w:left="0"/>
        <w:jc w:val="both"/>
        <w:rPr>
          <w:color w:val="000000"/>
          <w:lang w:val="lt-LT"/>
        </w:rPr>
      </w:pPr>
      <w:r>
        <w:rPr/>
        <w:t>Valstybės duomenų agentūra – VDA;</w:t>
      </w:r>
    </w:p>
    <w:p>
      <w:pPr>
        <w:pStyle w:val="Normal"/>
        <w:numPr>
          <w:ilvl w:val="1"/>
          <w:numId w:val="2"/>
        </w:numPr>
        <w:tabs>
          <w:tab w:val="clear" w:pos="720"/>
          <w:tab w:val="left" w:pos="1320" w:leader="none"/>
        </w:tabs>
        <w:ind w:firstLine="770" w:left="0"/>
        <w:jc w:val="both"/>
        <w:rPr>
          <w:color w:val="000000"/>
          <w:lang w:val="lt-LT"/>
        </w:rPr>
      </w:pPr>
      <w:r>
        <w:rPr>
          <w:lang w:val="pt-BR"/>
        </w:rPr>
        <w:t xml:space="preserve">Valstybės duomenų valdysenos informacinė sistema – </w:t>
      </w:r>
      <w:r>
        <w:rPr/>
        <w:t>VDV IS;</w:t>
      </w:r>
    </w:p>
    <w:p>
      <w:pPr>
        <w:pStyle w:val="Normal"/>
        <w:numPr>
          <w:ilvl w:val="1"/>
          <w:numId w:val="2"/>
        </w:numPr>
        <w:tabs>
          <w:tab w:val="clear" w:pos="720"/>
          <w:tab w:val="left" w:pos="1320" w:leader="none"/>
        </w:tabs>
        <w:ind w:firstLine="770" w:left="0"/>
        <w:jc w:val="both"/>
        <w:rPr>
          <w:color w:val="000000"/>
          <w:lang w:val="lt-LT"/>
        </w:rPr>
      </w:pPr>
      <w:r>
        <w:rPr>
          <w:lang w:val="lt-LT"/>
        </w:rPr>
        <w:t>Valstybės informacinių išteklių sąveikumo platforma – VIISP;</w:t>
      </w:r>
    </w:p>
    <w:p>
      <w:pPr>
        <w:pStyle w:val="Normal"/>
        <w:numPr>
          <w:ilvl w:val="1"/>
          <w:numId w:val="2"/>
        </w:numPr>
        <w:tabs>
          <w:tab w:val="clear" w:pos="720"/>
          <w:tab w:val="left" w:pos="1320" w:leader="none"/>
        </w:tabs>
        <w:ind w:firstLine="770" w:left="0"/>
        <w:jc w:val="both"/>
        <w:rPr>
          <w:color w:val="000000"/>
          <w:lang w:val="lt-LT"/>
        </w:rPr>
      </w:pPr>
      <w:r>
        <w:rPr>
          <w:lang w:val="pt-BR"/>
        </w:rPr>
        <w:t xml:space="preserve">Elektroninės sveikatos paslaugų ir bendradarbiavimo infrastruktūros informacinė sistema – </w:t>
      </w:r>
      <w:r>
        <w:rPr>
          <w:lang w:val="lt-LT"/>
        </w:rPr>
        <w:t>ESPBI IS.</w:t>
      </w:r>
    </w:p>
    <w:p>
      <w:pPr>
        <w:pStyle w:val="Normal"/>
        <w:numPr>
          <w:ilvl w:val="0"/>
          <w:numId w:val="2"/>
        </w:numPr>
        <w:ind w:firstLine="410"/>
        <w:jc w:val="both"/>
        <w:rPr>
          <w:lang w:val="lt-LT"/>
        </w:rPr>
      </w:pPr>
      <w:r>
        <w:rPr>
          <w:lang w:val="lt-LT"/>
        </w:rPr>
        <w:t>Funkciniai ir nefunkciniai reikalavimai šiems komponentams apibrėžti:</w:t>
      </w:r>
    </w:p>
    <w:p>
      <w:pPr>
        <w:pStyle w:val="Normal"/>
        <w:numPr>
          <w:ilvl w:val="1"/>
          <w:numId w:val="2"/>
        </w:numPr>
        <w:tabs>
          <w:tab w:val="clear" w:pos="720"/>
          <w:tab w:val="left" w:pos="1320" w:leader="none"/>
        </w:tabs>
        <w:ind w:hanging="1440" w:left="2210"/>
        <w:jc w:val="both"/>
        <w:rPr>
          <w:lang w:val="lt-LT"/>
        </w:rPr>
      </w:pPr>
      <w:r>
        <w:rPr>
          <w:lang w:val="lt-LT"/>
        </w:rPr>
        <w:t>KDR projektinėje dokumentacijoje:</w:t>
      </w:r>
    </w:p>
    <w:p>
      <w:pPr>
        <w:pStyle w:val="Normal"/>
        <w:numPr>
          <w:ilvl w:val="2"/>
          <w:numId w:val="2"/>
        </w:numPr>
        <w:tabs>
          <w:tab w:val="clear" w:pos="720"/>
          <w:tab w:val="left" w:pos="1320" w:leader="none"/>
        </w:tabs>
        <w:jc w:val="both"/>
        <w:rPr>
          <w:lang w:val="lt-LT"/>
        </w:rPr>
      </w:pPr>
      <w:r>
        <w:rPr>
          <w:lang w:val="lt-LT"/>
        </w:rPr>
        <w:t>Detalizuotoje KDR reikalavimų specifikacijoje ir jos prieduose;</w:t>
      </w:r>
    </w:p>
    <w:p>
      <w:pPr>
        <w:pStyle w:val="Normal"/>
        <w:numPr>
          <w:ilvl w:val="2"/>
          <w:numId w:val="2"/>
        </w:numPr>
        <w:tabs>
          <w:tab w:val="clear" w:pos="720"/>
          <w:tab w:val="left" w:pos="1320" w:leader="none"/>
        </w:tabs>
        <w:jc w:val="both"/>
        <w:rPr>
          <w:b/>
          <w:caps/>
          <w:lang w:val="lt-LT"/>
        </w:rPr>
      </w:pPr>
      <w:r>
        <w:rPr>
          <w:lang w:val="lt-LT"/>
        </w:rPr>
        <w:t>KDR duomenų struktūrų apraše;</w:t>
      </w:r>
    </w:p>
    <w:p>
      <w:pPr>
        <w:pStyle w:val="Normal"/>
        <w:numPr>
          <w:ilvl w:val="2"/>
          <w:numId w:val="2"/>
        </w:numPr>
        <w:tabs>
          <w:tab w:val="clear" w:pos="720"/>
          <w:tab w:val="left" w:pos="1320" w:leader="none"/>
        </w:tabs>
        <w:jc w:val="both"/>
        <w:rPr>
          <w:b/>
          <w:caps/>
          <w:lang w:val="lt-LT"/>
        </w:rPr>
      </w:pPr>
      <w:r>
        <w:rPr>
          <w:lang w:val="lt-LT"/>
        </w:rPr>
        <w:t>Projektinės dokumentacijos pakeitimų lapuose;</w:t>
      </w:r>
    </w:p>
    <w:p>
      <w:pPr>
        <w:pStyle w:val="Normal"/>
        <w:numPr>
          <w:ilvl w:val="1"/>
          <w:numId w:val="2"/>
        </w:numPr>
        <w:tabs>
          <w:tab w:val="clear" w:pos="720"/>
          <w:tab w:val="left" w:pos="1320" w:leader="none"/>
        </w:tabs>
        <w:ind w:hanging="1440" w:left="2210"/>
        <w:jc w:val="both"/>
        <w:rPr>
          <w:b/>
          <w:caps/>
          <w:lang w:val="lt-LT"/>
        </w:rPr>
      </w:pPr>
      <w:r>
        <w:rPr>
          <w:lang w:val="lt-LT"/>
        </w:rPr>
        <w:t>Pakeitimų paraiškose.</w:t>
      </w:r>
    </w:p>
    <w:p>
      <w:pPr>
        <w:pStyle w:val="Normal"/>
        <w:numPr>
          <w:ilvl w:val="0"/>
          <w:numId w:val="2"/>
        </w:numPr>
        <w:tabs>
          <w:tab w:val="clear" w:pos="720"/>
          <w:tab w:val="left" w:pos="1320" w:leader="none"/>
        </w:tabs>
        <w:ind w:firstLine="410"/>
        <w:jc w:val="both"/>
        <w:rPr>
          <w:lang w:val="lt-LT"/>
        </w:rPr>
      </w:pPr>
      <w:r>
        <w:rPr>
          <w:bCs/>
          <w:lang w:val="lt-LT"/>
        </w:rPr>
        <w:t>Šiuo metu eksploatuojamos KDR PĮ aprašymas:</w:t>
      </w:r>
    </w:p>
    <w:p>
      <w:pPr>
        <w:pStyle w:val="Normal"/>
        <w:tabs>
          <w:tab w:val="clear" w:pos="720"/>
          <w:tab w:val="left" w:pos="1320" w:leader="none"/>
        </w:tabs>
        <w:ind w:left="770"/>
        <w:rPr>
          <w:lang w:val="lt-LT"/>
        </w:rPr>
      </w:pPr>
      <w:r>
        <w:rPr>
          <w:lang w:val="lt-LT"/>
        </w:rPr>
      </w:r>
    </w:p>
    <w:tbl>
      <w:tblPr>
        <w:tblW w:w="9354"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58"/>
        <w:gridCol w:w="7795"/>
      </w:tblGrid>
      <w:tr>
        <w:trPr>
          <w:tblHeader w:val="true"/>
        </w:trPr>
        <w:tc>
          <w:tcPr>
            <w:tcW w:w="1558" w:type="dxa"/>
            <w:tcBorders>
              <w:top w:val="single" w:sz="4" w:space="0" w:color="000000"/>
              <w:left w:val="single" w:sz="4" w:space="0" w:color="000000"/>
              <w:bottom w:val="single" w:sz="4" w:space="0" w:color="000000"/>
              <w:right w:val="single" w:sz="4" w:space="0" w:color="000000"/>
            </w:tcBorders>
            <w:shd w:color="auto" w:fill="9CC2E5" w:val="clear"/>
          </w:tcPr>
          <w:p>
            <w:pPr>
              <w:pStyle w:val="TableTitle"/>
              <w:spacing w:before="80" w:after="80"/>
              <w:rPr>
                <w:rFonts w:ascii="Times New Roman" w:hAnsi="Times New Roman" w:cs="Times New Roman"/>
                <w:sz w:val="24"/>
                <w:szCs w:val="24"/>
              </w:rPr>
            </w:pPr>
            <w:r>
              <w:rPr>
                <w:rFonts w:cs="Times New Roman" w:ascii="Times New Roman" w:hAnsi="Times New Roman"/>
                <w:sz w:val="24"/>
                <w:szCs w:val="24"/>
              </w:rPr>
              <w:t>Sistemos dalis</w:t>
            </w:r>
          </w:p>
        </w:tc>
        <w:tc>
          <w:tcPr>
            <w:tcW w:w="7795" w:type="dxa"/>
            <w:tcBorders>
              <w:top w:val="single" w:sz="4" w:space="0" w:color="000000"/>
              <w:left w:val="single" w:sz="4" w:space="0" w:color="000000"/>
              <w:bottom w:val="single" w:sz="4" w:space="0" w:color="000000"/>
              <w:right w:val="single" w:sz="4" w:space="0" w:color="000000"/>
            </w:tcBorders>
            <w:shd w:color="auto" w:fill="9CC2E5" w:val="clear"/>
          </w:tcPr>
          <w:p>
            <w:pPr>
              <w:pStyle w:val="TableTitle"/>
              <w:spacing w:before="80" w:after="80"/>
              <w:rPr>
                <w:rFonts w:ascii="Times New Roman" w:hAnsi="Times New Roman" w:cs="Times New Roman"/>
                <w:sz w:val="24"/>
                <w:szCs w:val="24"/>
              </w:rPr>
            </w:pPr>
            <w:r>
              <w:rPr>
                <w:rFonts w:cs="Times New Roman" w:ascii="Times New Roman" w:hAnsi="Times New Roman"/>
                <w:sz w:val="24"/>
                <w:szCs w:val="24"/>
              </w:rPr>
              <w:t>Aprašymas</w:t>
            </w:r>
          </w:p>
        </w:tc>
      </w:tr>
      <w:tr>
        <w:trPr/>
        <w:tc>
          <w:tcPr>
            <w:tcW w:w="1558"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t>Posistemė KDR_REG</w:t>
            </w:r>
          </w:p>
        </w:tc>
        <w:tc>
          <w:tcPr>
            <w:tcW w:w="779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sz w:val="24"/>
                <w:szCs w:val="24"/>
              </w:rPr>
            </w:pPr>
            <w:r>
              <w:rPr>
                <w:rFonts w:ascii="Times New Roman" w:hAnsi="Times New Roman"/>
                <w:sz w:val="24"/>
                <w:szCs w:val="24"/>
              </w:rPr>
              <w:t>Posistemė, skirta CRTĮ (HI) ir KDĮ įgaliotiems asmenims darbui su KDR. Realizuotas funkcionalumas KDR vartotojams pagal jiems suteiktas teises atlikti KDR duomenų peržiūrą, donorų registraciją, donorų atrankų ir donacijų įvedimą, ataskaitų ir tipinių statistinių suvestinių formavimą, pretendentų į apdovanojimus sąrašų formavimą ir duomenų apie donorų apdovanojimus įvedimą</w:t>
            </w:r>
            <w:r>
              <w:rPr>
                <w:rFonts w:cs="Times New Roman" w:ascii="Times New Roman" w:hAnsi="Times New Roman"/>
                <w:sz w:val="24"/>
                <w:szCs w:val="24"/>
              </w:rPr>
              <w:t>. Posistemės modulių funkcijos pasiekiamos per:</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Sistemos internetinę naudotojo sąsają</w:t>
            </w:r>
          </w:p>
          <w:p>
            <w:pPr>
              <w:pStyle w:val="TaBult1"/>
              <w:numPr>
                <w:ilvl w:val="0"/>
                <w:numId w:val="4"/>
              </w:numPr>
              <w:tabs>
                <w:tab w:val="clear" w:pos="360"/>
                <w:tab w:val="clear" w:pos="1477"/>
              </w:tabs>
              <w:spacing w:before="40" w:after="40"/>
              <w:ind w:hanging="283" w:left="425"/>
              <w:rPr>
                <w:rFonts w:ascii="Times New Roman" w:hAnsi="Times New Roman" w:cs="Times New Roman"/>
                <w:sz w:val="24"/>
                <w:szCs w:val="24"/>
              </w:rPr>
            </w:pPr>
            <w:r>
              <w:rPr>
                <w:rFonts w:cs="Times New Roman" w:ascii="Times New Roman" w:hAnsi="Times New Roman"/>
                <w:sz w:val="24"/>
                <w:szCs w:val="24"/>
              </w:rPr>
              <w:t>Tinklines paslaugas</w:t>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Donorų tvarkymo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Donorų tvarkymo modulis yra skirtas atlikti donorų paiešką, donorų informacijos peržiūrą, koregavimą, šalinimą bei naujų donorų registravimą.</w:t>
            </w:r>
          </w:p>
          <w:p>
            <w:pPr>
              <w:pStyle w:val="Table"/>
              <w:rPr>
                <w:rFonts w:ascii="Times New Roman" w:hAnsi="Times New Roman" w:cs="Times New Roman"/>
                <w:sz w:val="16"/>
                <w:szCs w:val="16"/>
              </w:rPr>
            </w:pPr>
            <w:r>
              <w:rPr>
                <w:rFonts w:cs="Times New Roman" w:ascii="Times New Roman" w:hAnsi="Times New Roman"/>
                <w:sz w:val="16"/>
                <w:szCs w:val="16"/>
              </w:rPr>
            </w:r>
          </w:p>
          <w:p>
            <w:pPr>
              <w:pStyle w:val="Table"/>
              <w:rPr>
                <w:rFonts w:ascii="Times New Roman" w:hAnsi="Times New Roman" w:cs="Times New Roman"/>
                <w:sz w:val="24"/>
                <w:szCs w:val="24"/>
              </w:rPr>
            </w:pPr>
            <w:r>
              <w:rPr>
                <w:rFonts w:cs="Times New Roman" w:ascii="Times New Roman" w:hAnsi="Times New Roman"/>
                <w:sz w:val="24"/>
                <w:szCs w:val="24"/>
              </w:rPr>
              <w:t>Modulio funkcijos: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paieška</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duomenų peržiūra</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duomenų redagavimas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registravimas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kraujo tyrimų rezultatų šalinimas</w:t>
            </w:r>
          </w:p>
          <w:p>
            <w:pPr>
              <w:pStyle w:val="TaBult1"/>
              <w:numPr>
                <w:ilvl w:val="0"/>
                <w:numId w:val="0"/>
              </w:numPr>
              <w:spacing w:before="40" w:after="40"/>
              <w:ind w:hanging="0" w:left="425"/>
              <w:rPr>
                <w:rFonts w:ascii="Times New Roman" w:hAnsi="Times New Roman" w:cs="Times New Roman"/>
                <w:sz w:val="24"/>
                <w:szCs w:val="24"/>
              </w:rPr>
            </w:pPr>
            <w:r>
              <w:rPr>
                <w:rFonts w:cs="Times New Roman" w:ascii="Times New Roman" w:hAnsi="Times New Roman"/>
                <w:sz w:val="24"/>
                <w:szCs w:val="24"/>
              </w:rPr>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Donorų atrankų ir donacijų tvarkymo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Donorų atrankų ir donacijų tvarkymo modulis yra skirtas vykdyti donorų atrankas ir tvarkyti donacijų duomenis.</w:t>
            </w:r>
          </w:p>
          <w:p>
            <w:pPr>
              <w:pStyle w:val="Table"/>
              <w:rPr>
                <w:rFonts w:ascii="Times New Roman" w:hAnsi="Times New Roman" w:cs="Times New Roman"/>
                <w:sz w:val="16"/>
                <w:szCs w:val="16"/>
              </w:rPr>
            </w:pPr>
            <w:r>
              <w:rPr>
                <w:rFonts w:cs="Times New Roman" w:ascii="Times New Roman" w:hAnsi="Times New Roman"/>
                <w:sz w:val="16"/>
                <w:szCs w:val="16"/>
              </w:rPr>
            </w:r>
          </w:p>
          <w:p>
            <w:pPr>
              <w:pStyle w:val="Table"/>
              <w:rPr>
                <w:rFonts w:ascii="Times New Roman" w:hAnsi="Times New Roman" w:cs="Times New Roman"/>
                <w:sz w:val="24"/>
                <w:szCs w:val="24"/>
              </w:rPr>
            </w:pPr>
            <w:r>
              <w:rPr>
                <w:rFonts w:cs="Times New Roman" w:ascii="Times New Roman" w:hAnsi="Times New Roman"/>
                <w:sz w:val="24"/>
                <w:szCs w:val="24"/>
              </w:rPr>
              <w:t>Modulio funkcijos: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priskyrimo atrankai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Tyrimų rezultatų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Gydytojo sprendimo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Atliktos donacijos fakto ir susijusių duomenų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Kraujo tyrimų rezultatų</w:t>
            </w:r>
          </w:p>
          <w:p>
            <w:pPr>
              <w:pStyle w:val="TaBult1"/>
              <w:numPr>
                <w:ilvl w:val="0"/>
                <w:numId w:val="0"/>
              </w:numPr>
              <w:spacing w:before="40" w:after="40"/>
              <w:ind w:hanging="0" w:left="425"/>
              <w:rPr>
                <w:rFonts w:ascii="Times New Roman" w:hAnsi="Times New Roman" w:cs="Times New Roman"/>
                <w:sz w:val="24"/>
                <w:szCs w:val="24"/>
              </w:rPr>
            </w:pPr>
            <w:r>
              <w:rPr>
                <w:rFonts w:cs="Times New Roman" w:ascii="Times New Roman" w:hAnsi="Times New Roman"/>
                <w:sz w:val="24"/>
                <w:szCs w:val="24"/>
              </w:rPr>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Mar>
              <w:right w:w="57" w:type="dxa"/>
            </w:tcM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Donorų apdovanojimų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Donorų apdovanojimų modulis skirtas formuoti pretendentų į apdovanojimus sąrašus ir duomenų apie apdovanojimus įvedimas</w:t>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Registro duomenų teikimo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yra skirtas teikti registro informaciją suinteresuotoms šalims. Modulį sudaro šios funkcijos, prieinamos šiems naudotojams:</w:t>
            </w:r>
          </w:p>
          <w:p>
            <w:pPr>
              <w:pStyle w:val="Table"/>
              <w:rPr>
                <w:rFonts w:ascii="Times New Roman" w:hAnsi="Times New Roman" w:cs="Times New Roman"/>
                <w:sz w:val="16"/>
                <w:szCs w:val="16"/>
              </w:rPr>
            </w:pPr>
            <w:r>
              <w:rPr>
                <w:rFonts w:cs="Times New Roman" w:ascii="Times New Roman" w:hAnsi="Times New Roman"/>
                <w:sz w:val="16"/>
                <w:szCs w:val="16"/>
              </w:rPr>
            </w:r>
          </w:p>
          <w:tbl>
            <w:tblPr>
              <w:tblW w:w="72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89"/>
              <w:gridCol w:w="567"/>
              <w:gridCol w:w="426"/>
              <w:gridCol w:w="426"/>
              <w:gridCol w:w="424"/>
              <w:gridCol w:w="425"/>
            </w:tblGrid>
            <w:tr>
              <w:trPr>
                <w:trHeight w:val="1873" w:hRule="atLeast"/>
                <w:cantSplit w:val="true"/>
              </w:trPr>
              <w:tc>
                <w:tcPr>
                  <w:tcW w:w="4989"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Table"/>
                    <w:spacing w:before="40" w:after="40"/>
                    <w:jc w:val="center"/>
                    <w:rPr>
                      <w:rFonts w:ascii="Times New Roman" w:hAnsi="Times New Roman" w:cs="Times New Roman"/>
                      <w:b/>
                      <w:sz w:val="24"/>
                      <w:szCs w:val="24"/>
                    </w:rPr>
                  </w:pPr>
                  <w:r>
                    <w:rPr>
                      <w:rFonts w:cs="Times New Roman" w:ascii="Times New Roman" w:hAnsi="Times New Roman"/>
                      <w:b/>
                      <w:sz w:val="24"/>
                      <w:szCs w:val="24"/>
                    </w:rPr>
                    <w:t>Funkcija</w:t>
                  </w:r>
                </w:p>
              </w:tc>
              <w:tc>
                <w:tcPr>
                  <w:tcW w:w="567" w:type="dxa"/>
                  <w:tcBorders>
                    <w:top w:val="single" w:sz="4" w:space="0" w:color="000000"/>
                    <w:left w:val="single" w:sz="4" w:space="0" w:color="000000"/>
                    <w:bottom w:val="single" w:sz="4" w:space="0" w:color="000000"/>
                    <w:right w:val="single" w:sz="4" w:space="0" w:color="000000"/>
                  </w:tcBorders>
                  <w:shd w:color="auto" w:fill="DEEAF6" w:val="clear"/>
                  <w:textDirection w:val="btLr"/>
                  <w:vAlign w:val="center"/>
                </w:tcPr>
                <w:p>
                  <w:pPr>
                    <w:pStyle w:val="Table"/>
                    <w:spacing w:before="40" w:after="40"/>
                    <w:jc w:val="center"/>
                    <w:rPr>
                      <w:rFonts w:ascii="Times New Roman" w:hAnsi="Times New Roman" w:cs="Times New Roman"/>
                      <w:b/>
                    </w:rPr>
                  </w:pPr>
                  <w:r>
                    <w:rPr>
                      <w:rFonts w:cs="Times New Roman" w:ascii="Times New Roman" w:hAnsi="Times New Roman"/>
                      <w:b/>
                    </w:rPr>
                    <w:t>KDĮ registratoriai</w:t>
                  </w:r>
                </w:p>
              </w:tc>
              <w:tc>
                <w:tcPr>
                  <w:tcW w:w="426" w:type="dxa"/>
                  <w:tcBorders>
                    <w:top w:val="single" w:sz="4" w:space="0" w:color="000000"/>
                    <w:left w:val="single" w:sz="4" w:space="0" w:color="000000"/>
                    <w:bottom w:val="single" w:sz="4" w:space="0" w:color="000000"/>
                    <w:right w:val="single" w:sz="4" w:space="0" w:color="000000"/>
                  </w:tcBorders>
                  <w:shd w:color="auto" w:fill="DEEAF6" w:val="clear"/>
                  <w:textDirection w:val="btLr"/>
                  <w:vAlign w:val="center"/>
                </w:tcPr>
                <w:p>
                  <w:pPr>
                    <w:pStyle w:val="Table"/>
                    <w:spacing w:before="40" w:after="40"/>
                    <w:jc w:val="center"/>
                    <w:rPr>
                      <w:rFonts w:ascii="Times New Roman" w:hAnsi="Times New Roman" w:cs="Times New Roman"/>
                      <w:b/>
                    </w:rPr>
                  </w:pPr>
                  <w:r>
                    <w:rPr>
                      <w:rFonts w:cs="Times New Roman" w:ascii="Times New Roman" w:hAnsi="Times New Roman"/>
                      <w:b/>
                    </w:rPr>
                    <w:t>KDĮ naudotojai</w:t>
                  </w:r>
                </w:p>
              </w:tc>
              <w:tc>
                <w:tcPr>
                  <w:tcW w:w="426" w:type="dxa"/>
                  <w:tcBorders>
                    <w:top w:val="single" w:sz="4" w:space="0" w:color="000000"/>
                    <w:left w:val="single" w:sz="4" w:space="0" w:color="000000"/>
                    <w:bottom w:val="single" w:sz="4" w:space="0" w:color="000000"/>
                    <w:right w:val="single" w:sz="4" w:space="0" w:color="000000"/>
                  </w:tcBorders>
                  <w:shd w:color="auto" w:fill="DEEAF6" w:val="clear"/>
                  <w:tcMar>
                    <w:left w:w="28" w:type="dxa"/>
                    <w:right w:w="28" w:type="dxa"/>
                  </w:tcMar>
                  <w:textDirection w:val="btLr"/>
                  <w:vAlign w:val="center"/>
                </w:tcPr>
                <w:p>
                  <w:pPr>
                    <w:pStyle w:val="Table"/>
                    <w:spacing w:before="40" w:after="40"/>
                    <w:jc w:val="center"/>
                    <w:rPr>
                      <w:rFonts w:ascii="Times New Roman" w:hAnsi="Times New Roman" w:cs="Times New Roman"/>
                      <w:b/>
                    </w:rPr>
                  </w:pPr>
                  <w:r>
                    <w:rPr>
                      <w:rFonts w:cs="Times New Roman" w:ascii="Times New Roman" w:hAnsi="Times New Roman"/>
                      <w:b/>
                    </w:rPr>
                    <w:t>CRTĮ kontrolieriai</w:t>
                  </w:r>
                </w:p>
              </w:tc>
              <w:tc>
                <w:tcPr>
                  <w:tcW w:w="424" w:type="dxa"/>
                  <w:tcBorders>
                    <w:top w:val="single" w:sz="4" w:space="0" w:color="000000"/>
                    <w:left w:val="single" w:sz="4" w:space="0" w:color="000000"/>
                    <w:bottom w:val="single" w:sz="4" w:space="0" w:color="000000"/>
                    <w:right w:val="single" w:sz="4" w:space="0" w:color="000000"/>
                  </w:tcBorders>
                  <w:shd w:color="auto" w:fill="DEEAF6" w:val="clear"/>
                  <w:textDirection w:val="btLr"/>
                  <w:vAlign w:val="center"/>
                </w:tcPr>
                <w:p>
                  <w:pPr>
                    <w:pStyle w:val="Table"/>
                    <w:spacing w:before="40" w:after="40"/>
                    <w:jc w:val="center"/>
                    <w:rPr>
                      <w:rFonts w:ascii="Times New Roman" w:hAnsi="Times New Roman" w:cs="Times New Roman"/>
                      <w:b/>
                    </w:rPr>
                  </w:pPr>
                  <w:r>
                    <w:rPr>
                      <w:rFonts w:cs="Times New Roman" w:ascii="Times New Roman" w:hAnsi="Times New Roman"/>
                      <w:b/>
                    </w:rPr>
                    <w:t>CRTĮ naudotojai</w:t>
                  </w:r>
                </w:p>
              </w:tc>
              <w:tc>
                <w:tcPr>
                  <w:tcW w:w="425" w:type="dxa"/>
                  <w:tcBorders>
                    <w:top w:val="single" w:sz="4" w:space="0" w:color="000000"/>
                    <w:left w:val="single" w:sz="4" w:space="0" w:color="000000"/>
                    <w:bottom w:val="single" w:sz="4" w:space="0" w:color="000000"/>
                    <w:right w:val="single" w:sz="4" w:space="0" w:color="000000"/>
                  </w:tcBorders>
                  <w:shd w:color="auto" w:fill="BDD6EE" w:val="clear"/>
                  <w:textDirection w:val="btLr"/>
                  <w:vAlign w:val="center"/>
                </w:tcPr>
                <w:p>
                  <w:pPr>
                    <w:pStyle w:val="Table"/>
                    <w:spacing w:before="40" w:after="40"/>
                    <w:jc w:val="center"/>
                    <w:rPr>
                      <w:rFonts w:ascii="Times New Roman" w:hAnsi="Times New Roman" w:cs="Times New Roman"/>
                      <w:b/>
                    </w:rPr>
                  </w:pPr>
                  <w:r>
                    <w:rPr>
                      <w:rFonts w:cs="Times New Roman" w:ascii="Times New Roman" w:hAnsi="Times New Roman"/>
                      <w:b/>
                    </w:rPr>
                    <w:t>Teikiama per WS</w:t>
                  </w:r>
                </w:p>
              </w:tc>
            </w:tr>
            <w:tr>
              <w:trPr/>
              <w:tc>
                <w:tcPr>
                  <w:tcW w:w="4989"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KDĮ Registro objektų paieška</w:t>
                  </w:r>
                </w:p>
              </w:tc>
              <w:tc>
                <w:tcPr>
                  <w:tcW w:w="567"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r>
                </w:p>
              </w:tc>
            </w:tr>
            <w:tr>
              <w:trPr/>
              <w:tc>
                <w:tcPr>
                  <w:tcW w:w="4989"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Registro objektų paieška</w:t>
                  </w:r>
                </w:p>
              </w:tc>
              <w:tc>
                <w:tcPr>
                  <w:tcW w:w="567"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4"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r>
                </w:p>
              </w:tc>
            </w:tr>
            <w:tr>
              <w:trPr/>
              <w:tc>
                <w:tcPr>
                  <w:tcW w:w="4989"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Donoro pagrindinių duomenų peržiūra</w:t>
                  </w:r>
                </w:p>
              </w:tc>
              <w:tc>
                <w:tcPr>
                  <w:tcW w:w="567"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4"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t>T</w:t>
                  </w:r>
                </w:p>
              </w:tc>
            </w:tr>
            <w:tr>
              <w:trPr/>
              <w:tc>
                <w:tcPr>
                  <w:tcW w:w="4989"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Donoro atrankos ir donacijos duomenų peržiūra</w:t>
                  </w:r>
                </w:p>
              </w:tc>
              <w:tc>
                <w:tcPr>
                  <w:tcW w:w="567"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4"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t>T</w:t>
                  </w:r>
                </w:p>
              </w:tc>
            </w:tr>
            <w:tr>
              <w:trPr/>
              <w:tc>
                <w:tcPr>
                  <w:tcW w:w="4989"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KDĮ donacijas atlikusių donorų asmens duomenų peržiūra</w:t>
                  </w:r>
                </w:p>
              </w:tc>
              <w:tc>
                <w:tcPr>
                  <w:tcW w:w="567"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r>
                </w:p>
              </w:tc>
            </w:tr>
            <w:tr>
              <w:trPr/>
              <w:tc>
                <w:tcPr>
                  <w:tcW w:w="4989"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Asmens duomenų peržiūra</w:t>
                  </w:r>
                </w:p>
              </w:tc>
              <w:tc>
                <w:tcPr>
                  <w:tcW w:w="567"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6"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w:t>
                  </w:r>
                </w:p>
              </w:tc>
              <w:tc>
                <w:tcPr>
                  <w:tcW w:w="424" w:type="dxa"/>
                  <w:tcBorders>
                    <w:top w:val="single" w:sz="4" w:space="0" w:color="000000"/>
                    <w:left w:val="single" w:sz="4" w:space="0" w:color="000000"/>
                    <w:bottom w:val="single" w:sz="4" w:space="0" w:color="000000"/>
                    <w:right w:val="single" w:sz="4" w:space="0" w:color="000000"/>
                  </w:tcBorders>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r>
                </w:p>
              </w:tc>
              <w:tc>
                <w:tcPr>
                  <w:tcW w:w="42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r>
                </w:p>
              </w:tc>
            </w:tr>
          </w:tbl>
          <w:p>
            <w:pPr>
              <w:pStyle w:val="Table"/>
              <w:rPr>
                <w:rFonts w:ascii="Times New Roman" w:hAnsi="Times New Roman" w:cs="Times New Roman"/>
                <w:sz w:val="24"/>
                <w:szCs w:val="24"/>
              </w:rPr>
            </w:pPr>
            <w:r>
              <w:rPr>
                <w:rFonts w:cs="Times New Roman" w:ascii="Times New Roman" w:hAnsi="Times New Roman"/>
                <w:sz w:val="24"/>
                <w:szCs w:val="24"/>
              </w:rPr>
            </w:r>
          </w:p>
          <w:p>
            <w:pPr>
              <w:pStyle w:val="Table"/>
              <w:rPr>
                <w:rFonts w:ascii="Times New Roman" w:hAnsi="Times New Roman" w:cs="Times New Roman"/>
                <w:sz w:val="24"/>
                <w:szCs w:val="24"/>
              </w:rPr>
            </w:pPr>
            <w:r>
              <w:rPr>
                <w:rFonts w:cs="Times New Roman" w:ascii="Times New Roman" w:hAnsi="Times New Roman"/>
                <w:sz w:val="24"/>
                <w:szCs w:val="24"/>
              </w:rPr>
              <w:t>Kiekvienai funkcijai realizuoti sukurti duomenų analizės komponentai, su suderintais specialiaisiais duomenų atrankos parametrais, atrinktų duomenų atvaizdavimo, eksportavimo į duomenų failus (Excel, PDF, kt.) galimybe.</w:t>
            </w:r>
          </w:p>
          <w:p>
            <w:pPr>
              <w:pStyle w:val="Table"/>
              <w:spacing w:before="40" w:after="40"/>
              <w:ind w:left="720"/>
              <w:rPr>
                <w:rFonts w:ascii="Times New Roman" w:hAnsi="Times New Roman" w:cs="Times New Roman"/>
                <w:sz w:val="24"/>
                <w:szCs w:val="24"/>
              </w:rPr>
            </w:pPr>
            <w:r>
              <w:rPr>
                <w:rFonts w:cs="Times New Roman" w:ascii="Times New Roman" w:hAnsi="Times New Roman"/>
                <w:sz w:val="24"/>
                <w:szCs w:val="24"/>
              </w:rPr>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Tinklinių paslaugų valdymo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yra skirtas valdyti žiniatinklio paslaugas (web-service), kuriomis teikiamos šios funkcijos: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paieška</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duomenų peržiūra</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duomenų redagavimas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registravimas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atrankos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priskyrimo atrankai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Tyrimų rezultatų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Gydytojo  sprendimo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Atliktos donacijos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Kraujo tyrimų rezultatų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Gydytojo sprendimo įvedimas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pagrindinių duomenų peržiūra</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Donoro atrankos ir donacijos duomenų peržiūra</w:t>
            </w:r>
          </w:p>
          <w:p>
            <w:pPr>
              <w:pStyle w:val="Table"/>
              <w:rPr>
                <w:rFonts w:ascii="Times New Roman" w:hAnsi="Times New Roman" w:cs="Times New Roman"/>
                <w:sz w:val="24"/>
                <w:szCs w:val="24"/>
              </w:rPr>
            </w:pPr>
            <w:r>
              <w:rPr>
                <w:rFonts w:cs="Times New Roman" w:ascii="Times New Roman" w:hAnsi="Times New Roman"/>
                <w:sz w:val="24"/>
                <w:szCs w:val="24"/>
              </w:rPr>
            </w:r>
          </w:p>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atsakingas už žiniatinklio paslaugų publikavimą, naudotojų identifikaciją ir autentifikaciją, paslaugų suteikimą, paslaugų monitoringą.</w:t>
            </w:r>
          </w:p>
        </w:tc>
      </w:tr>
      <w:tr>
        <w:trPr/>
        <w:tc>
          <w:tcPr>
            <w:tcW w:w="1558" w:type="dxa"/>
            <w:tcBorders>
              <w:top w:val="single" w:sz="4" w:space="0" w:color="000000"/>
              <w:left w:val="single" w:sz="4" w:space="0" w:color="000000"/>
              <w:bottom w:val="single" w:sz="4" w:space="0" w:color="000000"/>
              <w:right w:val="single" w:sz="4" w:space="0" w:color="000000"/>
            </w:tcBorders>
            <w:shd w:color="auto" w:fill="DEEAF6" w:val="clear"/>
            <w:tcMar>
              <w:left w:w="57" w:type="dxa"/>
              <w:right w:w="57" w:type="dxa"/>
            </w:tcMar>
          </w:tcPr>
          <w:p>
            <w:pPr>
              <w:pStyle w:val="Table"/>
              <w:spacing w:before="40" w:after="40"/>
              <w:rPr>
                <w:rFonts w:ascii="Times New Roman" w:hAnsi="Times New Roman" w:cs="Times New Roman"/>
                <w:sz w:val="24"/>
                <w:szCs w:val="24"/>
              </w:rPr>
            </w:pPr>
            <w:r>
              <w:rPr>
                <w:rFonts w:cs="Times New Roman" w:ascii="Times New Roman" w:hAnsi="Times New Roman"/>
                <w:b/>
                <w:sz w:val="24"/>
                <w:szCs w:val="24"/>
              </w:rPr>
              <w:t>Posistemė KDR_INTRA</w:t>
            </w:r>
          </w:p>
        </w:tc>
        <w:tc>
          <w:tcPr>
            <w:tcW w:w="779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sz w:val="24"/>
                <w:szCs w:val="24"/>
              </w:rPr>
            </w:pPr>
            <w:r>
              <w:rPr>
                <w:rFonts w:ascii="Times New Roman" w:hAnsi="Times New Roman"/>
                <w:sz w:val="24"/>
                <w:szCs w:val="24"/>
              </w:rPr>
              <w:t>Posistemė skirta KDR vartotojams administruoti, KDR klasifikatoriams tvarkyti, tipinėms statistinėms suvestinėms rengti, duomenų mainų su ESPBI IS ir VIISP auditui atlikti ir audito įrašams valdyti.</w:t>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Klasifikatorių tvarkymo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yra skirtas tvarkyti KDR klasifikatorius (kurti, redaguoti, šalinti įrašus):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KDUK</w:t>
              <w:tab/>
              <w:t>– Kraujo donorystės uždraudimo kriterijai</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KDLAK</w:t>
              <w:tab/>
              <w:t xml:space="preserve"> – Kraujo donorystės laikino atidėjimo kriterijai</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SPSSN</w:t>
              <w:tab/>
              <w:t xml:space="preserve">– Sveikatos priežiūros specialistų spaudų numerių sąrašas </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DPA</w:t>
              <w:tab/>
              <w:t>– Donacijų pavadinimai</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KDĮ</w:t>
              <w:tab/>
              <w:t>– Kraujo donorystės įstaigos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PTK</w:t>
              <w:tab/>
              <w:t>– Papildomų tyrimų sąrašas</w:t>
            </w:r>
          </w:p>
          <w:p>
            <w:pPr>
              <w:pStyle w:val="TaBult1"/>
              <w:numPr>
                <w:ilvl w:val="0"/>
                <w:numId w:val="4"/>
              </w:numPr>
              <w:tabs>
                <w:tab w:val="clear" w:pos="360"/>
                <w:tab w:val="clear" w:pos="1477"/>
              </w:tabs>
              <w:spacing w:before="40" w:after="40"/>
              <w:ind w:hanging="283" w:left="425"/>
              <w:rPr>
                <w:rFonts w:ascii="Times New Roman" w:hAnsi="Times New Roman" w:cs="Times New Roman"/>
                <w:sz w:val="24"/>
                <w:szCs w:val="24"/>
              </w:rPr>
            </w:pPr>
            <w:r>
              <w:rPr>
                <w:rFonts w:cs="Times New Roman" w:ascii="Times New Roman" w:hAnsi="Times New Roman"/>
                <w:sz w:val="24"/>
                <w:szCs w:val="24"/>
              </w:rPr>
              <w:t>Ligos</w:t>
              <w:tab/>
              <w:t>– Ligų sąrašas (TLK-10-AM)</w:t>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Duomenų mainų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yra skirtas duomenų mainams su išorinėmis sistemomis ir registrais valdyti ir vykdyti.</w:t>
            </w:r>
          </w:p>
          <w:p>
            <w:pPr>
              <w:pStyle w:val="Table"/>
              <w:rPr>
                <w:rFonts w:ascii="Times New Roman" w:hAnsi="Times New Roman" w:cs="Times New Roman"/>
                <w:sz w:val="16"/>
                <w:szCs w:val="16"/>
              </w:rPr>
            </w:pPr>
            <w:r>
              <w:rPr>
                <w:rFonts w:cs="Times New Roman" w:ascii="Times New Roman" w:hAnsi="Times New Roman"/>
                <w:sz w:val="16"/>
                <w:szCs w:val="16"/>
              </w:rPr>
            </w:r>
          </w:p>
          <w:p>
            <w:pPr>
              <w:pStyle w:val="Table"/>
              <w:rPr>
                <w:rFonts w:ascii="Times New Roman" w:hAnsi="Times New Roman" w:cs="Times New Roman"/>
                <w:sz w:val="24"/>
                <w:szCs w:val="24"/>
              </w:rPr>
            </w:pPr>
            <w:r>
              <w:rPr>
                <w:rFonts w:cs="Times New Roman" w:ascii="Times New Roman" w:hAnsi="Times New Roman"/>
                <w:sz w:val="24"/>
                <w:szCs w:val="24"/>
              </w:rPr>
              <w:t>KDR realizuoti duomenų mainai, pagal centrinės registro tvarkymo įstaigos su susijusių registrų tvarkymo įstaigomis sudarytas duomenų teikimo sutartis: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Gyventojų registras (GYVREG)</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Juridinių asmenų registras (JAR)</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Elektroninės sveikatos paslaugų ir bendradarbiavimo infrastruktūros informacinė sistema (ESPBI IS)</w:t>
            </w:r>
          </w:p>
          <w:p>
            <w:pPr>
              <w:pStyle w:val="TaBult1"/>
              <w:numPr>
                <w:ilvl w:val="0"/>
                <w:numId w:val="0"/>
              </w:numPr>
              <w:spacing w:before="40" w:after="40"/>
              <w:ind w:hanging="0" w:left="142"/>
              <w:jc w:val="both"/>
              <w:rPr>
                <w:rFonts w:ascii="Times New Roman" w:hAnsi="Times New Roman" w:cs="Times New Roman"/>
                <w:sz w:val="24"/>
                <w:szCs w:val="24"/>
              </w:rPr>
            </w:pPr>
            <w:r>
              <w:rPr>
                <w:rFonts w:cs="Times New Roman" w:ascii="Times New Roman" w:hAnsi="Times New Roman"/>
                <w:sz w:val="24"/>
                <w:szCs w:val="24"/>
              </w:rPr>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Sistemos administravimo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yra skirtas administruoti visą KDR sistemą. Funkcijos: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Vartotojų tvarkymas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Vartotojų rolių tvarkymas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Vartotojų veiksmų peržiūra</w:t>
            </w:r>
          </w:p>
          <w:p>
            <w:pPr>
              <w:pStyle w:val="TaBult1"/>
              <w:numPr>
                <w:ilvl w:val="0"/>
                <w:numId w:val="4"/>
              </w:numPr>
              <w:tabs>
                <w:tab w:val="clear" w:pos="360"/>
                <w:tab w:val="clear" w:pos="1477"/>
              </w:tabs>
              <w:spacing w:before="40" w:after="40"/>
              <w:ind w:hanging="283" w:left="425"/>
              <w:rPr>
                <w:rFonts w:ascii="Times New Roman" w:hAnsi="Times New Roman" w:cs="Times New Roman"/>
                <w:sz w:val="24"/>
                <w:szCs w:val="24"/>
              </w:rPr>
            </w:pPr>
            <w:r>
              <w:rPr>
                <w:rFonts w:cs="Times New Roman" w:ascii="Times New Roman" w:hAnsi="Times New Roman"/>
                <w:sz w:val="24"/>
                <w:szCs w:val="24"/>
              </w:rPr>
              <w:t>Sistemos administravimas</w:t>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Kitos funkcijos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ult1"/>
              <w:numPr>
                <w:ilvl w:val="0"/>
                <w:numId w:val="4"/>
              </w:numPr>
              <w:tabs>
                <w:tab w:val="clear" w:pos="360"/>
                <w:tab w:val="clear" w:pos="1477"/>
              </w:tabs>
              <w:spacing w:before="40" w:after="40"/>
              <w:ind w:hanging="283" w:left="425"/>
              <w:rPr>
                <w:rFonts w:ascii="Times New Roman" w:hAnsi="Times New Roman" w:cs="Times New Roman"/>
                <w:sz w:val="24"/>
                <w:szCs w:val="24"/>
              </w:rPr>
            </w:pPr>
            <w:r>
              <w:rPr>
                <w:rFonts w:cs="Times New Roman" w:ascii="Times New Roman" w:hAnsi="Times New Roman"/>
                <w:sz w:val="24"/>
                <w:szCs w:val="24"/>
              </w:rPr>
              <w:t>Automatinis donorų patikrinimas dėl mirties datos ir archyvavimas –sistema automatiškai pašalina mirusius donorus iš aktualaus registro, perkeliant (paslepiant) jų duomenis archyve.</w:t>
            </w:r>
          </w:p>
        </w:tc>
      </w:tr>
      <w:tr>
        <w:trPr/>
        <w:tc>
          <w:tcPr>
            <w:tcW w:w="1558"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t>Bendri moduliai</w:t>
            </w:r>
          </w:p>
        </w:tc>
        <w:tc>
          <w:tcPr>
            <w:tcW w:w="7795"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40" w:after="40"/>
              <w:rPr>
                <w:rFonts w:ascii="Times New Roman" w:hAnsi="Times New Roman" w:cs="Times New Roman"/>
                <w:b/>
                <w:sz w:val="24"/>
                <w:szCs w:val="24"/>
              </w:rPr>
            </w:pPr>
            <w:r>
              <w:rPr>
                <w:rFonts w:cs="Times New Roman" w:ascii="Times New Roman" w:hAnsi="Times New Roman"/>
                <w:b/>
                <w:sz w:val="24"/>
                <w:szCs w:val="24"/>
              </w:rPr>
            </w:r>
          </w:p>
        </w:tc>
      </w:tr>
      <w:tr>
        <w:trPr/>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Duomenų analizės modulis</w:t>
            </w:r>
          </w:p>
        </w:tc>
        <w:tc>
          <w:tcPr>
            <w:tcW w:w="7795"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40" w:after="40"/>
              <w:rPr>
                <w:rFonts w:ascii="Times New Roman" w:hAnsi="Times New Roman" w:cs="Times New Roman"/>
                <w:sz w:val="24"/>
                <w:szCs w:val="24"/>
              </w:rPr>
            </w:pPr>
            <w:r>
              <w:rPr>
                <w:rFonts w:cs="Times New Roman" w:ascii="Times New Roman" w:hAnsi="Times New Roman"/>
                <w:sz w:val="24"/>
                <w:szCs w:val="24"/>
              </w:rPr>
              <w:t>Šis modulis yra skirtas naudoti KDR sukurtas suvestines ataskaitas tiek CRTĮ, tiek KDĮ naudotojams, todėl jis yra pasiekiamas su nustatytais apribojimais tiek KDR_INTRA, tiek KDR_REG posistemėse.</w:t>
            </w:r>
          </w:p>
          <w:p>
            <w:pPr>
              <w:pStyle w:val="Table"/>
              <w:rPr>
                <w:rFonts w:ascii="Times New Roman" w:hAnsi="Times New Roman" w:cs="Times New Roman"/>
                <w:sz w:val="16"/>
                <w:szCs w:val="16"/>
              </w:rPr>
            </w:pPr>
            <w:r>
              <w:rPr>
                <w:rFonts w:cs="Times New Roman" w:ascii="Times New Roman" w:hAnsi="Times New Roman"/>
                <w:sz w:val="16"/>
                <w:szCs w:val="16"/>
              </w:rPr>
            </w:r>
          </w:p>
          <w:p>
            <w:pPr>
              <w:pStyle w:val="Table"/>
              <w:rPr>
                <w:rFonts w:ascii="Times New Roman" w:hAnsi="Times New Roman" w:cs="Times New Roman"/>
                <w:sz w:val="24"/>
                <w:szCs w:val="24"/>
              </w:rPr>
            </w:pPr>
            <w:r>
              <w:rPr>
                <w:rFonts w:cs="Times New Roman" w:ascii="Times New Roman" w:hAnsi="Times New Roman"/>
                <w:sz w:val="24"/>
                <w:szCs w:val="24"/>
              </w:rPr>
              <w:t>Sistemoje yra realizuotos šios ataskaitos: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KDR objektų ataskaitos</w:t>
            </w:r>
          </w:p>
          <w:p>
            <w:pPr>
              <w:pStyle w:val="TaBult1"/>
              <w:numPr>
                <w:ilvl w:val="0"/>
                <w:numId w:val="4"/>
              </w:numPr>
              <w:tabs>
                <w:tab w:val="clear" w:pos="360"/>
                <w:tab w:val="clear" w:pos="1477"/>
              </w:tabs>
              <w:ind w:hanging="283" w:left="425"/>
              <w:rPr>
                <w:rFonts w:ascii="Times New Roman" w:hAnsi="Times New Roman" w:cs="Times New Roman"/>
                <w:sz w:val="24"/>
                <w:szCs w:val="24"/>
              </w:rPr>
            </w:pPr>
            <w:r>
              <w:rPr>
                <w:rFonts w:cs="Times New Roman" w:ascii="Times New Roman" w:hAnsi="Times New Roman"/>
                <w:sz w:val="24"/>
                <w:szCs w:val="24"/>
              </w:rPr>
              <w:t>Statistinės suvestinės</w:t>
            </w:r>
          </w:p>
          <w:p>
            <w:pPr>
              <w:pStyle w:val="TaBult1"/>
              <w:numPr>
                <w:ilvl w:val="0"/>
                <w:numId w:val="0"/>
              </w:numPr>
              <w:spacing w:before="40" w:after="40"/>
              <w:ind w:hanging="0" w:left="425"/>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1320" w:leader="none"/>
        </w:tabs>
        <w:ind w:left="770"/>
        <w:rPr>
          <w:lang w:val="lt-LT"/>
        </w:rPr>
      </w:pPr>
      <w:r>
        <w:rPr>
          <w:lang w:val="lt-LT"/>
        </w:rPr>
      </w:r>
    </w:p>
    <w:p>
      <w:pPr>
        <w:pStyle w:val="Normal"/>
        <w:numPr>
          <w:ilvl w:val="0"/>
          <w:numId w:val="2"/>
        </w:numPr>
        <w:tabs>
          <w:tab w:val="clear" w:pos="720"/>
          <w:tab w:val="left" w:pos="1320" w:leader="none"/>
        </w:tabs>
        <w:ind w:firstLine="410"/>
        <w:jc w:val="both"/>
        <w:rPr>
          <w:lang w:val="lt-LT"/>
        </w:rPr>
      </w:pPr>
      <w:r>
        <w:rPr>
          <w:bCs/>
          <w:lang w:val="lt-LT"/>
        </w:rPr>
        <w:t>KDR funkcinė modulių schema bei sąveika su kitomis informacinėmis sistemomis:</w:t>
      </w:r>
    </w:p>
    <w:p>
      <w:pPr>
        <w:pStyle w:val="Normal"/>
        <w:tabs>
          <w:tab w:val="clear" w:pos="720"/>
          <w:tab w:val="left" w:pos="1320" w:leader="none"/>
        </w:tabs>
        <w:rPr>
          <w:lang w:val="lt-LT"/>
        </w:rPr>
      </w:pPr>
      <w:r>
        <w:rPr>
          <w:lang w:val="lt-LT"/>
        </w:rPr>
      </w:r>
    </w:p>
    <w:p>
      <w:pPr>
        <w:pStyle w:val="Normal"/>
        <w:tabs>
          <w:tab w:val="clear" w:pos="720"/>
          <w:tab w:val="left" w:pos="1320" w:leader="none"/>
        </w:tabs>
        <w:rPr>
          <w:lang w:val="lt-LT"/>
        </w:rPr>
      </w:pPr>
      <w:r>
        <w:rPr>
          <w:lang w:val="lt-LT"/>
        </w:rPr>
        <w:drawing>
          <wp:anchor behindDoc="0" distT="0" distB="0" distL="114300" distR="114300" simplePos="0" locked="0" layoutInCell="0" allowOverlap="1" relativeHeight="2">
            <wp:simplePos x="0" y="0"/>
            <wp:positionH relativeFrom="column">
              <wp:posOffset>2540</wp:posOffset>
            </wp:positionH>
            <wp:positionV relativeFrom="paragraph">
              <wp:posOffset>635</wp:posOffset>
            </wp:positionV>
            <wp:extent cx="6332220" cy="3534410"/>
            <wp:effectExtent l="0" t="0" r="0" b="0"/>
            <wp:wrapTopAndBottom/>
            <wp:docPr id="1" name="Picture 1" descr="A close-up of a 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iagram&#10;&#10;Description automatically generated with low confidence"/>
                    <pic:cNvPicPr>
                      <a:picLocks noChangeAspect="1" noChangeArrowheads="1"/>
                    </pic:cNvPicPr>
                  </pic:nvPicPr>
                  <pic:blipFill>
                    <a:blip r:embed="rId2"/>
                    <a:stretch>
                      <a:fillRect/>
                    </a:stretch>
                  </pic:blipFill>
                  <pic:spPr bwMode="auto">
                    <a:xfrm>
                      <a:off x="0" y="0"/>
                      <a:ext cx="6332220" cy="3534410"/>
                    </a:xfrm>
                    <a:prstGeom prst="rect">
                      <a:avLst/>
                    </a:prstGeom>
                  </pic:spPr>
                </pic:pic>
              </a:graphicData>
            </a:graphic>
          </wp:anchor>
        </w:drawing>
      </w:r>
    </w:p>
    <w:p>
      <w:pPr>
        <w:pStyle w:val="Normal"/>
        <w:tabs>
          <w:tab w:val="clear" w:pos="720"/>
          <w:tab w:val="left" w:pos="1320" w:leader="none"/>
        </w:tabs>
        <w:ind w:left="770"/>
        <w:rPr>
          <w:lang w:val="lt-LT"/>
        </w:rPr>
      </w:pPr>
      <w:r>
        <w:rPr>
          <w:lang w:val="lt-LT"/>
        </w:rPr>
      </w:r>
    </w:p>
    <w:p>
      <w:pPr>
        <w:pStyle w:val="Normal"/>
        <w:numPr>
          <w:ilvl w:val="0"/>
          <w:numId w:val="2"/>
        </w:numPr>
        <w:tabs>
          <w:tab w:val="clear" w:pos="720"/>
          <w:tab w:val="left" w:pos="1320" w:leader="none"/>
        </w:tabs>
        <w:ind w:firstLine="410"/>
        <w:jc w:val="both"/>
        <w:rPr>
          <w:rFonts w:ascii="Times" w:hAnsi="Times" w:cs="Times"/>
          <w:lang w:val="lt-LT"/>
        </w:rPr>
      </w:pPr>
      <w:r>
        <w:rPr>
          <w:lang w:val="lt-LT"/>
        </w:rPr>
        <w:t>Paslaugų teikimo vieta – Studentų g. 45A, 08107 Vilnius.</w:t>
      </w:r>
      <w:r>
        <w:rPr>
          <w:rFonts w:cs="Times" w:ascii="Times" w:hAnsi="Times"/>
          <w:lang w:val="lt-LT"/>
        </w:rPr>
        <w:t xml:space="preserve"> </w:t>
      </w:r>
    </w:p>
    <w:p>
      <w:pPr>
        <w:pStyle w:val="Normal"/>
        <w:numPr>
          <w:ilvl w:val="0"/>
          <w:numId w:val="2"/>
        </w:numPr>
        <w:tabs>
          <w:tab w:val="clear" w:pos="720"/>
          <w:tab w:val="left" w:pos="0" w:leader="none"/>
          <w:tab w:val="left" w:pos="1320" w:leader="none"/>
        </w:tabs>
        <w:ind w:firstLine="770" w:left="0"/>
        <w:jc w:val="both"/>
        <w:rPr>
          <w:b/>
          <w:caps/>
          <w:lang w:val="lt-LT"/>
        </w:rPr>
      </w:pPr>
      <w:r>
        <w:rPr>
          <w:lang w:val="lt-LT"/>
        </w:rPr>
        <w:t>Perkančioji organizacija ir Paslaugų teikėjas privalės pasirašyti konfidencialumo susitarimą dėl informacijos apie prižiūrimos sistemos konfigūraciją, autentifikacijos būdus bei turinio neviešinimo.</w:t>
      </w:r>
    </w:p>
    <w:p>
      <w:pPr>
        <w:pStyle w:val="Normal"/>
        <w:rPr>
          <w:b/>
          <w:caps/>
          <w:lang w:val="lt-LT"/>
        </w:rPr>
      </w:pPr>
      <w:r>
        <w:rPr>
          <w:b/>
          <w:caps/>
          <w:lang w:val="lt-LT"/>
        </w:rPr>
      </w:r>
    </w:p>
    <w:p>
      <w:pPr>
        <w:pStyle w:val="Normal"/>
        <w:jc w:val="center"/>
        <w:rPr>
          <w:b/>
          <w:caps/>
          <w:lang w:val="lt-LT"/>
        </w:rPr>
      </w:pPr>
      <w:r>
        <w:rPr>
          <w:b/>
          <w:caps/>
          <w:lang w:val="lt-LT"/>
        </w:rPr>
        <w:t xml:space="preserve">II. PASLAUGŲ APIMTYS </w:t>
      </w:r>
    </w:p>
    <w:p>
      <w:pPr>
        <w:pStyle w:val="Normal"/>
        <w:rPr>
          <w:b/>
          <w:caps/>
          <w:lang w:val="lt-LT"/>
        </w:rPr>
      </w:pPr>
      <w:r>
        <w:rPr>
          <w:b/>
          <w:caps/>
          <w:lang w:val="lt-LT"/>
        </w:rPr>
      </w:r>
    </w:p>
    <w:p>
      <w:pPr>
        <w:pStyle w:val="Normal"/>
        <w:numPr>
          <w:ilvl w:val="0"/>
          <w:numId w:val="2"/>
        </w:numPr>
        <w:ind w:firstLine="410"/>
        <w:jc w:val="both"/>
        <w:rPr>
          <w:lang w:val="lt-LT"/>
        </w:rPr>
      </w:pPr>
      <w:r>
        <w:rPr>
          <w:caps/>
          <w:lang w:val="lt-LT"/>
        </w:rPr>
        <w:t xml:space="preserve">KDR </w:t>
      </w:r>
      <w:r>
        <w:rPr>
          <w:lang w:val="lt-LT"/>
        </w:rPr>
        <w:t>palaikymo paslauga apima:</w:t>
      </w:r>
    </w:p>
    <w:p>
      <w:pPr>
        <w:pStyle w:val="Normal"/>
        <w:numPr>
          <w:ilvl w:val="1"/>
          <w:numId w:val="2"/>
        </w:numPr>
        <w:tabs>
          <w:tab w:val="clear" w:pos="720"/>
          <w:tab w:val="left" w:pos="1320" w:leader="none"/>
          <w:tab w:val="left" w:pos="2530" w:leader="none"/>
        </w:tabs>
        <w:ind w:firstLine="770" w:left="0"/>
        <w:jc w:val="both"/>
        <w:rPr>
          <w:lang w:val="lt-LT"/>
        </w:rPr>
      </w:pPr>
      <w:r>
        <w:rPr>
          <w:lang w:val="lt-LT"/>
        </w:rPr>
        <w:t>KDR taikomosios programinės įrangos klaidų taisymas (programa pateikia neteisingus rezultatus ir pan.) ir eksploatacijos metu paaiškėjusių programinės įrangos neatitikimų projektinei dokumentacijai šalinimas;</w:t>
      </w:r>
    </w:p>
    <w:p>
      <w:pPr>
        <w:pStyle w:val="Normal"/>
        <w:numPr>
          <w:ilvl w:val="1"/>
          <w:numId w:val="2"/>
        </w:numPr>
        <w:tabs>
          <w:tab w:val="clear" w:pos="720"/>
          <w:tab w:val="left" w:pos="1320" w:leader="none"/>
          <w:tab w:val="left" w:pos="2530" w:leader="none"/>
        </w:tabs>
        <w:ind w:firstLine="770" w:left="0"/>
        <w:jc w:val="both"/>
        <w:rPr>
          <w:lang w:val="lt-LT"/>
        </w:rPr>
      </w:pPr>
      <w:r>
        <w:rPr>
          <w:lang w:val="lt-LT"/>
        </w:rPr>
        <w:t xml:space="preserve">Registro darbingumo atstatymą, įvykus KDR programinės įrangos komponentų (įskaitant duomenų bazę) funkcionavimo sutrikimams. </w:t>
      </w:r>
    </w:p>
    <w:p>
      <w:pPr>
        <w:pStyle w:val="ListParagraph"/>
        <w:numPr>
          <w:ilvl w:val="0"/>
          <w:numId w:val="2"/>
        </w:numPr>
        <w:ind w:firstLine="720" w:left="0"/>
        <w:jc w:val="both"/>
        <w:rPr>
          <w:lang w:val="lt-LT"/>
        </w:rPr>
      </w:pPr>
      <w:r>
        <w:rPr>
          <w:lang w:val="lt-LT"/>
        </w:rPr>
        <w:t xml:space="preserve">Perkančioji organizacija numato tokią maksimalią paslaugos apimtį: 2025 m. ne daugiau nei 66 valandos, 2026 m. ne daugiau nei 66 valandos ir 2027 m. ne daugiau nei 66 valandos. </w:t>
      </w:r>
    </w:p>
    <w:p>
      <w:pPr>
        <w:pStyle w:val="Normal"/>
        <w:numPr>
          <w:ilvl w:val="0"/>
          <w:numId w:val="2"/>
        </w:numPr>
        <w:ind w:firstLine="771" w:left="0"/>
        <w:jc w:val="both"/>
        <w:rPr>
          <w:lang w:val="lt-LT"/>
        </w:rPr>
      </w:pPr>
      <w:r>
        <w:rPr>
          <w:lang w:val="lt-LT"/>
        </w:rPr>
        <w:t xml:space="preserve"> </w:t>
      </w:r>
      <w:r>
        <w:rPr>
          <w:lang w:val="lt-LT"/>
        </w:rPr>
        <w:t>Perkančioji organizacija neįsipareigoja 100 procentų išnaudoti visų numatytų valandų.</w:t>
      </w:r>
    </w:p>
    <w:p>
      <w:pPr>
        <w:pStyle w:val="Normal"/>
        <w:numPr>
          <w:ilvl w:val="0"/>
          <w:numId w:val="2"/>
        </w:numPr>
        <w:ind w:firstLine="771" w:left="0"/>
        <w:jc w:val="both"/>
        <w:rPr>
          <w:lang w:val="lt-LT"/>
        </w:rPr>
      </w:pPr>
      <w:r>
        <w:rPr>
          <w:lang w:val="lt-LT"/>
        </w:rPr>
        <w:t xml:space="preserve">Vykdydamas </w:t>
      </w:r>
      <w:r>
        <w:rPr>
          <w:bCs/>
          <w:lang w:val="lt-LT"/>
        </w:rPr>
        <w:t>KDR PĮ palaikymo darbus Paslaugų teikėjas turi</w:t>
      </w:r>
      <w:r>
        <w:rPr>
          <w:lang w:val="lt-LT"/>
        </w:rPr>
        <w:t xml:space="preserve"> palaikyti aktualiame stovyje Perkančiosios organizacijos pateiktoje kompiuterinėje techninėje įrangoje sistemų testavimo bei etaloninę aplinkas.</w:t>
      </w:r>
    </w:p>
    <w:p>
      <w:pPr>
        <w:pStyle w:val="Normal"/>
        <w:rPr>
          <w:lang w:val="lt-LT"/>
        </w:rPr>
      </w:pPr>
      <w:r>
        <w:rPr>
          <w:lang w:val="lt-LT"/>
        </w:rPr>
      </w:r>
    </w:p>
    <w:p>
      <w:pPr>
        <w:pStyle w:val="Normal"/>
        <w:ind w:firstLine="720"/>
        <w:jc w:val="center"/>
        <w:rPr>
          <w:b/>
          <w:lang w:val="lt-LT"/>
        </w:rPr>
      </w:pPr>
      <w:r>
        <w:rPr>
          <w:b/>
          <w:lang w:val="lt-LT"/>
        </w:rPr>
        <w:t>III. PASLAUGŲ TEIKIMO LAIKAS IR KALBA</w:t>
      </w:r>
    </w:p>
    <w:p>
      <w:pPr>
        <w:pStyle w:val="Normal"/>
        <w:rPr>
          <w:lang w:val="lt-LT"/>
        </w:rPr>
      </w:pPr>
      <w:r>
        <w:rPr>
          <w:lang w:val="lt-LT"/>
        </w:rPr>
      </w:r>
    </w:p>
    <w:p>
      <w:pPr>
        <w:pStyle w:val="Normal"/>
        <w:numPr>
          <w:ilvl w:val="0"/>
          <w:numId w:val="2"/>
        </w:numPr>
        <w:tabs>
          <w:tab w:val="clear" w:pos="720"/>
          <w:tab w:val="left" w:pos="550" w:leader="none"/>
        </w:tabs>
        <w:ind w:firstLine="771" w:left="0"/>
        <w:jc w:val="both"/>
        <w:rPr>
          <w:lang w:val="lt-LT"/>
        </w:rPr>
      </w:pPr>
      <w:r>
        <w:rPr>
          <w:lang w:val="lt-LT"/>
        </w:rPr>
        <w:t>Sutartis galioja iki 2027 m. gruodžio 31 d. Paslaugos turi būti suteiktos iki 2027 m. lapkričio 30 d.</w:t>
      </w:r>
    </w:p>
    <w:p>
      <w:pPr>
        <w:pStyle w:val="Normal"/>
        <w:numPr>
          <w:ilvl w:val="0"/>
          <w:numId w:val="2"/>
        </w:numPr>
        <w:tabs>
          <w:tab w:val="clear" w:pos="720"/>
          <w:tab w:val="left" w:pos="550" w:leader="none"/>
        </w:tabs>
        <w:ind w:firstLine="771" w:left="0"/>
        <w:jc w:val="both"/>
        <w:rPr>
          <w:lang w:val="lt-LT"/>
        </w:rPr>
      </w:pPr>
      <w:r>
        <w:rPr>
          <w:lang w:val="lt-LT"/>
        </w:rPr>
        <w:t>Paslauga teikiama Perkančiosios organizacijos darbo laiku:</w:t>
      </w:r>
    </w:p>
    <w:p>
      <w:pPr>
        <w:pStyle w:val="Normal"/>
        <w:numPr>
          <w:ilvl w:val="1"/>
          <w:numId w:val="2"/>
        </w:numPr>
        <w:tabs>
          <w:tab w:val="clear" w:pos="720"/>
          <w:tab w:val="left" w:pos="1440" w:leader="none"/>
        </w:tabs>
        <w:ind w:hanging="1490" w:left="2210"/>
        <w:jc w:val="both"/>
        <w:rPr>
          <w:lang w:val="lt-LT"/>
        </w:rPr>
      </w:pPr>
      <w:r>
        <w:rPr>
          <w:lang w:val="lt-LT"/>
        </w:rPr>
        <w:t>pirmadieniais-ketvirtadieniais nuo 8.00 val. iki 16.45 val.;</w:t>
      </w:r>
    </w:p>
    <w:p>
      <w:pPr>
        <w:pStyle w:val="Normal"/>
        <w:numPr>
          <w:ilvl w:val="1"/>
          <w:numId w:val="2"/>
        </w:numPr>
        <w:tabs>
          <w:tab w:val="clear" w:pos="720"/>
          <w:tab w:val="left" w:pos="1440" w:leader="none"/>
        </w:tabs>
        <w:ind w:hanging="1490" w:left="2210"/>
        <w:jc w:val="both"/>
        <w:rPr>
          <w:lang w:val="lt-LT"/>
        </w:rPr>
      </w:pPr>
      <w:r>
        <w:rPr>
          <w:lang w:val="lt-LT"/>
        </w:rPr>
        <w:t>penktadieniais nuo 8.00 val. iki 15.30 val.</w:t>
      </w:r>
    </w:p>
    <w:p>
      <w:pPr>
        <w:pStyle w:val="Normal"/>
        <w:numPr>
          <w:ilvl w:val="0"/>
          <w:numId w:val="2"/>
        </w:numPr>
        <w:tabs>
          <w:tab w:val="clear" w:pos="720"/>
          <w:tab w:val="left" w:pos="550" w:leader="none"/>
        </w:tabs>
        <w:ind w:firstLine="771" w:left="0"/>
        <w:jc w:val="both"/>
        <w:rPr>
          <w:lang w:val="lt-LT"/>
        </w:rPr>
      </w:pPr>
      <w:r>
        <w:rPr>
          <w:lang w:val="lt-LT"/>
        </w:rPr>
        <w:t>Paslaugos teikiamos ir visas bendravimas vyksta lietuvių kalba.</w:t>
      </w:r>
    </w:p>
    <w:p>
      <w:pPr>
        <w:pStyle w:val="Normal"/>
        <w:rPr>
          <w:lang w:val="lt-LT"/>
        </w:rPr>
      </w:pPr>
      <w:r>
        <w:rPr>
          <w:lang w:val="lt-LT"/>
        </w:rPr>
      </w:r>
    </w:p>
    <w:p>
      <w:pPr>
        <w:pStyle w:val="Normal"/>
        <w:jc w:val="center"/>
        <w:rPr>
          <w:b/>
          <w:lang w:val="lt-LT"/>
        </w:rPr>
      </w:pPr>
      <w:r>
        <w:rPr>
          <w:b/>
          <w:lang w:val="lt-LT"/>
        </w:rPr>
        <w:t>IV. PASLAUGŲ TEIKIMO TVARKA</w:t>
      </w:r>
    </w:p>
    <w:p>
      <w:pPr>
        <w:pStyle w:val="Normal"/>
        <w:rPr>
          <w:lang w:val="lt-LT"/>
        </w:rPr>
      </w:pPr>
      <w:r>
        <w:rPr>
          <w:lang w:val="lt-LT"/>
        </w:rPr>
      </w:r>
    </w:p>
    <w:p>
      <w:pPr>
        <w:pStyle w:val="Normal"/>
        <w:numPr>
          <w:ilvl w:val="0"/>
          <w:numId w:val="2"/>
        </w:numPr>
        <w:tabs>
          <w:tab w:val="clear" w:pos="720"/>
          <w:tab w:val="left" w:pos="770" w:leader="none"/>
        </w:tabs>
        <w:ind w:firstLine="770" w:left="0"/>
        <w:jc w:val="both"/>
        <w:rPr>
          <w:lang w:val="lt-LT"/>
        </w:rPr>
      </w:pPr>
      <w:r>
        <w:rPr>
          <w:lang w:val="lt-LT"/>
        </w:rPr>
        <w:t>Paslauga turi būti pradėta teikti per 1 darbo dieną nuo Paslaugų teikimo sutarties pasirašymo dienos.</w:t>
      </w:r>
    </w:p>
    <w:p>
      <w:pPr>
        <w:pStyle w:val="Normal"/>
        <w:numPr>
          <w:ilvl w:val="0"/>
          <w:numId w:val="2"/>
        </w:numPr>
        <w:tabs>
          <w:tab w:val="clear" w:pos="720"/>
          <w:tab w:val="left" w:pos="770" w:leader="none"/>
        </w:tabs>
        <w:ind w:firstLine="770" w:left="0"/>
        <w:jc w:val="both"/>
        <w:rPr>
          <w:lang w:val="lt-LT"/>
        </w:rPr>
      </w:pPr>
      <w:r>
        <w:rPr>
          <w:lang w:val="lt-LT"/>
        </w:rPr>
        <w:t>Per 7 dienas nuo paslaugų sutarties pasirašymo dienos turi būti parengta ir suderinta su Perkančiąja organizacija Paslaugos teikimo tvarka (angliškai – SLA „Service level agreement“).</w:t>
      </w:r>
    </w:p>
    <w:p>
      <w:pPr>
        <w:pStyle w:val="Normal"/>
        <w:numPr>
          <w:ilvl w:val="0"/>
          <w:numId w:val="2"/>
        </w:numPr>
        <w:tabs>
          <w:tab w:val="clear" w:pos="720"/>
          <w:tab w:val="left" w:pos="770" w:leader="none"/>
        </w:tabs>
        <w:ind w:firstLine="770" w:left="0"/>
        <w:jc w:val="both"/>
        <w:rPr>
          <w:lang w:val="lt-LT"/>
        </w:rPr>
      </w:pPr>
      <w:r>
        <w:rPr>
          <w:lang w:val="lt-LT"/>
        </w:rPr>
        <w:t>Paslaugos teikimo metu Paslaugų teikėjas turi užtikrinti:</w:t>
      </w:r>
    </w:p>
    <w:p>
      <w:pPr>
        <w:pStyle w:val="Normal"/>
        <w:numPr>
          <w:ilvl w:val="1"/>
          <w:numId w:val="2"/>
        </w:numPr>
        <w:tabs>
          <w:tab w:val="clear" w:pos="720"/>
          <w:tab w:val="left" w:pos="1320" w:leader="none"/>
          <w:tab w:val="left" w:pos="2420" w:leader="none"/>
        </w:tabs>
        <w:ind w:firstLine="770" w:left="0"/>
        <w:jc w:val="both"/>
        <w:rPr>
          <w:lang w:val="lt-LT"/>
        </w:rPr>
      </w:pPr>
      <w:r>
        <w:rPr>
          <w:lang w:val="lt-LT"/>
        </w:rPr>
        <w:t>centralizuotą kontaktą kreipiantis telefonu, el. paštu dėl Paslaugos ar jos dalies teikimo;</w:t>
      </w:r>
    </w:p>
    <w:p>
      <w:pPr>
        <w:pStyle w:val="Normal"/>
        <w:numPr>
          <w:ilvl w:val="1"/>
          <w:numId w:val="2"/>
        </w:numPr>
        <w:tabs>
          <w:tab w:val="clear" w:pos="720"/>
          <w:tab w:val="left" w:pos="1320" w:leader="none"/>
          <w:tab w:val="left" w:pos="2420" w:leader="none"/>
        </w:tabs>
        <w:ind w:firstLine="770" w:left="0"/>
        <w:jc w:val="both"/>
        <w:rPr>
          <w:lang w:val="lt-LT"/>
        </w:rPr>
      </w:pPr>
      <w:r>
        <w:rPr>
          <w:lang w:val="lt-LT"/>
        </w:rPr>
        <w:t>Perkančiosios organizacijos kreipinių registravimą, klasifikavimą, informacijos apie incidentų būklę, sprendimo įgyvendinimo eigą teikimą.</w:t>
      </w:r>
    </w:p>
    <w:p>
      <w:pPr>
        <w:pStyle w:val="Normal"/>
        <w:numPr>
          <w:ilvl w:val="0"/>
          <w:numId w:val="2"/>
        </w:numPr>
        <w:tabs>
          <w:tab w:val="clear" w:pos="720"/>
          <w:tab w:val="left" w:pos="1320" w:leader="none"/>
        </w:tabs>
        <w:ind w:firstLine="770" w:left="0"/>
        <w:jc w:val="both"/>
        <w:rPr>
          <w:lang w:val="lt-LT"/>
        </w:rPr>
      </w:pPr>
      <w:r>
        <w:rPr>
          <w:lang w:val="lt-LT"/>
        </w:rPr>
        <w:t>Paslaugos teikimo metu sutrikimai, klaidos turi būti klasifikuojami į:</w:t>
      </w:r>
    </w:p>
    <w:p>
      <w:pPr>
        <w:pStyle w:val="Normalnumbered2"/>
        <w:numPr>
          <w:ilvl w:val="1"/>
          <w:numId w:val="2"/>
        </w:numPr>
        <w:tabs>
          <w:tab w:val="clear" w:pos="720"/>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kritinius – kai nustatyta triktis ir/ar problema, dėl kurios vartotojas negali vykdyti numatytų būtinų funkcijų ir nežinomas joks kitas alternatyvus šios funkcijos vykdymas;</w:t>
      </w:r>
    </w:p>
    <w:p>
      <w:pPr>
        <w:pStyle w:val="Normalnumbered2"/>
        <w:numPr>
          <w:ilvl w:val="1"/>
          <w:numId w:val="2"/>
        </w:numPr>
        <w:tabs>
          <w:tab w:val="clear" w:pos="720"/>
        </w:tabs>
        <w:spacing w:before="0" w:after="0"/>
        <w:ind w:firstLine="770" w:left="0"/>
        <w:rPr>
          <w:rFonts w:ascii="Times New Roman" w:hAnsi="Times New Roman" w:cs="Times New Roman"/>
          <w:sz w:val="24"/>
          <w:szCs w:val="24"/>
        </w:rPr>
      </w:pPr>
      <w:r>
        <w:rPr>
          <w:rFonts w:cs="Times New Roman" w:ascii="Times New Roman" w:hAnsi="Times New Roman"/>
          <w:sz w:val="24"/>
          <w:szCs w:val="24"/>
        </w:rPr>
        <w:t>didelius – kai nustatyta triktis ir/ar problema, kuri kliudo vykdyti būtinas funkcijas, tačiau yra žinomas alternatyvus funkcijos vykdymas;</w:t>
      </w:r>
    </w:p>
    <w:p>
      <w:pPr>
        <w:pStyle w:val="Normalnumbered2"/>
        <w:numPr>
          <w:ilvl w:val="1"/>
          <w:numId w:val="2"/>
        </w:numPr>
        <w:tabs>
          <w:tab w:val="clear" w:pos="720"/>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kitus – kai nustatytas triktis ir/ar problema, kuri sukelia sunkumus naudojantis Registru, bet nedaro neigiamos įtakos sistemos funkcijų veikimui ir nedaro jokio kito žalingo poveikio sistemai.</w:t>
      </w:r>
    </w:p>
    <w:p>
      <w:pPr>
        <w:pStyle w:val="Normal"/>
        <w:numPr>
          <w:ilvl w:val="0"/>
          <w:numId w:val="2"/>
        </w:numPr>
        <w:tabs>
          <w:tab w:val="clear" w:pos="720"/>
          <w:tab w:val="left" w:pos="220" w:leader="none"/>
        </w:tabs>
        <w:ind w:firstLine="770" w:left="0"/>
        <w:jc w:val="both"/>
        <w:rPr>
          <w:lang w:val="lt-LT"/>
        </w:rPr>
      </w:pPr>
      <w:r>
        <w:rPr>
          <w:lang w:val="lt-LT"/>
        </w:rPr>
        <w:t>KDR taikomosios programinės įrangos sutrikimams, trikdžiams ir/ar klaidoms turi būti užtikrinami tokie reikalavimai reakcijos greičiui, laikui per kurį bus nustatytas incidento pašalinimo būdas ir KDR PĮ darbingumo atstatymo terminas:</w:t>
      </w:r>
    </w:p>
    <w:p>
      <w:pPr>
        <w:pStyle w:val="Normal"/>
        <w:numPr>
          <w:ilvl w:val="1"/>
          <w:numId w:val="2"/>
        </w:numPr>
        <w:tabs>
          <w:tab w:val="clear" w:pos="720"/>
          <w:tab w:val="left" w:pos="1320" w:leader="none"/>
        </w:tabs>
        <w:ind w:firstLine="770" w:left="0"/>
        <w:jc w:val="both"/>
        <w:rPr>
          <w:lang w:val="lt-LT"/>
        </w:rPr>
      </w:pPr>
      <w:r>
        <w:rPr>
          <w:lang w:val="lt-LT"/>
        </w:rPr>
        <w:t xml:space="preserve"> </w:t>
      </w:r>
      <w:r>
        <w:rPr>
          <w:lang w:val="lt-LT"/>
        </w:rPr>
        <w:t>Kritinis: reakcija – iki 2 darbo valandų, PĮ darbingumo atstatymas – iki 8 darbo valandų, ir/arba kitais tarp šalių suderintais terminais;</w:t>
      </w:r>
    </w:p>
    <w:p>
      <w:pPr>
        <w:pStyle w:val="Normal"/>
        <w:numPr>
          <w:ilvl w:val="1"/>
          <w:numId w:val="2"/>
        </w:numPr>
        <w:tabs>
          <w:tab w:val="clear" w:pos="720"/>
          <w:tab w:val="left" w:pos="1320" w:leader="none"/>
        </w:tabs>
        <w:ind w:firstLine="770" w:left="0"/>
        <w:jc w:val="both"/>
        <w:rPr>
          <w:lang w:val="lt-LT"/>
        </w:rPr>
      </w:pPr>
      <w:r>
        <w:rPr>
          <w:lang w:val="lt-LT"/>
        </w:rPr>
        <w:t xml:space="preserve"> </w:t>
      </w:r>
      <w:r>
        <w:rPr>
          <w:lang w:val="lt-LT"/>
        </w:rPr>
        <w:t>Didelis: reakcija – iki 8 darbo valandų, PĮ darbingumo atstatymas – iki 16 darbo valandų ir/arba kitais tarp šalių suderintais terminais;</w:t>
      </w:r>
    </w:p>
    <w:p>
      <w:pPr>
        <w:pStyle w:val="Normal"/>
        <w:numPr>
          <w:ilvl w:val="1"/>
          <w:numId w:val="2"/>
        </w:numPr>
        <w:tabs>
          <w:tab w:val="clear" w:pos="720"/>
          <w:tab w:val="left" w:pos="1320" w:leader="none"/>
        </w:tabs>
        <w:ind w:hanging="1440" w:left="2210"/>
        <w:jc w:val="both"/>
        <w:rPr>
          <w:lang w:val="lt-LT"/>
        </w:rPr>
      </w:pPr>
      <w:r>
        <w:rPr>
          <w:lang w:val="lt-LT"/>
        </w:rPr>
        <w:t>Kitas: problemos sprendžiamos atskiru susitarimu.</w:t>
      </w:r>
    </w:p>
    <w:p>
      <w:pPr>
        <w:pStyle w:val="Normalnumbered1"/>
        <w:numPr>
          <w:ilvl w:val="0"/>
          <w:numId w:val="2"/>
        </w:numPr>
        <w:tabs>
          <w:tab w:val="clear" w:pos="720"/>
          <w:tab w:val="left" w:pos="55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Visi darbai ir paslaugos atliekami pagal su Perkančiąja organizacija suderintas pakeitimų paraiškas tokia tvarka:</w:t>
      </w:r>
    </w:p>
    <w:p>
      <w:pPr>
        <w:pStyle w:val="Normalnumbered2"/>
        <w:numPr>
          <w:ilvl w:val="1"/>
          <w:numId w:val="2"/>
        </w:numPr>
        <w:tabs>
          <w:tab w:val="clear" w:pos="720"/>
          <w:tab w:val="left" w:pos="13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Perkančioji organizacija pateikia darbų paslaugų poreikį;</w:t>
      </w:r>
    </w:p>
    <w:p>
      <w:pPr>
        <w:pStyle w:val="Normalnumbered2"/>
        <w:numPr>
          <w:ilvl w:val="1"/>
          <w:numId w:val="2"/>
        </w:numPr>
        <w:tabs>
          <w:tab w:val="clear" w:pos="720"/>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Paslaugų teikėjas atlieka poreikio analizę ir suderina su Perkančiąja organizacija poreikiui įgyvendinti reikalingas paslaugų apimtis bei poreikio įgyvendinimo terminus;</w:t>
      </w:r>
    </w:p>
    <w:p>
      <w:pPr>
        <w:pStyle w:val="Normalnumbered2"/>
        <w:numPr>
          <w:ilvl w:val="1"/>
          <w:numId w:val="2"/>
        </w:numPr>
        <w:tabs>
          <w:tab w:val="clear" w:pos="720"/>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Paslaugos atlikimas laikomas įgyvendintu Perkančiajai organizacijai įvertinus ir priėmus atliktus darbus;</w:t>
      </w:r>
    </w:p>
    <w:p>
      <w:pPr>
        <w:pStyle w:val="Normalnumbered2"/>
        <w:numPr>
          <w:ilvl w:val="1"/>
          <w:numId w:val="2"/>
        </w:numPr>
        <w:tabs>
          <w:tab w:val="clear" w:pos="720"/>
        </w:tabs>
        <w:spacing w:before="0" w:after="0"/>
        <w:ind w:firstLine="770" w:left="0"/>
        <w:rPr>
          <w:rFonts w:ascii="Times New Roman" w:hAnsi="Times New Roman" w:cs="Times New Roman"/>
          <w:sz w:val="24"/>
          <w:szCs w:val="24"/>
        </w:rPr>
      </w:pPr>
      <w:r>
        <w:rPr>
          <w:rFonts w:cs="Times New Roman" w:ascii="Times New Roman" w:hAnsi="Times New Roman"/>
          <w:sz w:val="24"/>
          <w:szCs w:val="24"/>
        </w:rPr>
        <w:t>jeigu dėl Paslaugų teikėjo atliktų darbų atsiranda sutrikimai, trikdžiai ir/ar klaidos, juos Paslaugų teikėjas privalo ištaisyti neatlygintinai.</w:t>
      </w:r>
    </w:p>
    <w:p>
      <w:pPr>
        <w:pStyle w:val="Normalnumbered1"/>
        <w:numPr>
          <w:ilvl w:val="0"/>
          <w:numId w:val="2"/>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Ataskaitos apie suteiktas priežiūros paslaugas teikiamos tokia tvarka:</w:t>
      </w:r>
    </w:p>
    <w:p>
      <w:pPr>
        <w:pStyle w:val="Normalnumbered2"/>
        <w:numPr>
          <w:ilvl w:val="1"/>
          <w:numId w:val="2"/>
        </w:numPr>
        <w:tabs>
          <w:tab w:val="clear" w:pos="720"/>
          <w:tab w:val="left" w:pos="1320" w:leader="none"/>
          <w:tab w:val="left" w:pos="253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Kiekvieno mėnesio paskutinę darbo dieną pateikiama ataskaita apie suteiktas paslaugas, jei tokių buvo:</w:t>
      </w:r>
    </w:p>
    <w:p>
      <w:pPr>
        <w:pStyle w:val="Normalnumbered2"/>
        <w:numPr>
          <w:ilvl w:val="2"/>
          <w:numId w:val="2"/>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KDR programinės įrangos pataisymus, detalizuojant problemą, jos atsiradimo priežastį, bei įgyvendintą sprendinį;</w:t>
      </w:r>
    </w:p>
    <w:p>
      <w:pPr>
        <w:pStyle w:val="Normalnumbered2"/>
        <w:numPr>
          <w:ilvl w:val="2"/>
          <w:numId w:val="2"/>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KDR darbingumo, įvykus sutrikimui, atstatymo detales ir priežastis;</w:t>
      </w:r>
    </w:p>
    <w:p>
      <w:pPr>
        <w:pStyle w:val="Normalnumbered2"/>
        <w:numPr>
          <w:ilvl w:val="2"/>
          <w:numId w:val="2"/>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Perkančiosios organizacijos suderintas mėnesio atliktų paslaugų perdavimo –priėmimo aktas yra sąskaitos faktūros išrašymo pagrindas.</w:t>
      </w:r>
    </w:p>
    <w:p>
      <w:pPr>
        <w:pStyle w:val="Normalnumbered2"/>
        <w:numPr>
          <w:ilvl w:val="1"/>
          <w:numId w:val="2"/>
        </w:numPr>
        <w:tabs>
          <w:tab w:val="clear" w:pos="720"/>
          <w:tab w:val="left" w:pos="1430" w:leader="none"/>
        </w:tabs>
        <w:spacing w:before="0" w:after="0"/>
        <w:ind w:firstLine="770" w:left="0"/>
        <w:rPr/>
      </w:pPr>
      <w:r>
        <w:rPr>
          <w:rFonts w:cs="Times New Roman" w:ascii="Times New Roman" w:hAnsi="Times New Roman"/>
          <w:sz w:val="24"/>
          <w:szCs w:val="24"/>
        </w:rPr>
        <w:t>Ataskaitos pateikiamos adresu Studentų g. 45A, LT-08107 Vilnius.</w:t>
      </w:r>
    </w:p>
    <w:p>
      <w:pPr>
        <w:pStyle w:val="Normal"/>
        <w:jc w:val="center"/>
        <w:rPr>
          <w:b/>
          <w:lang w:val="lt-LT"/>
        </w:rPr>
      </w:pPr>
      <w:r>
        <w:rPr>
          <w:b/>
          <w:lang w:val="lt-LT"/>
        </w:rPr>
      </w:r>
    </w:p>
    <w:p>
      <w:pPr>
        <w:pStyle w:val="Normal"/>
        <w:shd w:val="clear" w:color="auto" w:fill="FFFFFF"/>
        <w:jc w:val="center"/>
        <w:rPr>
          <w:b/>
          <w:color w:val="000000"/>
          <w:lang w:val="lt-LT" w:eastAsia="lt-LT"/>
        </w:rPr>
      </w:pPr>
      <w:r>
        <w:rPr>
          <w:b/>
          <w:color w:val="000000"/>
          <w:lang w:val="lt-LT" w:eastAsia="lt-LT"/>
        </w:rPr>
        <w:t>V. DUOMENŲ TVARKYMO PRIEVOLĖS</w:t>
      </w:r>
    </w:p>
    <w:p>
      <w:pPr>
        <w:pStyle w:val="Normal"/>
        <w:shd w:val="clear" w:color="auto" w:fill="FFFFFF"/>
        <w:jc w:val="center"/>
        <w:rPr>
          <w:b/>
          <w:color w:val="000000"/>
          <w:lang w:val="lt-LT" w:eastAsia="lt-LT"/>
        </w:rPr>
      </w:pPr>
      <w:r>
        <w:rPr>
          <w:b/>
          <w:color w:val="000000"/>
          <w:lang w:val="lt-LT" w:eastAsia="lt-LT"/>
        </w:rPr>
      </w:r>
    </w:p>
    <w:p>
      <w:pPr>
        <w:pStyle w:val="Normal"/>
        <w:ind w:firstLine="851"/>
        <w:jc w:val="both"/>
        <w:rPr>
          <w:lang w:val="lt-LT" w:eastAsia="lt-LT"/>
        </w:rPr>
      </w:pPr>
      <w:r>
        <w:rPr>
          <w:lang w:val="lt-LT" w:eastAsia="lt-LT"/>
        </w:rPr>
        <w:t xml:space="preserve">21. </w:t>
      </w:r>
      <w:bookmarkStart w:id="0" w:name="_Hlk190263165"/>
      <w:r>
        <w:rPr>
          <w:lang w:val="lt-LT" w:eastAsia="lt-LT"/>
        </w:rPr>
        <w:t xml:space="preserve">Paslaugų teikėjas tvarko asmens duomenis tik taip, kaip nustatyta Kraujo donorų registro nuostatuose, patvirtintuose Lietuvos Respublikos sveikatos apsaugos ministro 1998 m. gruodžio 7 d. įsakymu Nr. 713 „Dėl Kraujo donorų registro nuostatų patvirtinimo“, </w:t>
      </w:r>
      <w:r>
        <w:rPr>
          <w:sz w:val="23"/>
          <w:szCs w:val="23"/>
          <w:lang w:val="lt-LT"/>
        </w:rPr>
        <w:t xml:space="preserve">Kraujo donorų registro duomenų saugos nuostatuose, patvirtintuose Lietuvos Respublikos sveikatos apsaugos ministro 2011 m. liepos 1 d. įsakymu Nr. V-659 „Dėl Kraujo donorų registro duomenų saugos nuostatų patvirtinimo“, </w:t>
      </w:r>
      <w:r>
        <w:rPr>
          <w:lang w:val="lt-LT" w:eastAsia="lt-LT"/>
        </w:rPr>
        <w:t>Kraujo donorų registro naudotojų administravimo taisyklėse, Kraujo donorų registro saugaus elektroninės informacijos tvarkymo taisyklėse, Kraujo donorų registro veiklos tęstinumo valdymo plane, patvirtintuose Lietuvos Respublikos sveikatos apsaugos ministro 2012 m. sausio 30 d. įsakymu Nr. V-60 „Dėl Kraujo donorų registro naudotojų administravimo taisyklių, Kraujo donorų registro saugaus elektroninės informacijos tvarkymo taisyklių, Kraujo donorų registro veiklos tęstinumo valdymo plano patvirtinimo“.</w:t>
      </w:r>
      <w:bookmarkEnd w:id="0"/>
    </w:p>
    <w:p>
      <w:pPr>
        <w:pStyle w:val="Normal"/>
        <w:shd w:val="clear" w:color="auto" w:fill="FFFFFF"/>
        <w:ind w:firstLine="720"/>
        <w:jc w:val="both"/>
        <w:rPr>
          <w:lang w:val="lt-LT" w:eastAsia="lt-LT"/>
        </w:rPr>
      </w:pPr>
      <w:r>
        <w:rPr>
          <w:lang w:val="lt-LT" w:eastAsia="lt-LT"/>
        </w:rPr>
        <w:t xml:space="preserve">22. </w:t>
      </w:r>
      <w:bookmarkStart w:id="1" w:name="_Hlk190302946"/>
      <w:r>
        <w:rPr>
          <w:lang w:val="lt-LT" w:eastAsia="lt-LT"/>
        </w:rPr>
        <w:t xml:space="preserve">Paslaugų teikėjas </w:t>
      </w:r>
      <w:r>
        <w:rPr>
          <w:color w:val="000000"/>
          <w:shd w:fill="FFFFFF" w:val="clear"/>
          <w:lang w:val="lt-LT" w:eastAsia="lt-LT"/>
        </w:rPr>
        <w:t>tvarko asmens duomenis laikydamasis Lietuvos Respublikos s</w:t>
      </w:r>
      <w:r>
        <w:rPr>
          <w:color w:val="000000"/>
          <w:lang w:val="lt-LT" w:eastAsia="lt-LT"/>
        </w:rPr>
        <w:t xml:space="preserve">veikatos apsaugos ministerijos ir (arba) Higienos instituto nurodymų tik tiek, kiek tai yra būtina paslaugų teikimui. </w:t>
      </w:r>
      <w:r>
        <w:rPr>
          <w:lang w:val="lt-LT" w:eastAsia="lt-LT"/>
        </w:rPr>
        <w:t>Paslaugų teikėjas</w:t>
      </w:r>
      <w:r>
        <w:rPr>
          <w:color w:val="000000"/>
          <w:lang w:val="lt-LT" w:eastAsia="lt-LT"/>
        </w:rPr>
        <w:t xml:space="preserve"> nedelsdamas informuoja Higienos institutą ir (arba) </w:t>
      </w:r>
      <w:r>
        <w:rPr>
          <w:lang w:val="lt-LT" w:eastAsia="lt-LT"/>
        </w:rPr>
        <w:t>Lietuvos Respublikos sveikatos apsaugos ministeriją</w:t>
      </w:r>
      <w:r>
        <w:rPr>
          <w:color w:val="000000"/>
          <w:lang w:val="lt-LT" w:eastAsia="lt-LT"/>
        </w:rPr>
        <w:t xml:space="preserve">, jeigu jo nuomone nurodymai dėl asmens duomenų tvarkymo  pažeidžia </w:t>
      </w:r>
      <w:r>
        <w:rPr>
          <w:lang w:val="lt-LT" w:eastAsia="lt-LT"/>
        </w:rPr>
        <w:t xml:space="preserve">Bendrąjį duomenų apsaugos reglamentą (ES) 2016/679 </w:t>
      </w:r>
      <w:r>
        <w:rPr>
          <w:color w:val="000000"/>
          <w:lang w:val="lt-LT" w:eastAsia="lt-LT"/>
        </w:rPr>
        <w:t xml:space="preserve">ar kitas </w:t>
      </w:r>
      <w:r>
        <w:rPr>
          <w:lang w:val="lt-LT" w:eastAsia="lt-LT"/>
        </w:rPr>
        <w:t>Lietuvos Respublikos teisės aktų nuostatas.</w:t>
      </w:r>
      <w:bookmarkEnd w:id="1"/>
    </w:p>
    <w:p>
      <w:pPr>
        <w:pStyle w:val="Normal"/>
        <w:shd w:val="clear" w:color="auto" w:fill="FFFFFF"/>
        <w:ind w:firstLine="720"/>
        <w:jc w:val="both"/>
        <w:rPr>
          <w:lang w:val="lt-LT" w:eastAsia="lt-LT"/>
        </w:rPr>
      </w:pPr>
      <w:r>
        <w:rPr>
          <w:lang w:val="lt-LT" w:eastAsia="lt-LT"/>
        </w:rPr>
        <w:t>23. Užtikrina, kad asmens duomenis tvarkyti įgalioti asmenys būtų įsipareigoję užtikrinti konfidencialumą arba jiems būtų taikoma atitinkama įstatais nustatyta konfidencialumo prievolė.</w:t>
      </w:r>
    </w:p>
    <w:p>
      <w:pPr>
        <w:pStyle w:val="Normal"/>
        <w:shd w:val="clear" w:color="auto" w:fill="FFFFFF"/>
        <w:ind w:firstLine="720"/>
        <w:jc w:val="both"/>
        <w:rPr>
          <w:lang w:val="lt-LT" w:eastAsia="lt-LT"/>
        </w:rPr>
      </w:pPr>
      <w:r>
        <w:rPr>
          <w:lang w:val="lt-LT" w:eastAsia="lt-LT"/>
        </w:rPr>
        <w:t>24. Imasi visų priemonių, kurių reikalaujama pagal 2016 m. balandžio 27 d. Europos Parlamento ir Tarybos reglamento (ES) 2016/679 dėl fizinių asmenų apsaugos tvarkant asmens duomenis ir dėl laisvo tokio duomenų judėjimo ir kuriuo panaikinama Direktyva 95/46/EB (Bendrasis duomenų apsaugos reglamentas) 32 straipsnį.</w:t>
      </w:r>
    </w:p>
    <w:p>
      <w:pPr>
        <w:pStyle w:val="Normal"/>
        <w:shd w:val="clear" w:color="auto" w:fill="FFFFFF"/>
        <w:ind w:firstLine="720"/>
        <w:jc w:val="both"/>
        <w:rPr>
          <w:lang w:val="lt-LT" w:eastAsia="lt-LT"/>
        </w:rPr>
      </w:pPr>
      <w:r>
        <w:rPr>
          <w:color w:val="000000"/>
          <w:lang w:val="lt-LT" w:eastAsia="lt-LT"/>
        </w:rPr>
        <w:t xml:space="preserve">25. </w:t>
      </w:r>
      <w:r>
        <w:rPr>
          <w:lang w:val="lt-LT" w:eastAsia="lt-LT"/>
        </w:rPr>
        <w:t>Laikosi Bendrojo duomenų apsaugos reglamento (ES) 2016/679 28 straipsnio 2 ir 4 dalyse nurodytų kito Paslaugų teikėjo pasitelkimo sąlygų.</w:t>
      </w:r>
    </w:p>
    <w:p>
      <w:pPr>
        <w:pStyle w:val="Normal"/>
        <w:shd w:val="clear" w:color="auto" w:fill="FFFFFF"/>
        <w:ind w:firstLine="720"/>
        <w:jc w:val="both"/>
        <w:rPr>
          <w:lang w:val="lt-LT" w:eastAsia="lt-LT"/>
        </w:rPr>
      </w:pPr>
      <w:r>
        <w:rPr>
          <w:lang w:val="lt-LT" w:eastAsia="lt-LT"/>
        </w:rPr>
        <w:t>26. Paslaugų teikėjas, atsižvelgdamas į Paslaugų teikimo pobūdį ir vadovaudamasis</w:t>
      </w:r>
      <w:r>
        <w:rPr>
          <w:color w:val="000000"/>
          <w:spacing w:val="-2"/>
          <w:lang w:val="lt-LT"/>
        </w:rPr>
        <w:t xml:space="preserve"> Duomenų subjektų teisių įgyvendinimo tvarkant asmens duomenis Lietuvos Respublikos sveikatos apsaugos ministerijos valdomuose registruose ir valstybės informacinėse sistemose tvarkos aprašu, patvirtintu Lietuvos Respublikos sveikatos apsaugos ministro </w:t>
      </w:r>
      <w:r>
        <w:rPr>
          <w:color w:val="000000"/>
          <w:lang w:val="lt-LT"/>
        </w:rPr>
        <w:t xml:space="preserve">2019 m. liepos 8 d. įsakymu Nr. V-800 </w:t>
      </w:r>
      <w:r>
        <w:rPr>
          <w:lang w:val="lt-LT" w:eastAsia="lt-LT"/>
        </w:rPr>
        <w:t xml:space="preserve">„Dėl </w:t>
      </w:r>
      <w:r>
        <w:rPr>
          <w:color w:val="000000"/>
          <w:spacing w:val="-2"/>
          <w:lang w:val="lt-LT"/>
        </w:rPr>
        <w:t>Duomenų subjektų teisių įgyvendinimo tvarkant asmens duomenis Lietuvos Respublikos sveikatos apsaugos ministerijos valdomuose registruose ir valstybės informacinėse sistemose tvarkos aprašo patvirtinimo“</w:t>
      </w:r>
      <w:r>
        <w:rPr>
          <w:lang w:val="lt-LT" w:eastAsia="lt-LT"/>
        </w:rPr>
        <w:t>, padeda Lietuvos Respublikos sveikatos apsaugos ministerijai taikydamas tinkamas technines ir organizacines priemones, kiek tai įmanoma, kad būtų įvykdyta Lietuvos Respublikos sveikatos apsaugos ministerijos prievolė atsakyti į prašymus pasinaudoti Bendrojo duomenų apsaugos reglamento (ES) 2016/679 III skyriuje nustatytomis duomenų subjekto teisėmis.</w:t>
      </w:r>
    </w:p>
    <w:p>
      <w:pPr>
        <w:pStyle w:val="Normal"/>
        <w:shd w:val="clear" w:color="auto" w:fill="FFFFFF"/>
        <w:ind w:firstLine="720"/>
        <w:jc w:val="both"/>
        <w:rPr>
          <w:lang w:val="lt-LT" w:eastAsia="lt-LT"/>
        </w:rPr>
      </w:pPr>
      <w:r>
        <w:rPr>
          <w:lang w:val="lt-LT" w:eastAsia="lt-LT"/>
        </w:rPr>
        <w:t>27. Padeda Lietuvos Respublikos sveikatos apsaugos ministerijai užtikrinti Bendrojo duomenų apsaugos reglamento (ES) 2016/679 32–36 straipsniuose nustatytų prievolių laikymąsi, atsižvelgdamas į Paslaugų teikimo pobūdį ir Paslaugų teikėjo turimą informaciją.</w:t>
      </w:r>
    </w:p>
    <w:p>
      <w:pPr>
        <w:pStyle w:val="Normal"/>
        <w:shd w:val="clear" w:color="auto" w:fill="FFFFFF"/>
        <w:ind w:firstLine="720"/>
        <w:jc w:val="both"/>
        <w:rPr>
          <w:color w:val="000000"/>
          <w:lang w:val="lt-LT" w:eastAsia="lt-LT"/>
        </w:rPr>
      </w:pPr>
      <w:r>
        <w:rPr>
          <w:lang w:val="lt-LT" w:eastAsia="lt-LT"/>
        </w:rPr>
        <w:t xml:space="preserve">28. </w:t>
      </w:r>
      <w:bookmarkStart w:id="2" w:name="_Hlk190303816"/>
      <w:r>
        <w:rPr>
          <w:lang w:val="lt-LT" w:eastAsia="lt-LT"/>
        </w:rPr>
        <w:t>Paslaugų teikėjas Lietuvos Respublikos s</w:t>
      </w:r>
      <w:r>
        <w:rPr>
          <w:color w:val="000000"/>
          <w:lang w:val="lt-LT" w:eastAsia="lt-LT"/>
        </w:rPr>
        <w:t>veikatos apsaugos ministerijos nustatyta tvarka nedelsiant, bet ne ilgiau kaip per 24 valandas, informuoja Higienos institutą ir Lietuvos Respublikos sveikatos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bookmarkEnd w:id="2"/>
    </w:p>
    <w:p>
      <w:pPr>
        <w:pStyle w:val="Normal"/>
        <w:shd w:val="clear" w:color="auto" w:fill="FFFFFF"/>
        <w:ind w:firstLine="720"/>
        <w:jc w:val="both"/>
        <w:rPr>
          <w:lang w:val="lt-LT" w:eastAsia="lt-LT"/>
        </w:rPr>
      </w:pPr>
      <w:r>
        <w:rPr>
          <w:lang w:val="lt-LT" w:eastAsia="lt-LT"/>
        </w:rPr>
        <w:t>Pagal Lietuvos Respublikos sveikatos apsaugos ministerijos pasirinkimą, užbaigus teikti su duomenų tvarkymu susijusias paslaugas, ištrina arba grąžina Lietuvos Respublikos sveikatos apsaugos ministerijai visus asmens duomenis ir ištrina esamas jų kopijas, išskyrus atvejus, kai Lietuvos Respublikos teisės aktais reikalaujama asmens duomenis saugoti.</w:t>
      </w:r>
    </w:p>
    <w:p>
      <w:pPr>
        <w:pStyle w:val="Normal"/>
        <w:shd w:val="clear" w:color="auto" w:fill="FFFFFF"/>
        <w:ind w:firstLine="720"/>
        <w:jc w:val="both"/>
        <w:rPr>
          <w:color w:val="000000"/>
          <w:lang w:val="lt-LT"/>
        </w:rPr>
      </w:pPr>
      <w:r>
        <w:rPr>
          <w:lang w:val="lt-LT" w:eastAsia="lt-LT"/>
        </w:rPr>
        <w:t xml:space="preserve">29. </w:t>
      </w:r>
      <w:bookmarkStart w:id="3" w:name="_Hlk190303911"/>
      <w:r>
        <w:rPr>
          <w:lang w:val="lt-LT" w:eastAsia="lt-LT"/>
        </w:rPr>
        <w:t xml:space="preserve">Pateikia Lietuvos Respublikos sveikatos apsaugos ministerijai jos nustatytais terminais visą informaciją, būtiną siekiant įrodyti, kad vykdomos Bendrojo duomenų apsaugos reglamento (ES) 2016/679  nustatytos prievolės, ir sudaro sąlygas bei padeda Lietuvos Respublikos sveikatos apsaugos ministerijai arba kitam jos įgaliotam auditoriui atlikti auditą, įskaitant patikrinimus. </w:t>
      </w:r>
      <w:bookmarkEnd w:id="3"/>
    </w:p>
    <w:p>
      <w:pPr>
        <w:pStyle w:val="Normal"/>
        <w:jc w:val="center"/>
        <w:rPr>
          <w:b/>
          <w:lang w:val="lt-LT"/>
        </w:rPr>
      </w:pPr>
      <w:r>
        <w:rPr>
          <w:b/>
          <w:lang w:val="lt-LT"/>
        </w:rPr>
      </w:r>
    </w:p>
    <w:p>
      <w:pPr>
        <w:pStyle w:val="Normal"/>
        <w:jc w:val="center"/>
        <w:rPr>
          <w:lang w:val="lt-LT"/>
        </w:rPr>
      </w:pPr>
      <w:r>
        <w:rPr>
          <w:b/>
          <w:lang w:val="lt-LT"/>
        </w:rPr>
        <w:t>VI. GARANTINIS APTARNAVIMAS</w:t>
      </w:r>
    </w:p>
    <w:p>
      <w:pPr>
        <w:pStyle w:val="Normal"/>
        <w:rPr>
          <w:lang w:val="lt-LT"/>
        </w:rPr>
      </w:pPr>
      <w:r>
        <w:rPr>
          <w:lang w:val="lt-LT"/>
        </w:rPr>
      </w:r>
    </w:p>
    <w:p>
      <w:pPr>
        <w:pStyle w:val="Normal"/>
        <w:ind w:firstLine="720"/>
        <w:jc w:val="both"/>
        <w:rPr>
          <w:lang w:val="lt-LT"/>
        </w:rPr>
      </w:pPr>
      <w:r>
        <w:rPr>
          <w:lang w:val="lt-LT"/>
        </w:rPr>
        <w:t>30. Paslaugų teikėjas, atlikęs bet kurį KDR PĮ atnaujinimą, turi teikti garantinę priežiūrą atnaujintai KDR PĮ ne mažiau kaip 6 mėnesių nuo atnaujinimo įdiegimo pradžios, tik pakeitimo ribose.</w:t>
      </w:r>
    </w:p>
    <w:p>
      <w:pPr>
        <w:pStyle w:val="Normal"/>
        <w:ind w:firstLine="720"/>
        <w:jc w:val="both"/>
        <w:rPr>
          <w:lang w:val="lt-LT"/>
        </w:rPr>
      </w:pPr>
      <w:r>
        <w:rPr>
          <w:lang w:val="lt-LT"/>
        </w:rPr>
        <w:t>31. Garantiniu laikotarpiu, atsiradusius gedimus atnaujintoje KDR PĮ, Paslaugų teikėjas privalės juos pašalinti savo sąskaita.</w:t>
      </w:r>
    </w:p>
    <w:p>
      <w:pPr>
        <w:pStyle w:val="Normal"/>
        <w:ind w:firstLine="720"/>
        <w:jc w:val="both"/>
        <w:rPr>
          <w:lang w:val="lt-LT"/>
        </w:rPr>
      </w:pPr>
      <w:r>
        <w:rPr>
          <w:lang w:val="lt-LT"/>
        </w:rPr>
        <w:t>32. Garantinės priežiūros laikotarpiu, atlikus KDR PĮ ištaisymus jos gedimų atveju, pasibaigus garantiniams įsipareigojimams arba Perkančiajai organizacijai paprašius, Paslaugų teikėjas privalės perduoti pataisytos KDR PĮ išeities tekstus.</w:t>
      </w:r>
    </w:p>
    <w:p>
      <w:pPr>
        <w:pStyle w:val="Normal"/>
        <w:ind w:firstLine="720"/>
        <w:jc w:val="both"/>
        <w:rPr>
          <w:lang w:val="lt-LT"/>
        </w:rPr>
      </w:pPr>
      <w:r>
        <w:rPr>
          <w:lang w:val="lt-LT"/>
        </w:rPr>
      </w:r>
    </w:p>
    <w:p>
      <w:pPr>
        <w:pStyle w:val="Normal"/>
        <w:spacing w:before="0" w:after="120"/>
        <w:jc w:val="center"/>
        <w:rPr>
          <w:rFonts w:ascii="Times New Roman Bold" w:hAnsi="Times New Roman Bold"/>
          <w:b/>
          <w:caps/>
          <w:lang w:val="lt-LT"/>
        </w:rPr>
      </w:pPr>
      <w:r>
        <w:rPr>
          <w:rFonts w:ascii="Times New Roman Bold" w:hAnsi="Times New Roman Bold"/>
          <w:b/>
          <w:caps/>
          <w:lang w:val="lt-LT"/>
        </w:rPr>
        <w:t>VII. Aplinkosauginiai reikalavimai</w:t>
      </w:r>
    </w:p>
    <w:p>
      <w:pPr>
        <w:pStyle w:val="Normal"/>
        <w:ind w:firstLine="720"/>
        <w:jc w:val="both"/>
        <w:rPr>
          <w:lang w:val="lt-LT"/>
        </w:rPr>
      </w:pPr>
      <w:r>
        <w:rPr>
          <w:lang w:val="lt-LT"/>
        </w:rPr>
      </w:r>
    </w:p>
    <w:p>
      <w:pPr>
        <w:pStyle w:val="Normal"/>
        <w:ind w:firstLine="720"/>
        <w:jc w:val="both"/>
        <w:rPr>
          <w:lang w:val="lt-LT"/>
        </w:rPr>
      </w:pPr>
      <w:r>
        <w:rPr>
          <w:lang w:val="lt-LT"/>
        </w:rPr>
        <w:t>33. Perkama tik nematerialaus pobūdžio (intelektinė), nesusijusi su materialaus objekto sukūrimu, kurios teikimo metu nėra numatomas reikšmingas neigiamas poveikis aplinkai, nesukuriamas taršos šaltinis ir negeneruojamos atliekos ir:</w:t>
      </w:r>
    </w:p>
    <w:p>
      <w:pPr>
        <w:pStyle w:val="Normal"/>
        <w:ind w:firstLine="720"/>
        <w:jc w:val="both"/>
        <w:rPr>
          <w:lang w:val="lt-LT" w:eastAsia="lt-LT"/>
        </w:rPr>
      </w:pPr>
      <w:r>
        <w:rPr>
          <w:lang w:val="lt-LT"/>
        </w:rPr>
        <w:t xml:space="preserve">33.1. </w:t>
      </w:r>
      <w:r>
        <w:rPr>
          <w:lang w:val="lt-LT" w:eastAsia="lt-LT"/>
        </w:rPr>
        <w:t>Tiekėjas įsipareigoja nenaudoti popieriaus;</w:t>
      </w:r>
    </w:p>
    <w:p>
      <w:pPr>
        <w:pStyle w:val="Normal"/>
        <w:ind w:firstLine="720"/>
        <w:jc w:val="both"/>
        <w:rPr>
          <w:lang w:val="lt-LT" w:eastAsia="lt-LT"/>
        </w:rPr>
      </w:pPr>
      <w:r>
        <w:rPr>
          <w:lang w:val="lt-LT" w:eastAsia="lt-LT"/>
        </w:rPr>
        <w:t>33.2. Paslaugos turi būti teikiamos nuotoliniu būdu, paslaugai teikti turi būti sunaudojama kuo mažiau gamtos išteklių;</w:t>
      </w:r>
    </w:p>
    <w:p>
      <w:pPr>
        <w:pStyle w:val="Normal"/>
        <w:ind w:firstLine="720"/>
        <w:jc w:val="both"/>
        <w:rPr>
          <w:lang w:val="lt-LT" w:eastAsia="lt-LT"/>
        </w:rPr>
      </w:pPr>
      <w:r>
        <w:rPr>
          <w:lang w:val="lt-LT" w:eastAsia="lt-LT"/>
        </w:rPr>
        <w:t>33.3. Visus susitikimus daryti nuotoliu būdu ir tik išimtiniais atvejais gyvai.</w:t>
      </w:r>
    </w:p>
    <w:p>
      <w:pPr>
        <w:pStyle w:val="Normal"/>
        <w:ind w:firstLine="720"/>
        <w:jc w:val="both"/>
        <w:rPr>
          <w:lang w:val="lt-LT"/>
        </w:rPr>
      </w:pPr>
      <w:r>
        <w:rPr>
          <w:lang w:val="lt-LT" w:eastAsia="lt-LT"/>
        </w:rPr>
        <w:t>33.4. Naudoti taupesnę energiją vartojančią kompiuterinę techniką ir programinę įrangą arba naudoti žalią energiją.</w:t>
      </w:r>
    </w:p>
    <w:p>
      <w:pPr>
        <w:pStyle w:val="Normal"/>
        <w:ind w:firstLine="720"/>
        <w:jc w:val="both"/>
        <w:rPr>
          <w:b/>
          <w:caps/>
          <w:lang w:val="lt-LT"/>
        </w:rPr>
      </w:pPr>
      <w:r>
        <w:rPr>
          <w:b/>
          <w:caps/>
          <w:lang w:val="lt-LT"/>
        </w:rPr>
      </w:r>
    </w:p>
    <w:p>
      <w:pPr>
        <w:pStyle w:val="Normal"/>
        <w:jc w:val="center"/>
        <w:rPr>
          <w:lang w:val="lt-LT"/>
        </w:rPr>
      </w:pPr>
      <w:r>
        <w:rPr>
          <w:lang w:val="lt-LT"/>
        </w:rPr>
        <w:t>____________________</w:t>
      </w:r>
    </w:p>
    <w:p>
      <w:pPr>
        <w:pStyle w:val="Normal"/>
        <w:rPr>
          <w:lang w:val="lt-LT"/>
        </w:rPr>
      </w:pPr>
      <w:r>
        <w:rPr>
          <w:lang w:val="lt-LT"/>
        </w:rPr>
      </w:r>
    </w:p>
    <w:sectPr>
      <w:type w:val="nextPage"/>
      <w:pgSz w:w="12240" w:h="15840"/>
      <w:pgMar w:left="1701" w:right="56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imes New Roman Bold">
    <w:charset w:val="00"/>
    <w:family w:val="roman"/>
    <w:pitch w:val="variable"/>
  </w:font>
  <w:font w:name="Times">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490"/>
        </w:tabs>
        <w:ind w:left="1490" w:hanging="360"/>
      </w:pPr>
      <w:rPr/>
    </w:lvl>
    <w:lvl w:ilvl="1">
      <w:start w:val="1"/>
      <w:numFmt w:val="lowerLetter"/>
      <w:lvlText w:val="%2."/>
      <w:lvlJc w:val="left"/>
      <w:pPr>
        <w:tabs>
          <w:tab w:val="num" w:pos="2210"/>
        </w:tabs>
        <w:ind w:left="2210" w:hanging="360"/>
      </w:pPr>
      <w:rPr/>
    </w:lvl>
    <w:lvl w:ilvl="2">
      <w:start w:val="1"/>
      <w:numFmt w:val="lowerRoman"/>
      <w:lvlText w:val="%3."/>
      <w:lvlJc w:val="right"/>
      <w:pPr>
        <w:tabs>
          <w:tab w:val="num" w:pos="2930"/>
        </w:tabs>
        <w:ind w:left="2930" w:hanging="180"/>
      </w:pPr>
      <w:rPr/>
    </w:lvl>
    <w:lvl w:ilvl="3">
      <w:start w:val="1"/>
      <w:numFmt w:val="decimal"/>
      <w:lvlText w:val="%4."/>
      <w:lvlJc w:val="left"/>
      <w:pPr>
        <w:tabs>
          <w:tab w:val="num" w:pos="3650"/>
        </w:tabs>
        <w:ind w:left="3650" w:hanging="360"/>
      </w:pPr>
      <w:rPr/>
    </w:lvl>
    <w:lvl w:ilvl="4">
      <w:start w:val="1"/>
      <w:numFmt w:val="lowerLetter"/>
      <w:lvlText w:val="%5."/>
      <w:lvlJc w:val="left"/>
      <w:pPr>
        <w:tabs>
          <w:tab w:val="num" w:pos="4370"/>
        </w:tabs>
        <w:ind w:left="4370" w:hanging="360"/>
      </w:pPr>
      <w:rPr/>
    </w:lvl>
    <w:lvl w:ilvl="5">
      <w:start w:val="1"/>
      <w:numFmt w:val="lowerRoman"/>
      <w:lvlText w:val="%6."/>
      <w:lvlJc w:val="right"/>
      <w:pPr>
        <w:tabs>
          <w:tab w:val="num" w:pos="5090"/>
        </w:tabs>
        <w:ind w:left="5090" w:hanging="180"/>
      </w:pPr>
      <w:rPr/>
    </w:lvl>
    <w:lvl w:ilvl="6">
      <w:start w:val="1"/>
      <w:numFmt w:val="decimal"/>
      <w:lvlText w:val="%7."/>
      <w:lvlJc w:val="left"/>
      <w:pPr>
        <w:tabs>
          <w:tab w:val="num" w:pos="5810"/>
        </w:tabs>
        <w:ind w:left="5810" w:hanging="360"/>
      </w:pPr>
      <w:rPr/>
    </w:lvl>
    <w:lvl w:ilvl="7">
      <w:start w:val="1"/>
      <w:numFmt w:val="lowerLetter"/>
      <w:lvlText w:val="%8."/>
      <w:lvlJc w:val="left"/>
      <w:pPr>
        <w:tabs>
          <w:tab w:val="num" w:pos="6530"/>
        </w:tabs>
        <w:ind w:left="6530" w:hanging="360"/>
      </w:pPr>
      <w:rPr/>
    </w:lvl>
    <w:lvl w:ilvl="8">
      <w:start w:val="1"/>
      <w:numFmt w:val="lowerRoman"/>
      <w:lvlText w:val="%9."/>
      <w:lvlJc w:val="right"/>
      <w:pPr>
        <w:tabs>
          <w:tab w:val="num" w:pos="7250"/>
        </w:tabs>
        <w:ind w:left="7250" w:hanging="180"/>
      </w:pPr>
      <w:rPr/>
    </w:lvl>
  </w:abstractNum>
  <w:abstractNum w:abstractNumId="2">
    <w:lvl w:ilvl="0">
      <w:start w:val="2"/>
      <w:numFmt w:val="decimal"/>
      <w:lvlText w:val="%1."/>
      <w:lvlJc w:val="left"/>
      <w:pPr>
        <w:tabs>
          <w:tab w:val="num" w:pos="360"/>
        </w:tabs>
        <w:ind w:left="360" w:hanging="360"/>
      </w:pPr>
      <w:rPr>
        <w:b w:val="false"/>
      </w:rPr>
    </w:lvl>
    <w:lvl w:ilvl="1">
      <w:start w:val="1"/>
      <w:numFmt w:val="decimal"/>
      <w:lvlText w:val="%1.%2."/>
      <w:lvlJc w:val="left"/>
      <w:pPr>
        <w:tabs>
          <w:tab w:val="num" w:pos="2210"/>
        </w:tabs>
        <w:ind w:left="2210" w:hanging="360"/>
      </w:pPr>
      <w:rPr>
        <w:b w:val="false"/>
      </w:rPr>
    </w:lvl>
    <w:lvl w:ilvl="2">
      <w:start w:val="1"/>
      <w:numFmt w:val="decimal"/>
      <w:lvlText w:val="%1.%2.%3."/>
      <w:lvlJc w:val="left"/>
      <w:pPr>
        <w:tabs>
          <w:tab w:val="num" w:pos="1490"/>
        </w:tabs>
        <w:ind w:left="1490" w:hanging="720"/>
      </w:pPr>
      <w:rPr>
        <w:b w:val="false"/>
      </w:rPr>
    </w:lvl>
    <w:lvl w:ilvl="3">
      <w:start w:val="1"/>
      <w:numFmt w:val="decimal"/>
      <w:lvlText w:val="%1.%2.%3.%4."/>
      <w:lvlJc w:val="left"/>
      <w:pPr>
        <w:tabs>
          <w:tab w:val="num" w:pos="6270"/>
        </w:tabs>
        <w:ind w:left="6270" w:hanging="720"/>
      </w:pPr>
      <w:rPr/>
    </w:lvl>
    <w:lvl w:ilvl="4">
      <w:start w:val="1"/>
      <w:numFmt w:val="decimal"/>
      <w:lvlText w:val="%1.%2.%3.%4.%5."/>
      <w:lvlJc w:val="left"/>
      <w:pPr>
        <w:tabs>
          <w:tab w:val="num" w:pos="8480"/>
        </w:tabs>
        <w:ind w:left="8480" w:hanging="1080"/>
      </w:pPr>
      <w:rPr/>
    </w:lvl>
    <w:lvl w:ilvl="5">
      <w:start w:val="1"/>
      <w:numFmt w:val="decimal"/>
      <w:lvlText w:val="%1.%2.%3.%4.%5.%6."/>
      <w:lvlJc w:val="left"/>
      <w:pPr>
        <w:tabs>
          <w:tab w:val="num" w:pos="10330"/>
        </w:tabs>
        <w:ind w:left="10330" w:hanging="1080"/>
      </w:pPr>
      <w:rPr/>
    </w:lvl>
    <w:lvl w:ilvl="6">
      <w:start w:val="1"/>
      <w:numFmt w:val="decimal"/>
      <w:lvlText w:val="%1.%2.%3.%4.%5.%6.%7."/>
      <w:lvlJc w:val="left"/>
      <w:pPr>
        <w:tabs>
          <w:tab w:val="num" w:pos="12540"/>
        </w:tabs>
        <w:ind w:left="12540" w:hanging="1440"/>
      </w:pPr>
      <w:rPr/>
    </w:lvl>
    <w:lvl w:ilvl="7">
      <w:start w:val="1"/>
      <w:numFmt w:val="decimal"/>
      <w:lvlText w:val="%1.%2.%3.%4.%5.%6.%7.%8."/>
      <w:lvlJc w:val="left"/>
      <w:pPr>
        <w:tabs>
          <w:tab w:val="num" w:pos="14390"/>
        </w:tabs>
        <w:ind w:left="14390" w:hanging="1440"/>
      </w:pPr>
      <w:rPr/>
    </w:lvl>
    <w:lvl w:ilvl="8">
      <w:start w:val="1"/>
      <w:numFmt w:val="decimal"/>
      <w:lvlText w:val="%1.%2.%3.%4.%5.%6.%7.%8.%9."/>
      <w:lvlJc w:val="left"/>
      <w:pPr>
        <w:tabs>
          <w:tab w:val="num" w:pos="16600"/>
        </w:tabs>
        <w:ind w:left="16600" w:hanging="1800"/>
      </w:pPr>
      <w:rPr/>
    </w:lvl>
  </w:abstractNum>
  <w:abstractNum w:abstractNumId="3">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4">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681c"/>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TableChar" w:customStyle="1">
    <w:name w:val="Table Char"/>
    <w:link w:val="Table"/>
    <w:qFormat/>
    <w:rsid w:val="006c681c"/>
    <w:rPr>
      <w:rFonts w:ascii="Arial" w:hAnsi="Arial" w:eastAsia="Arial Unicode MS" w:cs="Arial"/>
      <w:lang w:val="lt-LT" w:eastAsia="en-US" w:bidi="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 w:customStyle="1">
    <w:name w:val="Table"/>
    <w:basedOn w:val="Normal"/>
    <w:link w:val="TableChar"/>
    <w:qFormat/>
    <w:rsid w:val="006c681c"/>
    <w:pPr>
      <w:spacing w:before="40" w:after="40"/>
    </w:pPr>
    <w:rPr>
      <w:rFonts w:ascii="Arial" w:hAnsi="Arial" w:eastAsia="Arial Unicode MS" w:cs="Arial"/>
      <w:sz w:val="20"/>
      <w:szCs w:val="20"/>
      <w:lang w:val="lt-LT"/>
    </w:rPr>
  </w:style>
  <w:style w:type="paragraph" w:styleId="TableTitle" w:customStyle="1">
    <w:name w:val="Table Title"/>
    <w:basedOn w:val="Table"/>
    <w:qFormat/>
    <w:rsid w:val="006c681c"/>
    <w:pPr>
      <w:keepNext w:val="true"/>
      <w:spacing w:before="80" w:after="80"/>
      <w:jc w:val="center"/>
    </w:pPr>
    <w:rPr>
      <w:b/>
    </w:rPr>
  </w:style>
  <w:style w:type="paragraph" w:styleId="Normalnumbered4" w:customStyle="1">
    <w:name w:val="Normal numbered 4"/>
    <w:basedOn w:val="Normalnumbered3"/>
    <w:qFormat/>
    <w:rsid w:val="006c681c"/>
    <w:pPr/>
    <w:rPr/>
  </w:style>
  <w:style w:type="paragraph" w:styleId="Normalnumbered1" w:customStyle="1">
    <w:name w:val="Normal numbered 1"/>
    <w:basedOn w:val="Normal"/>
    <w:qFormat/>
    <w:rsid w:val="006c681c"/>
    <w:pPr>
      <w:numPr>
        <w:ilvl w:val="0"/>
        <w:numId w:val="3"/>
      </w:numPr>
      <w:spacing w:before="120" w:after="0"/>
      <w:jc w:val="both"/>
    </w:pPr>
    <w:rPr>
      <w:rFonts w:ascii="Arial" w:hAnsi="Arial" w:eastAsia="Arial Unicode MS" w:cs="Arial"/>
      <w:sz w:val="20"/>
      <w:szCs w:val="20"/>
      <w:lang w:val="lt-LT"/>
    </w:rPr>
  </w:style>
  <w:style w:type="paragraph" w:styleId="Normalnumbered3" w:customStyle="1">
    <w:name w:val="Normal numbered 3"/>
    <w:basedOn w:val="Normalnumbered2"/>
    <w:qFormat/>
    <w:rsid w:val="006c681c"/>
    <w:pPr/>
    <w:rPr/>
  </w:style>
  <w:style w:type="paragraph" w:styleId="Normalnumbered2" w:customStyle="1">
    <w:name w:val="Normal numbered 2"/>
    <w:basedOn w:val="Normalnumbered1"/>
    <w:qFormat/>
    <w:rsid w:val="006c681c"/>
    <w:pPr/>
    <w:rPr/>
  </w:style>
  <w:style w:type="paragraph" w:styleId="TaBult1" w:customStyle="1">
    <w:name w:val="TaBult 1"/>
    <w:basedOn w:val="Table"/>
    <w:qFormat/>
    <w:rsid w:val="006c681c"/>
    <w:pPr>
      <w:numPr>
        <w:ilvl w:val="0"/>
        <w:numId w:val="4"/>
      </w:numPr>
      <w:tabs>
        <w:tab w:val="clear" w:pos="720"/>
        <w:tab w:val="left" w:pos="360" w:leader="none"/>
        <w:tab w:val="left" w:pos="1477" w:leader="none"/>
      </w:tabs>
      <w:ind w:hanging="0" w:left="0"/>
    </w:pPr>
    <w:rPr/>
  </w:style>
  <w:style w:type="paragraph" w:styleId="Revision">
    <w:name w:val="Revision"/>
    <w:uiPriority w:val="99"/>
    <w:semiHidden/>
    <w:qFormat/>
    <w:rsid w:val="007e7fd6"/>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ListParagraph">
    <w:name w:val="List Paragraph"/>
    <w:basedOn w:val="Normal"/>
    <w:uiPriority w:val="34"/>
    <w:qFormat/>
    <w:rsid w:val="007c6898"/>
    <w:pPr>
      <w:spacing w:before="0" w:after="0"/>
      <w:ind w:left="72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6</Pages>
  <Words>2055</Words>
  <Characters>14557</Characters>
  <CharactersWithSpaces>16362</CharactersWithSpaces>
  <Paragraphs>191</Paragraphs>
  <Company>Higienos Institutas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2025-02-21T08:26:00Z</dcterms:created>
  <dc:creator>Jurate</dc:creator>
  <dc:description/>
  <dc:language>en-US</dc:language>
  <cp:lastModifiedBy>Juratė Miceikienė</cp:lastModifiedBy>
  <dcterms:modified xsi:type="dcterms:W3CDTF">2025-02-26T14:21:00Z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