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50" w:leader="none"/>
        </w:tabs>
        <w:spacing w:lineRule="auto" w:line="240" w:before="0" w:after="0"/>
        <w:jc w:val="center"/>
        <w:rPr>
          <w:b/>
          <w:caps/>
          <w:szCs w:val="24"/>
        </w:rPr>
      </w:pPr>
      <w:r>
        <w:rPr>
          <w:b/>
          <w:bCs/>
          <w:szCs w:val="24"/>
        </w:rPr>
        <w:t xml:space="preserve">TECHNINĖ SPECIFIKACIJA </w:t>
      </w:r>
    </w:p>
    <w:p>
      <w:pPr>
        <w:pStyle w:val="Normal"/>
        <w:spacing w:lineRule="auto" w:line="240" w:before="0" w:after="0"/>
        <w:jc w:val="center"/>
        <w:rPr>
          <w:b/>
          <w:bCs/>
          <w:szCs w:val="24"/>
        </w:rPr>
      </w:pPr>
      <w:r>
        <w:rPr>
          <w:b/>
          <w:bCs/>
          <w:szCs w:val="24"/>
        </w:rPr>
        <w:t>VISUOMENĖS SVEIKATOS PRIEŽIŪROS SPECIALISTŲ REGISTRO PALAIKYMO PASLAUGŲ PIRKIMAS</w:t>
      </w:r>
    </w:p>
    <w:p>
      <w:pPr>
        <w:pStyle w:val="Normal"/>
        <w:spacing w:lineRule="auto" w:line="240" w:before="0" w:after="0"/>
        <w:jc w:val="center"/>
        <w:rPr>
          <w:b/>
          <w:caps/>
          <w:szCs w:val="24"/>
        </w:rPr>
      </w:pPr>
      <w:r>
        <w:rPr>
          <w:b/>
          <w:caps/>
          <w:szCs w:val="24"/>
        </w:rPr>
      </w:r>
    </w:p>
    <w:p>
      <w:pPr>
        <w:pStyle w:val="Normal"/>
        <w:spacing w:lineRule="auto" w:line="240" w:before="0" w:after="0"/>
        <w:jc w:val="center"/>
        <w:rPr>
          <w:b/>
          <w:szCs w:val="24"/>
        </w:rPr>
      </w:pPr>
      <w:r>
        <w:rPr>
          <w:b/>
          <w:szCs w:val="24"/>
        </w:rPr>
        <w:t>I. ĮVADINĖ INFORMACIJA</w:t>
      </w:r>
    </w:p>
    <w:p>
      <w:pPr>
        <w:pStyle w:val="Normal"/>
        <w:spacing w:lineRule="auto" w:line="240" w:before="0" w:after="0"/>
        <w:jc w:val="center"/>
        <w:rPr>
          <w:b/>
          <w:szCs w:val="24"/>
        </w:rPr>
      </w:pPr>
      <w:r>
        <w:rPr>
          <w:b/>
          <w:szCs w:val="24"/>
        </w:rPr>
      </w:r>
    </w:p>
    <w:p>
      <w:pPr>
        <w:pStyle w:val="Normal"/>
        <w:tabs>
          <w:tab w:val="clear" w:pos="720"/>
          <w:tab w:val="left" w:pos="1260" w:leader="none"/>
        </w:tabs>
        <w:spacing w:lineRule="auto" w:line="240" w:before="0" w:after="0"/>
        <w:ind w:firstLine="720"/>
        <w:jc w:val="both"/>
        <w:rPr>
          <w:color w:val="000000"/>
          <w:szCs w:val="24"/>
        </w:rPr>
      </w:pPr>
      <w:r>
        <w:rPr>
          <w:szCs w:val="24"/>
        </w:rPr>
        <w:t xml:space="preserve">1. Pirkimo tikslas – įsigyti turimos Visuomenės sveikatos priežiūros specialistų </w:t>
      </w:r>
      <w:r>
        <w:rPr>
          <w:szCs w:val="24"/>
          <w:lang w:val="tg-Cyrl-TJ"/>
        </w:rPr>
        <w:t>registr</w:t>
      </w:r>
      <w:r>
        <w:rPr>
          <w:szCs w:val="24"/>
        </w:rPr>
        <w:t>o palaikymo paslaugas. VSPSR priėmimo ir tinkamumo eksploatuoti aktas patvirtintas 2016 m. gruodžio 6 d.</w:t>
      </w:r>
    </w:p>
    <w:p>
      <w:pPr>
        <w:pStyle w:val="Normal"/>
        <w:tabs>
          <w:tab w:val="clear" w:pos="720"/>
          <w:tab w:val="left" w:pos="1260" w:leader="none"/>
        </w:tabs>
        <w:spacing w:lineRule="auto" w:line="240" w:before="0" w:after="0"/>
        <w:jc w:val="both"/>
        <w:rPr>
          <w:color w:val="000000"/>
          <w:szCs w:val="24"/>
        </w:rPr>
      </w:pPr>
      <w:r>
        <w:rPr>
          <w:color w:val="000000"/>
          <w:szCs w:val="24"/>
        </w:rPr>
        <w:t>2. Šioje techninėje specifikacijoje naudojamos sąvokos ir sutrumpinimai:</w:t>
      </w:r>
    </w:p>
    <w:p>
      <w:pPr>
        <w:pStyle w:val="Normal"/>
        <w:tabs>
          <w:tab w:val="clear" w:pos="720"/>
          <w:tab w:val="left" w:pos="1260" w:leader="none"/>
        </w:tabs>
        <w:spacing w:lineRule="auto" w:line="240" w:before="0" w:after="0"/>
        <w:ind w:firstLine="720"/>
        <w:rPr>
          <w:szCs w:val="24"/>
        </w:rPr>
      </w:pPr>
      <w:r>
        <w:rPr>
          <w:szCs w:val="24"/>
        </w:rPr>
        <w:t>2.1. Perkančioji organizacija – Higienos institutas;</w:t>
      </w:r>
    </w:p>
    <w:p>
      <w:pPr>
        <w:pStyle w:val="Normal"/>
        <w:tabs>
          <w:tab w:val="clear" w:pos="720"/>
          <w:tab w:val="left" w:pos="1260" w:leader="none"/>
        </w:tabs>
        <w:spacing w:lineRule="auto" w:line="240" w:before="0" w:after="0"/>
        <w:ind w:firstLine="720"/>
        <w:rPr>
          <w:szCs w:val="24"/>
        </w:rPr>
      </w:pPr>
      <w:r>
        <w:rPr>
          <w:szCs w:val="24"/>
        </w:rPr>
        <w:t>2.2. HI – Higienos institutas;</w:t>
      </w:r>
    </w:p>
    <w:p>
      <w:pPr>
        <w:pStyle w:val="Normal"/>
        <w:tabs>
          <w:tab w:val="clear" w:pos="720"/>
          <w:tab w:val="left" w:pos="1260" w:leader="none"/>
        </w:tabs>
        <w:spacing w:lineRule="auto" w:line="240" w:before="0" w:after="0"/>
        <w:ind w:firstLine="720"/>
        <w:rPr>
          <w:szCs w:val="24"/>
        </w:rPr>
      </w:pPr>
      <w:r>
        <w:rPr>
          <w:szCs w:val="24"/>
        </w:rPr>
        <w:t>2.3. VSPSR – Visuomenės sveikatos priežiūros specialistų</w:t>
      </w:r>
      <w:r>
        <w:rPr>
          <w:szCs w:val="24"/>
          <w:lang w:val="tg-Cyrl-TJ"/>
        </w:rPr>
        <w:t xml:space="preserve"> registras</w:t>
      </w:r>
      <w:r>
        <w:rPr>
          <w:szCs w:val="24"/>
        </w:rPr>
        <w:t>;</w:t>
      </w:r>
    </w:p>
    <w:p>
      <w:pPr>
        <w:pStyle w:val="Normal"/>
        <w:tabs>
          <w:tab w:val="clear" w:pos="720"/>
          <w:tab w:val="left" w:pos="1260" w:leader="none"/>
        </w:tabs>
        <w:spacing w:lineRule="auto" w:line="240" w:before="0" w:after="0"/>
        <w:ind w:firstLine="720"/>
        <w:rPr>
          <w:szCs w:val="24"/>
        </w:rPr>
      </w:pPr>
      <w:r>
        <w:rPr>
          <w:szCs w:val="24"/>
        </w:rPr>
        <w:t>2.4. SAM – Lietuvos Respublikos sveikatos apsaugos ministerija;</w:t>
      </w:r>
    </w:p>
    <w:p>
      <w:pPr>
        <w:pStyle w:val="Normal"/>
        <w:tabs>
          <w:tab w:val="clear" w:pos="720"/>
          <w:tab w:val="left" w:pos="1260" w:leader="none"/>
        </w:tabs>
        <w:spacing w:lineRule="auto" w:line="240" w:before="0" w:after="0"/>
        <w:ind w:firstLine="720"/>
        <w:rPr>
          <w:szCs w:val="24"/>
        </w:rPr>
      </w:pPr>
      <w:r>
        <w:rPr>
          <w:szCs w:val="24"/>
        </w:rPr>
        <w:t>2.5. Specialistai – specialistai, atliekantys visuomenės sveikatos priežiūros funkcijas Lietuvos nacionalinės sveikatos sistemos visuomenės sveikatos priežiūros įstaigose;</w:t>
      </w:r>
    </w:p>
    <w:p>
      <w:pPr>
        <w:pStyle w:val="Normal"/>
        <w:tabs>
          <w:tab w:val="clear" w:pos="720"/>
          <w:tab w:val="left" w:pos="1260" w:leader="none"/>
        </w:tabs>
        <w:spacing w:lineRule="auto" w:line="240" w:before="0" w:after="0"/>
        <w:ind w:firstLine="720"/>
        <w:rPr>
          <w:szCs w:val="24"/>
        </w:rPr>
      </w:pPr>
      <w:r>
        <w:rPr>
          <w:szCs w:val="24"/>
        </w:rPr>
        <w:t xml:space="preserve">2.6. VSPSR PĮ </w:t>
      </w:r>
      <w:bookmarkStart w:id="0" w:name="_Hlk189142932"/>
      <w:r>
        <w:rPr>
          <w:szCs w:val="24"/>
        </w:rPr>
        <w:t xml:space="preserve">– </w:t>
      </w:r>
      <w:bookmarkEnd w:id="0"/>
      <w:r>
        <w:rPr>
          <w:szCs w:val="24"/>
        </w:rPr>
        <w:t>Visuomenės sveikatos priežiūros specialistų registro programinė įranga;</w:t>
      </w:r>
    </w:p>
    <w:p>
      <w:pPr>
        <w:pStyle w:val="Normal"/>
        <w:tabs>
          <w:tab w:val="clear" w:pos="720"/>
          <w:tab w:val="left" w:pos="1260" w:leader="none"/>
        </w:tabs>
        <w:spacing w:lineRule="auto" w:line="240" w:before="0" w:after="0"/>
        <w:ind w:firstLine="720"/>
        <w:rPr>
          <w:szCs w:val="24"/>
        </w:rPr>
      </w:pPr>
      <w:r>
        <w:rPr>
          <w:szCs w:val="24"/>
        </w:rPr>
        <w:t xml:space="preserve">2.7. Kompetencijų platforma – </w:t>
      </w:r>
      <w:r>
        <w:rPr>
          <w:szCs w:val="24"/>
          <w:lang w:eastAsia="lt-LT"/>
        </w:rPr>
        <w:t>Lietuvos sveikatos priežiūros specialistų kompetencijų informacinės sistema;</w:t>
      </w:r>
    </w:p>
    <w:p>
      <w:pPr>
        <w:pStyle w:val="Normal"/>
        <w:tabs>
          <w:tab w:val="clear" w:pos="720"/>
          <w:tab w:val="left" w:pos="1260" w:leader="none"/>
        </w:tabs>
        <w:spacing w:lineRule="auto" w:line="240" w:before="0" w:after="0"/>
        <w:ind w:firstLine="720"/>
        <w:rPr>
          <w:szCs w:val="24"/>
        </w:rPr>
      </w:pPr>
      <w:r>
        <w:rPr>
          <w:szCs w:val="24"/>
        </w:rPr>
        <w:t>2.8. Incidentas – aprašytas įvykęs ar tikėtinas VSPSR</w:t>
      </w:r>
      <w:r>
        <w:rPr>
          <w:szCs w:val="24"/>
          <w:lang w:val="tg-Cyrl-TJ"/>
        </w:rPr>
        <w:t xml:space="preserve"> </w:t>
      </w:r>
      <w:r>
        <w:rPr>
          <w:szCs w:val="24"/>
        </w:rPr>
        <w:t>naudotojų veiklos, susijusios su VSPSR naudojimu, sutrikimas;</w:t>
      </w:r>
    </w:p>
    <w:p>
      <w:pPr>
        <w:pStyle w:val="Normal"/>
        <w:tabs>
          <w:tab w:val="clear" w:pos="720"/>
          <w:tab w:val="left" w:pos="1260" w:leader="none"/>
        </w:tabs>
        <w:spacing w:lineRule="auto" w:line="240" w:before="0" w:after="0"/>
        <w:ind w:firstLine="720"/>
        <w:rPr>
          <w:szCs w:val="24"/>
        </w:rPr>
      </w:pPr>
      <w:r>
        <w:rPr>
          <w:szCs w:val="24"/>
        </w:rPr>
        <w:t xml:space="preserve">2.9. </w:t>
      </w:r>
      <w:r>
        <w:rPr>
          <w:szCs w:val="24"/>
          <w:lang w:val="tg-Cyrl-TJ"/>
        </w:rPr>
        <w:t>Klaida</w:t>
      </w:r>
      <w:r>
        <w:rPr>
          <w:szCs w:val="24"/>
        </w:rPr>
        <w:t xml:space="preserve"> – s</w:t>
      </w:r>
      <w:r>
        <w:rPr>
          <w:szCs w:val="24"/>
          <w:lang w:val="tg-Cyrl-TJ"/>
        </w:rPr>
        <w:t>istemos veikimo neatitikimas aprašytai specifikacijai</w:t>
      </w:r>
      <w:r>
        <w:rPr>
          <w:szCs w:val="24"/>
        </w:rPr>
        <w:t>;</w:t>
      </w:r>
    </w:p>
    <w:p>
      <w:pPr>
        <w:pStyle w:val="Normal"/>
        <w:tabs>
          <w:tab w:val="clear" w:pos="720"/>
          <w:tab w:val="left" w:pos="1260" w:leader="none"/>
        </w:tabs>
        <w:spacing w:lineRule="auto" w:line="240" w:before="0" w:after="0"/>
        <w:ind w:firstLine="720"/>
        <w:rPr>
          <w:szCs w:val="24"/>
        </w:rPr>
      </w:pPr>
      <w:r>
        <w:rPr>
          <w:szCs w:val="24"/>
        </w:rPr>
        <w:t>2.10. Paslauga – VSPSR taikomosios programinės įrangos palaikymo paslauga;</w:t>
      </w:r>
    </w:p>
    <w:p>
      <w:pPr>
        <w:pStyle w:val="Normal"/>
        <w:tabs>
          <w:tab w:val="clear" w:pos="720"/>
          <w:tab w:val="left" w:pos="1260" w:leader="none"/>
        </w:tabs>
        <w:spacing w:lineRule="auto" w:line="240" w:before="0" w:after="0"/>
        <w:ind w:firstLine="720"/>
        <w:rPr>
          <w:szCs w:val="24"/>
        </w:rPr>
      </w:pPr>
      <w:r>
        <w:rPr>
          <w:szCs w:val="24"/>
        </w:rPr>
        <w:t xml:space="preserve">2.11. </w:t>
      </w:r>
      <w:r>
        <w:rPr>
          <w:szCs w:val="24"/>
          <w:lang w:val="tg-Cyrl-TJ"/>
        </w:rPr>
        <w:t>Triktis</w:t>
      </w:r>
      <w:r>
        <w:rPr>
          <w:szCs w:val="24"/>
        </w:rPr>
        <w:t xml:space="preserve"> – d</w:t>
      </w:r>
      <w:r>
        <w:rPr>
          <w:szCs w:val="24"/>
          <w:lang w:val="tg-Cyrl-TJ"/>
        </w:rPr>
        <w:t>alinis arba pilnas sistemos ar jos komponentės sutrikimas</w:t>
      </w:r>
      <w:r>
        <w:rPr>
          <w:szCs w:val="24"/>
        </w:rPr>
        <w:t>;</w:t>
      </w:r>
    </w:p>
    <w:p>
      <w:pPr>
        <w:pStyle w:val="Normal"/>
        <w:tabs>
          <w:tab w:val="clear" w:pos="720"/>
          <w:tab w:val="left" w:pos="0" w:leader="none"/>
          <w:tab w:val="left" w:pos="1320" w:leader="none"/>
        </w:tabs>
        <w:spacing w:lineRule="auto" w:line="240" w:before="0" w:after="0"/>
        <w:ind w:firstLine="720"/>
        <w:rPr>
          <w:szCs w:val="24"/>
        </w:rPr>
      </w:pPr>
      <w:r>
        <w:rPr>
          <w:szCs w:val="24"/>
        </w:rPr>
        <w:t xml:space="preserve">3. </w:t>
      </w:r>
      <w:r>
        <w:rPr>
          <w:szCs w:val="24"/>
          <w:lang w:val="tg-Cyrl-TJ"/>
        </w:rPr>
        <w:t>Funkciniai ir nefunkciniai reikalavimai šiems komponentams apibrėžti:</w:t>
      </w:r>
    </w:p>
    <w:p>
      <w:pPr>
        <w:pStyle w:val="Normal"/>
        <w:tabs>
          <w:tab w:val="clear" w:pos="720"/>
          <w:tab w:val="left" w:pos="0" w:leader="none"/>
          <w:tab w:val="left" w:pos="1320" w:leader="none"/>
        </w:tabs>
        <w:spacing w:lineRule="auto" w:line="240" w:before="0" w:after="0"/>
        <w:ind w:firstLine="720"/>
        <w:rPr>
          <w:szCs w:val="24"/>
        </w:rPr>
      </w:pPr>
      <w:r>
        <w:rPr>
          <w:szCs w:val="24"/>
        </w:rPr>
        <w:t>3.1. VSPSR detaliojoje analizėje ir sistemos specifikacijoje;</w:t>
      </w:r>
    </w:p>
    <w:p>
      <w:pPr>
        <w:pStyle w:val="Normal"/>
        <w:tabs>
          <w:tab w:val="clear" w:pos="720"/>
          <w:tab w:val="left" w:pos="0" w:leader="none"/>
          <w:tab w:val="left" w:pos="1320" w:leader="none"/>
        </w:tabs>
        <w:spacing w:lineRule="auto" w:line="240" w:before="0" w:after="0"/>
        <w:ind w:firstLine="720"/>
        <w:rPr>
          <w:szCs w:val="24"/>
        </w:rPr>
      </w:pPr>
      <w:r>
        <w:rPr>
          <w:szCs w:val="24"/>
        </w:rPr>
        <w:t>3.2. VSPSR techniniame aprašyme (specifikacijoje).</w:t>
      </w:r>
    </w:p>
    <w:p>
      <w:pPr>
        <w:pStyle w:val="Normal"/>
        <w:spacing w:lineRule="auto" w:line="240" w:before="0" w:after="0"/>
        <w:ind w:firstLine="709"/>
        <w:rPr>
          <w:bCs/>
          <w:szCs w:val="24"/>
        </w:rPr>
      </w:pPr>
      <w:r>
        <w:rPr>
          <w:szCs w:val="24"/>
        </w:rPr>
        <w:t xml:space="preserve">4. </w:t>
      </w:r>
      <w:r>
        <w:rPr>
          <w:bCs/>
          <w:szCs w:val="24"/>
        </w:rPr>
        <w:t>Šiuo metu eksploatuojamos VSPSR PĮ aprašymas:</w:t>
      </w:r>
    </w:p>
    <w:p>
      <w:pPr>
        <w:pStyle w:val="Normal"/>
        <w:spacing w:lineRule="auto" w:line="240" w:before="0" w:after="0"/>
        <w:ind w:firstLine="709"/>
        <w:rPr>
          <w:szCs w:val="24"/>
        </w:rPr>
      </w:pPr>
      <w:r>
        <w:rPr>
          <w:szCs w:val="24"/>
        </w:rPr>
      </w:r>
    </w:p>
    <w:tbl>
      <w:tblPr>
        <w:tblW w:w="9592"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970"/>
        <w:gridCol w:w="7621"/>
      </w:tblGrid>
      <w:tr>
        <w:trPr>
          <w:tblHeader w:val="true"/>
        </w:trPr>
        <w:tc>
          <w:tcPr>
            <w:tcW w:w="1970"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0" w:after="0"/>
              <w:rPr>
                <w:rFonts w:ascii="Times New Roman" w:hAnsi="Times New Roman" w:cs="Times New Roman"/>
                <w:sz w:val="24"/>
                <w:szCs w:val="24"/>
              </w:rPr>
            </w:pPr>
            <w:r>
              <w:rPr>
                <w:rFonts w:cs="Times New Roman" w:ascii="Times New Roman" w:hAnsi="Times New Roman"/>
                <w:sz w:val="24"/>
                <w:szCs w:val="24"/>
              </w:rPr>
              <w:t>VSPSR</w:t>
            </w:r>
          </w:p>
        </w:tc>
        <w:tc>
          <w:tcPr>
            <w:tcW w:w="7621" w:type="dxa"/>
            <w:tcBorders>
              <w:top w:val="single" w:sz="4" w:space="0" w:color="000000"/>
              <w:left w:val="single" w:sz="4" w:space="0" w:color="000000"/>
              <w:bottom w:val="single" w:sz="4" w:space="0" w:color="000000"/>
              <w:right w:val="single" w:sz="4" w:space="0" w:color="000000"/>
            </w:tcBorders>
            <w:shd w:color="auto" w:fill="9CC2E5" w:val="clear"/>
          </w:tcPr>
          <w:p>
            <w:pPr>
              <w:pStyle w:val="TableTitle"/>
              <w:spacing w:before="0" w:after="0"/>
              <w:rPr>
                <w:rFonts w:ascii="Times New Roman" w:hAnsi="Times New Roman" w:cs="Times New Roman"/>
                <w:sz w:val="24"/>
                <w:szCs w:val="24"/>
              </w:rPr>
            </w:pPr>
            <w:r>
              <w:rPr>
                <w:rFonts w:cs="Times New Roman" w:ascii="Times New Roman" w:hAnsi="Times New Roman"/>
                <w:sz w:val="24"/>
                <w:szCs w:val="24"/>
              </w:rPr>
              <w:t>Aprašymas</w:t>
            </w:r>
          </w:p>
        </w:tc>
      </w:tr>
      <w:tr>
        <w:trPr/>
        <w:tc>
          <w:tcPr>
            <w:tcW w:w="1970" w:type="dxa"/>
            <w:tcBorders>
              <w:top w:val="single" w:sz="4" w:space="0" w:color="000000"/>
              <w:left w:val="single" w:sz="4" w:space="0" w:color="000000"/>
              <w:bottom w:val="single" w:sz="4" w:space="0" w:color="000000"/>
              <w:right w:val="single" w:sz="4" w:space="0" w:color="000000"/>
            </w:tcBorders>
            <w:shd w:color="auto" w:fill="DEEAF6" w:val="clear"/>
          </w:tcPr>
          <w:p>
            <w:pPr>
              <w:pStyle w:val="Table"/>
              <w:spacing w:before="0" w:after="0"/>
              <w:rPr>
                <w:rFonts w:ascii="Times New Roman" w:hAnsi="Times New Roman" w:cs="Times New Roman"/>
                <w:b/>
                <w:sz w:val="24"/>
                <w:szCs w:val="24"/>
              </w:rPr>
            </w:pPr>
            <w:r>
              <w:rPr>
                <w:rFonts w:cs="Times New Roman" w:ascii="Times New Roman" w:hAnsi="Times New Roman"/>
                <w:b/>
                <w:sz w:val="24"/>
                <w:szCs w:val="24"/>
              </w:rPr>
              <w:t>VSPSR paskirtis</w:t>
            </w:r>
          </w:p>
        </w:tc>
        <w:tc>
          <w:tcPr>
            <w:tcW w:w="7621" w:type="dxa"/>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jc w:val="both"/>
              <w:rPr>
                <w:szCs w:val="24"/>
              </w:rPr>
            </w:pPr>
            <w:r>
              <w:rPr>
                <w:szCs w:val="24"/>
              </w:rPr>
              <w:t>VSPSR realizuota kaip interneto programa, skirta  registruoti Specialistus, rinkti, kaupti, apdoroti, sisteminti, saugoti ir teikti duomenis fiziniams ir juridiniams asmenims, atlikti kitus duomenų tvarkymo veiksmus.</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t>Įgaliotiems duomenų teikėjams, Specialistams funkcijos pasiekiamos per:</w:t>
            </w:r>
          </w:p>
          <w:p>
            <w:pPr>
              <w:pStyle w:val="TaBult1"/>
              <w:numPr>
                <w:ilvl w:val="0"/>
                <w:numId w:val="8"/>
              </w:numPr>
              <w:spacing w:before="0" w:after="0"/>
              <w:ind w:hanging="360" w:left="0"/>
              <w:rPr>
                <w:rFonts w:ascii="Times New Roman" w:hAnsi="Times New Roman" w:cs="Times New Roman"/>
                <w:sz w:val="24"/>
                <w:szCs w:val="24"/>
              </w:rPr>
            </w:pPr>
            <w:r>
              <w:rPr>
                <w:rFonts w:cs="Times New Roman" w:ascii="Times New Roman" w:hAnsi="Times New Roman"/>
                <w:sz w:val="24"/>
                <w:szCs w:val="24"/>
              </w:rPr>
              <w:t>Sistemos internetinę naudotojo sąsają;</w:t>
            </w:r>
          </w:p>
          <w:p>
            <w:pPr>
              <w:pStyle w:val="TaBult1"/>
              <w:numPr>
                <w:ilvl w:val="0"/>
                <w:numId w:val="8"/>
              </w:numPr>
              <w:spacing w:before="0" w:after="0"/>
              <w:ind w:hanging="360" w:left="0"/>
              <w:rPr>
                <w:rFonts w:ascii="Times New Roman" w:hAnsi="Times New Roman" w:cs="Times New Roman"/>
                <w:sz w:val="24"/>
                <w:szCs w:val="24"/>
              </w:rPr>
            </w:pPr>
            <w:r>
              <w:rPr>
                <w:rFonts w:cs="Times New Roman" w:ascii="Times New Roman" w:hAnsi="Times New Roman"/>
                <w:sz w:val="24"/>
                <w:szCs w:val="24"/>
              </w:rPr>
              <w:t>Tinklines paslaugas.</w:t>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r>
          </w:p>
          <w:p>
            <w:pPr>
              <w:pStyle w:val="Table"/>
              <w:spacing w:before="0" w:after="0"/>
              <w:rPr>
                <w:rFonts w:ascii="Times New Roman" w:hAnsi="Times New Roman" w:cs="Times New Roman"/>
                <w:sz w:val="24"/>
                <w:szCs w:val="24"/>
              </w:rPr>
            </w:pPr>
            <w:r>
              <w:rPr>
                <w:rFonts w:cs="Times New Roman" w:ascii="Times New Roman" w:hAnsi="Times New Roman"/>
                <w:sz w:val="24"/>
                <w:szCs w:val="24"/>
              </w:rPr>
              <w:t>VSPSR tvarkytojų ir naudotojų administravimas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TaBult1"/>
              <w:numPr>
                <w:ilvl w:val="0"/>
                <w:numId w:val="9"/>
              </w:numPr>
              <w:spacing w:before="0" w:after="0"/>
              <w:ind w:hanging="357" w:left="0"/>
              <w:rPr>
                <w:rFonts w:ascii="Times New Roman" w:hAnsi="Times New Roman" w:cs="Times New Roman"/>
                <w:sz w:val="24"/>
                <w:szCs w:val="24"/>
              </w:rPr>
            </w:pPr>
            <w:r>
              <w:rPr>
                <w:rFonts w:cs="Times New Roman" w:ascii="Times New Roman" w:hAnsi="Times New Roman"/>
                <w:sz w:val="24"/>
                <w:szCs w:val="24"/>
              </w:rPr>
              <w:t>VSPSR tvarkytojų ir naudotojų autorizavimas bei identifikavimas;</w:t>
            </w:r>
          </w:p>
          <w:p>
            <w:pPr>
              <w:pStyle w:val="TaBult1"/>
              <w:numPr>
                <w:ilvl w:val="0"/>
                <w:numId w:val="9"/>
              </w:numPr>
              <w:spacing w:before="0" w:after="0"/>
              <w:ind w:hanging="357" w:left="0"/>
              <w:rPr>
                <w:rFonts w:ascii="Times New Roman" w:hAnsi="Times New Roman" w:cs="Times New Roman"/>
                <w:sz w:val="24"/>
                <w:szCs w:val="24"/>
              </w:rPr>
            </w:pPr>
            <w:r>
              <w:rPr>
                <w:rFonts w:cs="Times New Roman" w:ascii="Times New Roman" w:hAnsi="Times New Roman"/>
                <w:sz w:val="24"/>
                <w:szCs w:val="24"/>
              </w:rPr>
              <w:t xml:space="preserve">Teisių ir galimų veiksmų VSPSR valdymas; </w:t>
            </w:r>
          </w:p>
          <w:p>
            <w:pPr>
              <w:pStyle w:val="TaBult1"/>
              <w:numPr>
                <w:ilvl w:val="0"/>
                <w:numId w:val="9"/>
              </w:numPr>
              <w:spacing w:before="0" w:after="0"/>
              <w:ind w:hanging="357" w:left="0"/>
              <w:rPr>
                <w:rFonts w:ascii="Times New Roman" w:hAnsi="Times New Roman" w:cs="Times New Roman"/>
                <w:sz w:val="24"/>
                <w:szCs w:val="24"/>
              </w:rPr>
            </w:pPr>
            <w:r>
              <w:rPr>
                <w:rFonts w:cs="Times New Roman" w:ascii="Times New Roman" w:hAnsi="Times New Roman"/>
                <w:sz w:val="24"/>
                <w:szCs w:val="24"/>
              </w:rPr>
              <w:t>Matymo sričių tvarkymas.</w:t>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 objektų registravimas ir duomenų tvarkymas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ult1"/>
              <w:numPr>
                <w:ilvl w:val="0"/>
                <w:numId w:val="7"/>
              </w:numPr>
              <w:spacing w:before="0" w:after="0"/>
              <w:ind w:hanging="357" w:left="0"/>
              <w:rPr>
                <w:rFonts w:ascii="Times New Roman" w:hAnsi="Times New Roman" w:cs="Times New Roman"/>
                <w:sz w:val="24"/>
                <w:szCs w:val="24"/>
              </w:rPr>
            </w:pPr>
            <w:r>
              <w:rPr>
                <w:rFonts w:cs="Times New Roman" w:ascii="Times New Roman" w:hAnsi="Times New Roman"/>
                <w:sz w:val="24"/>
                <w:szCs w:val="24"/>
              </w:rPr>
              <w:t>VSPSR įvedami, tvarkomi ir matomi VSPSR objektų duomenys: registro objekto bendrieji ir specifiniai duomenys;</w:t>
            </w:r>
          </w:p>
          <w:p>
            <w:pPr>
              <w:pStyle w:val="TaBult1"/>
              <w:numPr>
                <w:ilvl w:val="0"/>
                <w:numId w:val="7"/>
              </w:numPr>
              <w:spacing w:before="0" w:after="0"/>
              <w:ind w:hanging="357" w:left="0"/>
              <w:rPr>
                <w:rFonts w:ascii="Times New Roman" w:hAnsi="Times New Roman" w:cs="Times New Roman"/>
                <w:sz w:val="24"/>
                <w:szCs w:val="24"/>
              </w:rPr>
            </w:pPr>
            <w:r>
              <w:rPr>
                <w:rFonts w:cs="Times New Roman" w:ascii="Times New Roman" w:hAnsi="Times New Roman"/>
                <w:sz w:val="24"/>
                <w:szCs w:val="24"/>
              </w:rPr>
              <w:t xml:space="preserve">Užtikrinamas duomenų vientisumas ir teisingumas; </w:t>
            </w:r>
          </w:p>
          <w:p>
            <w:pPr>
              <w:pStyle w:val="TaBult1"/>
              <w:numPr>
                <w:ilvl w:val="0"/>
                <w:numId w:val="7"/>
              </w:numPr>
              <w:spacing w:before="0" w:after="0"/>
              <w:ind w:hanging="357" w:left="0"/>
              <w:rPr>
                <w:rFonts w:ascii="Times New Roman" w:hAnsi="Times New Roman" w:cs="Times New Roman"/>
                <w:sz w:val="24"/>
                <w:szCs w:val="24"/>
              </w:rPr>
            </w:pPr>
            <w:r>
              <w:rPr>
                <w:rFonts w:cs="Times New Roman" w:ascii="Times New Roman" w:hAnsi="Times New Roman"/>
                <w:sz w:val="24"/>
                <w:szCs w:val="24"/>
              </w:rPr>
              <w:t>Duomenys tikrinami ir atnaujinami;</w:t>
            </w:r>
          </w:p>
          <w:p>
            <w:pPr>
              <w:pStyle w:val="TaBult1"/>
              <w:numPr>
                <w:ilvl w:val="0"/>
                <w:numId w:val="7"/>
              </w:numPr>
              <w:spacing w:before="0" w:after="0"/>
              <w:ind w:hanging="357" w:left="0"/>
              <w:rPr>
                <w:rFonts w:ascii="Times New Roman" w:hAnsi="Times New Roman" w:cs="Times New Roman"/>
                <w:sz w:val="24"/>
                <w:szCs w:val="24"/>
              </w:rPr>
            </w:pPr>
            <w:r>
              <w:rPr>
                <w:rFonts w:cs="Times New Roman" w:ascii="Times New Roman" w:hAnsi="Times New Roman"/>
                <w:sz w:val="24"/>
                <w:szCs w:val="24"/>
              </w:rPr>
              <w:t xml:space="preserve">Informuojama apie duomenų pataisymą, patikslinimą, papildymą, tvarkymą; </w:t>
            </w:r>
          </w:p>
          <w:p>
            <w:pPr>
              <w:pStyle w:val="TaBult1"/>
              <w:numPr>
                <w:ilvl w:val="0"/>
                <w:numId w:val="7"/>
              </w:numPr>
              <w:spacing w:before="0" w:after="0"/>
              <w:ind w:hanging="357" w:left="0"/>
              <w:rPr>
                <w:rFonts w:ascii="Times New Roman" w:hAnsi="Times New Roman" w:cs="Times New Roman"/>
                <w:sz w:val="24"/>
                <w:szCs w:val="24"/>
              </w:rPr>
            </w:pPr>
            <w:r>
              <w:rPr>
                <w:rFonts w:cs="Times New Roman" w:ascii="Times New Roman" w:hAnsi="Times New Roman"/>
                <w:sz w:val="24"/>
                <w:szCs w:val="24"/>
              </w:rPr>
              <w:t>Apibendrinti duomenys pateikiami analizei.</w:t>
            </w:r>
          </w:p>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 sąveikos su kitais registrais valdymas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t>Duomenys tikrinami ir periodiškai atnaujinami pagal išorinius registrus, su kuriais sudarytos duomenų teikimo sutartys:</w:t>
            </w:r>
          </w:p>
          <w:p>
            <w:pPr>
              <w:pStyle w:val="Normal"/>
              <w:numPr>
                <w:ilvl w:val="0"/>
                <w:numId w:val="10"/>
              </w:numPr>
              <w:shd w:val="clear" w:color="auto" w:fill="FFFFFF"/>
              <w:spacing w:lineRule="auto" w:line="240" w:before="0" w:after="0"/>
              <w:ind w:hanging="357" w:left="0"/>
              <w:contextualSpacing/>
              <w:rPr>
                <w:szCs w:val="24"/>
                <w:lang w:eastAsia="lt-LT"/>
              </w:rPr>
            </w:pPr>
            <w:r>
              <w:rPr>
                <w:szCs w:val="24"/>
                <w:lang w:eastAsia="lt-LT"/>
              </w:rPr>
              <w:t>Lietuvos Respublikos gyventojų registras;</w:t>
            </w:r>
          </w:p>
          <w:p>
            <w:pPr>
              <w:pStyle w:val="Normal"/>
              <w:numPr>
                <w:ilvl w:val="0"/>
                <w:numId w:val="10"/>
              </w:numPr>
              <w:shd w:val="clear" w:color="auto" w:fill="FFFFFF"/>
              <w:spacing w:lineRule="auto" w:line="240" w:before="0" w:after="0"/>
              <w:ind w:hanging="357" w:left="0"/>
              <w:contextualSpacing/>
              <w:rPr>
                <w:szCs w:val="24"/>
                <w:lang w:eastAsia="lt-LT"/>
              </w:rPr>
            </w:pPr>
            <w:r>
              <w:rPr>
                <w:szCs w:val="24"/>
                <w:lang w:eastAsia="lt-LT"/>
              </w:rPr>
              <w:t>Diplomų, atestatų ir kvalifikacijos pažymėjimų registras;</w:t>
            </w:r>
          </w:p>
          <w:p>
            <w:pPr>
              <w:pStyle w:val="Normal"/>
              <w:numPr>
                <w:ilvl w:val="0"/>
                <w:numId w:val="10"/>
              </w:numPr>
              <w:shd w:val="clear" w:color="auto" w:fill="FFFFFF"/>
              <w:spacing w:lineRule="auto" w:line="240" w:before="0" w:after="0"/>
              <w:ind w:hanging="357" w:left="0"/>
              <w:rPr>
                <w:szCs w:val="24"/>
                <w:lang w:eastAsia="lt-LT"/>
              </w:rPr>
            </w:pPr>
            <w:r>
              <w:rPr>
                <w:szCs w:val="24"/>
                <w:lang w:eastAsia="lt-LT"/>
              </w:rPr>
              <w:t>Studentų registras;</w:t>
            </w:r>
          </w:p>
          <w:p>
            <w:pPr>
              <w:pStyle w:val="Normal"/>
              <w:numPr>
                <w:ilvl w:val="0"/>
                <w:numId w:val="10"/>
              </w:numPr>
              <w:shd w:val="clear" w:color="auto" w:fill="FFFFFF"/>
              <w:spacing w:lineRule="auto" w:line="240" w:before="0" w:after="0"/>
              <w:ind w:hanging="357" w:left="0"/>
              <w:rPr>
                <w:szCs w:val="24"/>
                <w:lang w:eastAsia="lt-LT"/>
              </w:rPr>
            </w:pPr>
            <w:r>
              <w:rPr>
                <w:szCs w:val="24"/>
                <w:lang w:eastAsia="lt-LT"/>
              </w:rPr>
              <w:t>Juridinių asmenų registras;</w:t>
            </w:r>
          </w:p>
          <w:p>
            <w:pPr>
              <w:pStyle w:val="Normal"/>
              <w:numPr>
                <w:ilvl w:val="0"/>
                <w:numId w:val="10"/>
              </w:numPr>
              <w:shd w:val="clear" w:color="auto" w:fill="FFFFFF"/>
              <w:spacing w:lineRule="auto" w:line="240" w:before="0" w:after="0"/>
              <w:ind w:hanging="357" w:left="0"/>
              <w:contextualSpacing/>
              <w:rPr>
                <w:szCs w:val="24"/>
                <w:lang w:eastAsia="lt-LT"/>
              </w:rPr>
            </w:pPr>
            <w:r>
              <w:rPr>
                <w:szCs w:val="24"/>
                <w:lang w:eastAsia="lt-LT"/>
              </w:rPr>
              <w:t>Valstybės tarnautojų registras;</w:t>
            </w:r>
          </w:p>
          <w:p>
            <w:pPr>
              <w:pStyle w:val="Normal"/>
              <w:numPr>
                <w:ilvl w:val="0"/>
                <w:numId w:val="10"/>
              </w:numPr>
              <w:shd w:val="clear" w:color="auto" w:fill="FFFFFF"/>
              <w:spacing w:lineRule="auto" w:line="240" w:before="0" w:after="0"/>
              <w:ind w:hanging="357" w:left="0"/>
              <w:contextualSpacing/>
              <w:rPr>
                <w:szCs w:val="24"/>
              </w:rPr>
            </w:pPr>
            <w:r>
              <w:rPr>
                <w:szCs w:val="24"/>
                <w:lang w:eastAsia="lt-LT"/>
              </w:rPr>
              <w:t>Valstybės informacinių išteklių sąveikumo platforma;</w:t>
            </w:r>
          </w:p>
          <w:p>
            <w:pPr>
              <w:pStyle w:val="Normal"/>
              <w:numPr>
                <w:ilvl w:val="0"/>
                <w:numId w:val="10"/>
              </w:numPr>
              <w:shd w:val="clear" w:color="auto" w:fill="FFFFFF"/>
              <w:spacing w:lineRule="auto" w:line="240" w:before="0" w:after="0"/>
              <w:ind w:hanging="357" w:left="0"/>
              <w:contextualSpacing/>
              <w:rPr>
                <w:szCs w:val="24"/>
              </w:rPr>
            </w:pPr>
            <w:r>
              <w:rPr>
                <w:szCs w:val="24"/>
              </w:rPr>
              <w:t>Kompetencijų platforma (kvalifikacijos kėlimo pažymėjimų duomenis).</w:t>
            </w:r>
          </w:p>
          <w:p>
            <w:pPr>
              <w:pStyle w:val="Normal"/>
              <w:numPr>
                <w:ilvl w:val="0"/>
                <w:numId w:val="10"/>
              </w:numPr>
              <w:shd w:val="clear" w:color="auto" w:fill="FFFFFF"/>
              <w:spacing w:lineRule="auto" w:line="240" w:before="0" w:after="0"/>
              <w:ind w:hanging="357" w:left="0"/>
              <w:contextualSpacing/>
              <w:rPr>
                <w:szCs w:val="24"/>
              </w:rPr>
            </w:pPr>
            <w:r>
              <w:rPr>
                <w:szCs w:val="24"/>
                <w:lang w:eastAsia="lt-LT"/>
              </w:rPr>
              <w:t>VSPSR teikia duomenis:</w:t>
            </w:r>
          </w:p>
          <w:p>
            <w:pPr>
              <w:pStyle w:val="Normal"/>
              <w:numPr>
                <w:ilvl w:val="0"/>
                <w:numId w:val="10"/>
              </w:numPr>
              <w:shd w:val="clear" w:color="auto" w:fill="FFFFFF"/>
              <w:spacing w:lineRule="auto" w:line="240" w:before="0" w:after="0"/>
              <w:ind w:hanging="357" w:left="0"/>
              <w:contextualSpacing/>
              <w:rPr>
                <w:szCs w:val="24"/>
              </w:rPr>
            </w:pPr>
            <w:r>
              <w:rPr>
                <w:szCs w:val="24"/>
              </w:rPr>
              <w:t>Kompetencijų platformai (kai kuriuos duomenis);</w:t>
            </w:r>
          </w:p>
          <w:p>
            <w:pPr>
              <w:pStyle w:val="Normal"/>
              <w:shd w:val="clear" w:color="auto" w:fill="FFFFFF"/>
              <w:spacing w:lineRule="auto" w:line="240" w:before="0" w:after="0"/>
              <w:contextualSpacing/>
              <w:rPr>
                <w:szCs w:val="24"/>
                <w:lang w:eastAsia="lt-LT"/>
              </w:rPr>
            </w:pPr>
            <w:r>
              <w:rPr>
                <w:szCs w:val="24"/>
                <w:lang w:eastAsia="lt-LT"/>
              </w:rPr>
              <w:t>Specialiųjų tyrimų tarnybai (pagal poreikį).</w:t>
            </w:r>
          </w:p>
          <w:p>
            <w:pPr>
              <w:pStyle w:val="Normal"/>
              <w:shd w:val="clear" w:color="auto" w:fill="FFFFFF"/>
              <w:spacing w:lineRule="auto" w:line="240" w:before="0" w:after="0"/>
              <w:contextualSpacing/>
              <w:rPr>
                <w:szCs w:val="24"/>
              </w:rPr>
            </w:pPr>
            <w:r>
              <w:rPr>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t>klasifikatorių tvarkymas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t>VSPSR naudojami vidiniai klasifikatoriai ir duomenų vientisumo užtikrinimui atnaujinami išorinių sistemų klasifikatoriai.</w:t>
            </w:r>
          </w:p>
          <w:p>
            <w:pPr>
              <w:pStyle w:val="Normal"/>
              <w:spacing w:lineRule="auto" w:line="240" w:before="0" w:after="0"/>
              <w:rPr>
                <w:color w:val="000000"/>
                <w:szCs w:val="24"/>
              </w:rPr>
            </w:pPr>
            <w:r>
              <w:rPr>
                <w:color w:val="000000"/>
                <w:szCs w:val="24"/>
              </w:rPr>
              <w:t>Nacionaliniai klasifikatoriai:</w:t>
            </w:r>
          </w:p>
          <w:p>
            <w:pPr>
              <w:pStyle w:val="Normal"/>
              <w:numPr>
                <w:ilvl w:val="0"/>
                <w:numId w:val="5"/>
              </w:numPr>
              <w:suppressAutoHyphens w:val="true"/>
              <w:spacing w:lineRule="auto" w:line="240" w:before="0" w:after="0"/>
              <w:ind w:hanging="357" w:left="0"/>
              <w:rPr>
                <w:color w:val="000000"/>
                <w:szCs w:val="24"/>
              </w:rPr>
            </w:pPr>
            <w:r>
              <w:rPr>
                <w:color w:val="000000"/>
                <w:szCs w:val="24"/>
              </w:rPr>
              <w:t>Pasaulio šalių ir teritorijų;</w:t>
            </w:r>
          </w:p>
          <w:p>
            <w:pPr>
              <w:pStyle w:val="Normal"/>
              <w:numPr>
                <w:ilvl w:val="0"/>
                <w:numId w:val="5"/>
              </w:numPr>
              <w:suppressAutoHyphens w:val="true"/>
              <w:spacing w:lineRule="auto" w:line="240" w:before="0" w:after="0"/>
              <w:ind w:hanging="357" w:left="0"/>
              <w:rPr>
                <w:color w:val="000000"/>
                <w:szCs w:val="24"/>
              </w:rPr>
            </w:pPr>
            <w:r>
              <w:rPr>
                <w:color w:val="000000"/>
                <w:szCs w:val="24"/>
              </w:rPr>
              <w:t>Išsilavinimo;</w:t>
            </w:r>
          </w:p>
          <w:p>
            <w:pPr>
              <w:pStyle w:val="Normal"/>
              <w:numPr>
                <w:ilvl w:val="0"/>
                <w:numId w:val="5"/>
              </w:numPr>
              <w:suppressAutoHyphens w:val="true"/>
              <w:spacing w:lineRule="auto" w:line="240" w:before="0" w:after="0"/>
              <w:ind w:hanging="357" w:left="0"/>
              <w:rPr>
                <w:color w:val="000000"/>
                <w:szCs w:val="24"/>
              </w:rPr>
            </w:pPr>
            <w:r>
              <w:rPr>
                <w:color w:val="000000"/>
                <w:szCs w:val="24"/>
              </w:rPr>
              <w:t>Kvalifikacinių laipsnių;</w:t>
            </w:r>
          </w:p>
          <w:p>
            <w:pPr>
              <w:pStyle w:val="Normal"/>
              <w:numPr>
                <w:ilvl w:val="0"/>
                <w:numId w:val="5"/>
              </w:numPr>
              <w:suppressAutoHyphens w:val="true"/>
              <w:spacing w:lineRule="auto" w:line="240" w:before="0" w:after="0"/>
              <w:ind w:hanging="357" w:left="0"/>
              <w:rPr>
                <w:szCs w:val="24"/>
              </w:rPr>
            </w:pPr>
            <w:r>
              <w:rPr>
                <w:szCs w:val="24"/>
              </w:rPr>
              <w:t>Kalbų;</w:t>
            </w:r>
          </w:p>
          <w:p>
            <w:pPr>
              <w:pStyle w:val="Normal"/>
              <w:numPr>
                <w:ilvl w:val="0"/>
                <w:numId w:val="5"/>
              </w:numPr>
              <w:suppressAutoHyphens w:val="true"/>
              <w:spacing w:lineRule="auto" w:line="240" w:before="0" w:after="0"/>
              <w:ind w:hanging="357" w:left="0"/>
              <w:rPr>
                <w:szCs w:val="24"/>
              </w:rPr>
            </w:pPr>
            <w:r>
              <w:rPr>
                <w:szCs w:val="24"/>
              </w:rPr>
              <w:t>Kalbų mokėjimo lygių;</w:t>
            </w:r>
          </w:p>
          <w:p>
            <w:pPr>
              <w:pStyle w:val="Normal"/>
              <w:numPr>
                <w:ilvl w:val="0"/>
                <w:numId w:val="5"/>
              </w:numPr>
              <w:suppressAutoHyphens w:val="true"/>
              <w:spacing w:lineRule="auto" w:line="240" w:before="0" w:after="0"/>
              <w:ind w:hanging="357" w:left="0"/>
              <w:rPr>
                <w:szCs w:val="24"/>
              </w:rPr>
            </w:pPr>
            <w:r>
              <w:rPr>
                <w:szCs w:val="24"/>
              </w:rPr>
              <w:t>Mokslo laipsnių;</w:t>
            </w:r>
          </w:p>
          <w:p>
            <w:pPr>
              <w:pStyle w:val="Normal"/>
              <w:numPr>
                <w:ilvl w:val="0"/>
                <w:numId w:val="5"/>
              </w:numPr>
              <w:suppressAutoHyphens w:val="true"/>
              <w:spacing w:lineRule="auto" w:line="240" w:before="0" w:after="0"/>
              <w:ind w:hanging="357" w:left="0"/>
              <w:rPr>
                <w:szCs w:val="24"/>
              </w:rPr>
            </w:pPr>
            <w:r>
              <w:rPr>
                <w:szCs w:val="24"/>
              </w:rPr>
              <w:t>Mokslo sričių;</w:t>
            </w:r>
          </w:p>
          <w:p>
            <w:pPr>
              <w:pStyle w:val="Normal"/>
              <w:numPr>
                <w:ilvl w:val="0"/>
                <w:numId w:val="5"/>
              </w:numPr>
              <w:suppressAutoHyphens w:val="true"/>
              <w:spacing w:lineRule="auto" w:line="240" w:before="0" w:after="0"/>
              <w:ind w:hanging="357" w:left="0"/>
              <w:rPr>
                <w:szCs w:val="24"/>
              </w:rPr>
            </w:pPr>
            <w:r>
              <w:rPr>
                <w:szCs w:val="24"/>
              </w:rPr>
              <w:t>Mokslo krypčių;</w:t>
            </w:r>
          </w:p>
          <w:p>
            <w:pPr>
              <w:pStyle w:val="Normal"/>
              <w:numPr>
                <w:ilvl w:val="0"/>
                <w:numId w:val="5"/>
              </w:numPr>
              <w:suppressAutoHyphens w:val="true"/>
              <w:spacing w:lineRule="auto" w:line="240" w:before="0" w:after="0"/>
              <w:ind w:hanging="357" w:left="0"/>
              <w:rPr>
                <w:szCs w:val="24"/>
              </w:rPr>
            </w:pPr>
            <w:r>
              <w:rPr>
                <w:szCs w:val="24"/>
              </w:rPr>
              <w:t>Pedagoginių vardų;</w:t>
            </w:r>
          </w:p>
          <w:p>
            <w:pPr>
              <w:pStyle w:val="Normal"/>
              <w:numPr>
                <w:ilvl w:val="0"/>
                <w:numId w:val="5"/>
              </w:numPr>
              <w:suppressAutoHyphens w:val="true"/>
              <w:spacing w:lineRule="auto" w:line="240" w:before="0" w:after="0"/>
              <w:ind w:hanging="357" w:left="0"/>
              <w:rPr>
                <w:szCs w:val="24"/>
              </w:rPr>
            </w:pPr>
            <w:r>
              <w:rPr>
                <w:szCs w:val="24"/>
              </w:rPr>
              <w:t>Studijų krypčių grupių;</w:t>
            </w:r>
          </w:p>
          <w:p>
            <w:pPr>
              <w:pStyle w:val="TaBult1"/>
              <w:numPr>
                <w:ilvl w:val="0"/>
                <w:numId w:val="5"/>
              </w:numPr>
              <w:spacing w:before="0" w:after="0"/>
              <w:ind w:hanging="357" w:left="0"/>
              <w:rPr>
                <w:rFonts w:ascii="Times New Roman" w:hAnsi="Times New Roman" w:cs="Times New Roman"/>
                <w:sz w:val="24"/>
                <w:szCs w:val="24"/>
              </w:rPr>
            </w:pPr>
            <w:r>
              <w:rPr>
                <w:rFonts w:eastAsia="Times New Roman" w:cs="Times New Roman" w:ascii="Times New Roman" w:hAnsi="Times New Roman"/>
                <w:sz w:val="24"/>
                <w:szCs w:val="24"/>
                <w:lang w:eastAsia="ar-SA"/>
              </w:rPr>
              <w:t>Studijų krypčių;</w:t>
            </w:r>
          </w:p>
          <w:p>
            <w:pPr>
              <w:pStyle w:val="TaBult1"/>
              <w:numPr>
                <w:ilvl w:val="0"/>
                <w:numId w:val="5"/>
              </w:numPr>
              <w:spacing w:before="0" w:after="0"/>
              <w:ind w:hanging="357" w:left="0"/>
              <w:rPr>
                <w:rFonts w:ascii="Times New Roman" w:hAnsi="Times New Roman" w:cs="Times New Roman"/>
                <w:sz w:val="24"/>
                <w:szCs w:val="24"/>
              </w:rPr>
            </w:pPr>
            <w:r>
              <w:rPr>
                <w:rFonts w:eastAsia="Times New Roman" w:cs="Times New Roman" w:ascii="Times New Roman" w:hAnsi="Times New Roman"/>
                <w:sz w:val="24"/>
                <w:szCs w:val="24"/>
                <w:lang w:eastAsia="ar-SA"/>
              </w:rPr>
              <w:t>Valstybės ir savivaldybių kodų.</w:t>
            </w:r>
          </w:p>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szCs w:val="24"/>
              </w:rPr>
            </w:pPr>
            <w:r>
              <w:rPr>
                <w:szCs w:val="24"/>
              </w:rPr>
              <w:t>Specialieji klasifikatoriai:</w:t>
            </w:r>
          </w:p>
          <w:p>
            <w:pPr>
              <w:pStyle w:val="Sraopastraipa1"/>
              <w:numPr>
                <w:ilvl w:val="0"/>
                <w:numId w:val="6"/>
              </w:numPr>
              <w:suppressAutoHyphens w:val="true"/>
              <w:spacing w:before="0" w:after="0"/>
              <w:ind w:hanging="357" w:left="0"/>
              <w:contextualSpacing w:val="false"/>
              <w:rPr/>
            </w:pPr>
            <w:r>
              <w:rPr/>
              <w:t>Įstaigų grupių/tipų;</w:t>
            </w:r>
          </w:p>
          <w:p>
            <w:pPr>
              <w:pStyle w:val="Sraopastraipa1"/>
              <w:numPr>
                <w:ilvl w:val="0"/>
                <w:numId w:val="6"/>
              </w:numPr>
              <w:suppressAutoHyphens w:val="true"/>
              <w:spacing w:before="0" w:after="0"/>
              <w:ind w:hanging="357" w:left="0"/>
              <w:contextualSpacing w:val="false"/>
              <w:rPr/>
            </w:pPr>
            <w:r>
              <w:rPr/>
              <w:t>Visuomenės sveikatos sričių;</w:t>
            </w:r>
          </w:p>
          <w:p>
            <w:pPr>
              <w:pStyle w:val="Sraopastraipa1"/>
              <w:numPr>
                <w:ilvl w:val="0"/>
                <w:numId w:val="6"/>
              </w:numPr>
              <w:suppressAutoHyphens w:val="true"/>
              <w:spacing w:before="0" w:after="0"/>
              <w:ind w:hanging="357" w:left="0"/>
              <w:contextualSpacing w:val="false"/>
              <w:rPr/>
            </w:pPr>
            <w:r>
              <w:rPr/>
              <w:t>Pareigybių;</w:t>
            </w:r>
          </w:p>
          <w:p>
            <w:pPr>
              <w:pStyle w:val="Sraopastraipa1"/>
              <w:numPr>
                <w:ilvl w:val="0"/>
                <w:numId w:val="6"/>
              </w:numPr>
              <w:suppressAutoHyphens w:val="true"/>
              <w:spacing w:before="0" w:after="0"/>
              <w:ind w:hanging="357" w:left="0"/>
              <w:contextualSpacing w:val="false"/>
              <w:rPr/>
            </w:pPr>
            <w:r>
              <w:rPr/>
              <w:t>Etatų;</w:t>
            </w:r>
          </w:p>
          <w:p>
            <w:pPr>
              <w:pStyle w:val="Sraopastraipa1"/>
              <w:numPr>
                <w:ilvl w:val="0"/>
                <w:numId w:val="6"/>
              </w:numPr>
              <w:suppressAutoHyphens w:val="true"/>
              <w:spacing w:before="0" w:after="0"/>
              <w:ind w:hanging="357" w:left="0"/>
              <w:contextualSpacing w:val="false"/>
              <w:rPr/>
            </w:pPr>
            <w:r>
              <w:rPr/>
              <w:t>Amžiaus grupių;</w:t>
            </w:r>
          </w:p>
          <w:p>
            <w:pPr>
              <w:pStyle w:val="Sraopastraipa1"/>
              <w:numPr>
                <w:ilvl w:val="0"/>
                <w:numId w:val="6"/>
              </w:numPr>
              <w:suppressAutoHyphens w:val="true"/>
              <w:spacing w:before="0" w:after="0"/>
              <w:ind w:hanging="357" w:left="0"/>
              <w:contextualSpacing w:val="false"/>
              <w:rPr/>
            </w:pPr>
            <w:r>
              <w:rPr/>
              <w:t>Kompetencijų;</w:t>
            </w:r>
          </w:p>
          <w:p>
            <w:pPr>
              <w:pStyle w:val="Sraopastraipa1"/>
              <w:numPr>
                <w:ilvl w:val="0"/>
                <w:numId w:val="6"/>
              </w:numPr>
              <w:suppressAutoHyphens w:val="true"/>
              <w:spacing w:before="0" w:after="0"/>
              <w:ind w:hanging="357" w:left="0"/>
              <w:contextualSpacing w:val="false"/>
              <w:rPr/>
            </w:pPr>
            <w:r>
              <w:rPr/>
              <w:t xml:space="preserve">Bendrųjų kompetencijų sričių; </w:t>
            </w:r>
          </w:p>
          <w:p>
            <w:pPr>
              <w:pStyle w:val="Sraopastraipa1"/>
              <w:numPr>
                <w:ilvl w:val="0"/>
                <w:numId w:val="6"/>
              </w:numPr>
              <w:suppressAutoHyphens w:val="true"/>
              <w:spacing w:before="0" w:after="0"/>
              <w:ind w:hanging="357" w:left="0"/>
              <w:contextualSpacing w:val="false"/>
              <w:rPr/>
            </w:pPr>
            <w:r>
              <w:rPr/>
              <w:t>Specialiųjų kompetencijų sričių;</w:t>
            </w:r>
          </w:p>
          <w:p>
            <w:pPr>
              <w:pStyle w:val="Sraopastraipa1"/>
              <w:numPr>
                <w:ilvl w:val="0"/>
                <w:numId w:val="6"/>
              </w:numPr>
              <w:suppressAutoHyphens w:val="true"/>
              <w:spacing w:before="0" w:after="0"/>
              <w:ind w:hanging="357" w:left="0"/>
              <w:contextualSpacing w:val="false"/>
              <w:rPr/>
            </w:pPr>
            <w:r>
              <w:rPr/>
              <w:t>Visuomenės sveikatos sričių;</w:t>
            </w:r>
          </w:p>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t>Renginių formų.</w:t>
            </w:r>
          </w:p>
          <w:p>
            <w:pPr>
              <w:pStyle w:val="TaBult1"/>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El. paslaugos Specialistams teikti specialius VSPSR duomenis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4"/>
              </w:rPr>
            </w:pPr>
            <w:r>
              <w:rPr>
                <w:szCs w:val="24"/>
              </w:rPr>
              <w:t>Sukurta el. paslauga, suteikianti galimybę Specialistams internetu pateikti VSPSR specifinius duomenis, dokumentus bei priedus.</w:t>
            </w:r>
          </w:p>
          <w:p>
            <w:pPr>
              <w:pStyle w:val="Normal"/>
              <w:spacing w:lineRule="auto" w:line="240" w:before="0" w:after="0"/>
              <w:rPr>
                <w:szCs w:val="24"/>
              </w:rPr>
            </w:pPr>
            <w:r>
              <w:rPr>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Tinklo paslaugos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4"/>
              </w:rPr>
            </w:pPr>
            <w:r>
              <w:rPr>
                <w:szCs w:val="24"/>
              </w:rPr>
              <w:t>Interneto programa skirta VSPSR duomenų  teikėjams, kurie yra fiziškai nutolusiose vietose. Šios tinklo paslaugos skirtos valdyti žiniatinklio paslaugas (web-service).</w:t>
            </w:r>
          </w:p>
          <w:p>
            <w:pPr>
              <w:pStyle w:val="Normal"/>
              <w:spacing w:lineRule="auto" w:line="240" w:before="0" w:after="0"/>
              <w:rPr>
                <w:szCs w:val="24"/>
              </w:rPr>
            </w:pPr>
            <w:r>
              <w:rPr>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 naudotojų grupės ir jų funkcijos</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 valdytojas – SAM:</w:t>
            </w:r>
          </w:p>
          <w:p>
            <w:pPr>
              <w:pStyle w:val="Normal"/>
              <w:numPr>
                <w:ilvl w:val="0"/>
                <w:numId w:val="11"/>
              </w:numPr>
              <w:spacing w:lineRule="auto" w:line="240" w:before="0" w:after="0"/>
              <w:ind w:hanging="357" w:left="0"/>
              <w:jc w:val="both"/>
              <w:rPr>
                <w:rFonts w:eastAsia="Arial Unicode MS"/>
                <w:b/>
                <w:szCs w:val="24"/>
              </w:rPr>
            </w:pPr>
            <w:r>
              <w:rPr>
                <w:rFonts w:eastAsia="Arial Unicode MS"/>
                <w:szCs w:val="24"/>
              </w:rPr>
              <w:t>VSPSR objektų duomenų peržiūra;</w:t>
            </w:r>
          </w:p>
          <w:p>
            <w:pPr>
              <w:pStyle w:val="Normal"/>
              <w:numPr>
                <w:ilvl w:val="0"/>
                <w:numId w:val="11"/>
              </w:numPr>
              <w:spacing w:lineRule="auto" w:line="240" w:before="0" w:after="0"/>
              <w:ind w:hanging="357" w:left="0"/>
              <w:jc w:val="both"/>
              <w:rPr>
                <w:rFonts w:eastAsia="Arial Unicode MS"/>
                <w:b/>
                <w:szCs w:val="24"/>
              </w:rPr>
            </w:pPr>
            <w:r>
              <w:rPr>
                <w:rFonts w:eastAsia="Arial Unicode MS"/>
                <w:szCs w:val="24"/>
              </w:rPr>
              <w:t>Analizės, statistinių duomenų peržiūra.</w:t>
            </w:r>
          </w:p>
          <w:p>
            <w:pPr>
              <w:pStyle w:val="Normal"/>
              <w:spacing w:lineRule="auto" w:line="240" w:before="0" w:after="0"/>
              <w:jc w:val="both"/>
              <w:rPr>
                <w:szCs w:val="24"/>
              </w:rPr>
            </w:pPr>
            <w:r>
              <w:rPr>
                <w:rFonts w:eastAsia="Arial Unicode MS"/>
                <w:szCs w:val="24"/>
              </w:rPr>
              <w:t xml:space="preserve">VSPSR tvarkytojas </w:t>
            </w:r>
            <w:r>
              <w:rPr>
                <w:szCs w:val="24"/>
              </w:rPr>
              <w:t>– HI:</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 xml:space="preserve">Atlikti </w:t>
            </w:r>
            <w:r>
              <w:rPr>
                <w:szCs w:val="24"/>
              </w:rPr>
              <w:t>VSPSR</w:t>
            </w:r>
            <w:r>
              <w:rPr>
                <w:rFonts w:eastAsia="Arial Unicode MS"/>
                <w:szCs w:val="24"/>
              </w:rPr>
              <w:t xml:space="preserve"> administracinius veiksmus – administracines teises turintys asmenys;</w:t>
            </w:r>
          </w:p>
          <w:p>
            <w:pPr>
              <w:pStyle w:val="Normal"/>
              <w:numPr>
                <w:ilvl w:val="0"/>
                <w:numId w:val="13"/>
              </w:numPr>
              <w:spacing w:lineRule="auto" w:line="240" w:before="0" w:after="0"/>
              <w:ind w:hanging="357" w:left="0"/>
              <w:jc w:val="both"/>
              <w:rPr>
                <w:rFonts w:eastAsia="Arial Unicode MS"/>
                <w:b/>
                <w:szCs w:val="24"/>
              </w:rPr>
            </w:pPr>
            <w:r>
              <w:rPr>
                <w:szCs w:val="24"/>
              </w:rPr>
              <w:t>VSPSR</w:t>
            </w:r>
            <w:r>
              <w:rPr>
                <w:rFonts w:eastAsia="Arial Unicode MS"/>
                <w:szCs w:val="24"/>
              </w:rPr>
              <w:t xml:space="preserve"> tvarkytojų – Įstaigų duomenų ir teisių valdymas;</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Valdyti klasifikatorių automatinį atnaujinimą;</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Valdyti sąsajas su išoriniais registrais;</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Analizuoti VSPSR duomenis, rengti statistinių duomenų ataskaitas;</w:t>
            </w:r>
          </w:p>
          <w:p>
            <w:pPr>
              <w:pStyle w:val="Normal"/>
              <w:numPr>
                <w:ilvl w:val="0"/>
                <w:numId w:val="13"/>
              </w:numPr>
              <w:spacing w:lineRule="auto" w:line="240" w:before="0" w:after="0"/>
              <w:ind w:hanging="357" w:left="0"/>
              <w:jc w:val="both"/>
              <w:rPr>
                <w:rFonts w:eastAsia="Arial Unicode MS"/>
                <w:szCs w:val="24"/>
              </w:rPr>
            </w:pPr>
            <w:r>
              <w:rPr>
                <w:rFonts w:eastAsia="Arial Unicode MS"/>
                <w:szCs w:val="24"/>
              </w:rPr>
              <w:t xml:space="preserve">Organizuoti </w:t>
            </w:r>
            <w:r>
              <w:rPr>
                <w:szCs w:val="24"/>
              </w:rPr>
              <w:t>VSPSR</w:t>
            </w:r>
            <w:r>
              <w:rPr>
                <w:rFonts w:eastAsia="Arial Unicode MS"/>
                <w:szCs w:val="24"/>
              </w:rPr>
              <w:t xml:space="preserve"> duomenų gavėjų informavimą, apie neteisingus, netikslius, neišsamius duomenis ir jų tvarkymą; </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 xml:space="preserve">Gali matyti ir tvarkyti visų </w:t>
            </w:r>
            <w:r>
              <w:rPr>
                <w:szCs w:val="24"/>
              </w:rPr>
              <w:t>VSPSR</w:t>
            </w:r>
            <w:r>
              <w:rPr>
                <w:rFonts w:eastAsia="Arial Unicode MS"/>
                <w:szCs w:val="24"/>
              </w:rPr>
              <w:t xml:space="preserve"> objektų duomenis;</w:t>
            </w:r>
          </w:p>
          <w:p>
            <w:pPr>
              <w:pStyle w:val="Normal"/>
              <w:numPr>
                <w:ilvl w:val="0"/>
                <w:numId w:val="13"/>
              </w:numPr>
              <w:spacing w:lineRule="auto" w:line="240" w:before="0" w:after="0"/>
              <w:ind w:hanging="357" w:left="0"/>
              <w:jc w:val="both"/>
              <w:rPr>
                <w:rFonts w:eastAsia="Arial Unicode MS"/>
                <w:b/>
                <w:szCs w:val="24"/>
              </w:rPr>
            </w:pPr>
            <w:r>
              <w:rPr>
                <w:rFonts w:eastAsia="Arial Unicode MS"/>
                <w:szCs w:val="24"/>
              </w:rPr>
              <w:t xml:space="preserve">Teikti viso </w:t>
            </w:r>
            <w:r>
              <w:rPr>
                <w:szCs w:val="24"/>
              </w:rPr>
              <w:t>VSPSR</w:t>
            </w:r>
            <w:r>
              <w:rPr>
                <w:rFonts w:eastAsia="Arial Unicode MS"/>
                <w:szCs w:val="24"/>
              </w:rPr>
              <w:t xml:space="preserve"> objektų duomenis Duomenų gavėjams.</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r>
          </w:p>
          <w:p>
            <w:pPr>
              <w:pStyle w:val="Table"/>
              <w:spacing w:before="0" w:after="0"/>
              <w:rPr>
                <w:rFonts w:ascii="Times New Roman" w:hAnsi="Times New Roman" w:cs="Times New Roman"/>
                <w:sz w:val="24"/>
                <w:szCs w:val="24"/>
              </w:rPr>
            </w:pPr>
            <w:r>
              <w:rPr>
                <w:rFonts w:cs="Times New Roman" w:ascii="Times New Roman" w:hAnsi="Times New Roman"/>
                <w:sz w:val="24"/>
                <w:szCs w:val="24"/>
              </w:rPr>
              <w:t>VSPSR tvarkytojas – Įstaiga:</w:t>
            </w:r>
          </w:p>
          <w:p>
            <w:pPr>
              <w:pStyle w:val="Normal"/>
              <w:numPr>
                <w:ilvl w:val="0"/>
                <w:numId w:val="12"/>
              </w:numPr>
              <w:spacing w:lineRule="auto" w:line="240" w:before="0" w:after="0"/>
              <w:ind w:hanging="357" w:left="0"/>
              <w:jc w:val="both"/>
              <w:rPr>
                <w:rFonts w:eastAsia="Arial Unicode MS"/>
                <w:szCs w:val="24"/>
              </w:rPr>
            </w:pPr>
            <w:r>
              <w:rPr>
                <w:rFonts w:eastAsia="Arial Unicode MS"/>
                <w:szCs w:val="24"/>
              </w:rPr>
              <w:t>Atlikti savo įstaigos darbuotojų naudotojų administravimo veiksmus – administracines teises turintys asmenys;</w:t>
            </w:r>
          </w:p>
          <w:p>
            <w:pPr>
              <w:pStyle w:val="Normal"/>
              <w:numPr>
                <w:ilvl w:val="0"/>
                <w:numId w:val="12"/>
              </w:numPr>
              <w:spacing w:lineRule="auto" w:line="240" w:before="0" w:after="0"/>
              <w:ind w:hanging="357" w:left="0"/>
              <w:jc w:val="both"/>
              <w:rPr>
                <w:rFonts w:eastAsia="Arial Unicode MS"/>
                <w:b/>
                <w:szCs w:val="24"/>
              </w:rPr>
            </w:pPr>
            <w:r>
              <w:rPr>
                <w:rFonts w:eastAsia="Arial Unicode MS"/>
                <w:szCs w:val="24"/>
              </w:rPr>
              <w:t>Savo įstaigos objektų analizės, statistinių duomenų peržiūra;</w:t>
            </w:r>
          </w:p>
          <w:p>
            <w:pPr>
              <w:pStyle w:val="Normal"/>
              <w:numPr>
                <w:ilvl w:val="0"/>
                <w:numId w:val="12"/>
              </w:numPr>
              <w:spacing w:lineRule="auto" w:line="240" w:before="0" w:after="0"/>
              <w:ind w:hanging="357" w:left="0"/>
              <w:jc w:val="both"/>
              <w:rPr>
                <w:rFonts w:eastAsia="Arial Unicode MS"/>
                <w:b/>
                <w:szCs w:val="24"/>
              </w:rPr>
            </w:pPr>
            <w:r>
              <w:rPr>
                <w:rFonts w:eastAsia="Arial Unicode MS"/>
                <w:szCs w:val="24"/>
              </w:rPr>
              <w:t>Gali matyti ir tvarkyti savo Įstaigos objektų duomenis;</w:t>
            </w:r>
          </w:p>
          <w:p>
            <w:pPr>
              <w:pStyle w:val="Normal"/>
              <w:numPr>
                <w:ilvl w:val="0"/>
                <w:numId w:val="12"/>
              </w:numPr>
              <w:spacing w:lineRule="auto" w:line="240" w:before="0" w:after="0"/>
              <w:ind w:hanging="357" w:left="0"/>
              <w:jc w:val="both"/>
              <w:rPr>
                <w:rFonts w:eastAsia="Arial Unicode MS"/>
                <w:szCs w:val="24"/>
              </w:rPr>
            </w:pPr>
            <w:r>
              <w:rPr>
                <w:rFonts w:eastAsia="Arial Unicode MS"/>
                <w:szCs w:val="24"/>
              </w:rPr>
              <w:t>Organizuoti programinėmis priemonėmis</w:t>
            </w:r>
            <w:r>
              <w:rPr>
                <w:szCs w:val="24"/>
              </w:rPr>
              <w:t xml:space="preserve"> VSPSR</w:t>
            </w:r>
            <w:r>
              <w:rPr>
                <w:rFonts w:eastAsia="Arial Unicode MS"/>
                <w:szCs w:val="24"/>
              </w:rPr>
              <w:t xml:space="preserve"> objektų duomenų surinkimą, tikslinimą, papildymą, informavimą apie duomenų tvarkymą.</w:t>
            </w:r>
          </w:p>
          <w:p>
            <w:pPr>
              <w:pStyle w:val="Normal"/>
              <w:numPr>
                <w:ilvl w:val="0"/>
                <w:numId w:val="12"/>
              </w:numPr>
              <w:spacing w:lineRule="auto" w:line="240" w:before="0" w:after="0"/>
              <w:ind w:hanging="357" w:left="0"/>
              <w:jc w:val="both"/>
              <w:rPr>
                <w:rFonts w:eastAsia="Arial Unicode MS"/>
                <w:b/>
                <w:szCs w:val="24"/>
              </w:rPr>
            </w:pPr>
            <w:r>
              <w:rPr>
                <w:rFonts w:eastAsia="Arial Unicode MS"/>
                <w:szCs w:val="24"/>
              </w:rPr>
              <w:t>Teikti savo Įstaigos objektų duomenis Duomenų gavėjams.</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r>
          </w:p>
          <w:p>
            <w:pPr>
              <w:pStyle w:val="Table"/>
              <w:spacing w:before="0" w:after="0"/>
              <w:rPr>
                <w:rFonts w:ascii="Times New Roman" w:hAnsi="Times New Roman" w:cs="Times New Roman"/>
                <w:sz w:val="24"/>
                <w:szCs w:val="24"/>
              </w:rPr>
            </w:pPr>
            <w:r>
              <w:rPr>
                <w:rFonts w:cs="Times New Roman" w:ascii="Times New Roman" w:hAnsi="Times New Roman"/>
                <w:sz w:val="24"/>
                <w:szCs w:val="24"/>
              </w:rPr>
              <w:t>VSPSR objektas – Specialistas:</w:t>
            </w:r>
          </w:p>
          <w:p>
            <w:pPr>
              <w:pStyle w:val="Normal"/>
              <w:numPr>
                <w:ilvl w:val="0"/>
                <w:numId w:val="14"/>
              </w:numPr>
              <w:spacing w:lineRule="auto" w:line="240" w:before="0" w:after="0"/>
              <w:ind w:hanging="360" w:left="0"/>
              <w:jc w:val="both"/>
              <w:rPr>
                <w:rFonts w:eastAsia="Arial Unicode MS"/>
                <w:b/>
                <w:szCs w:val="24"/>
              </w:rPr>
            </w:pPr>
            <w:r>
              <w:rPr>
                <w:rFonts w:eastAsia="Arial Unicode MS"/>
                <w:szCs w:val="24"/>
              </w:rPr>
              <w:t>Užpildyti registraciją VSPSR;</w:t>
            </w:r>
          </w:p>
          <w:p>
            <w:pPr>
              <w:pStyle w:val="Normal"/>
              <w:numPr>
                <w:ilvl w:val="0"/>
                <w:numId w:val="14"/>
              </w:numPr>
              <w:spacing w:lineRule="auto" w:line="240" w:before="0" w:after="0"/>
              <w:ind w:hanging="360" w:left="0"/>
              <w:jc w:val="both"/>
              <w:rPr>
                <w:rFonts w:eastAsia="Arial Unicode MS"/>
                <w:b/>
                <w:szCs w:val="24"/>
              </w:rPr>
            </w:pPr>
            <w:r>
              <w:rPr>
                <w:rFonts w:eastAsia="Arial Unicode MS"/>
                <w:szCs w:val="24"/>
              </w:rPr>
              <w:t>Įvesti ir pateikti kai kuriuos savo duomenis (kalbų mokėjimą, dalyvavimą kvalifikacijos kėlimo renginiuose; kvalifikacijos tobulinimosi poreikį);</w:t>
            </w:r>
          </w:p>
          <w:p>
            <w:pPr>
              <w:pStyle w:val="Normal"/>
              <w:numPr>
                <w:ilvl w:val="0"/>
                <w:numId w:val="14"/>
              </w:numPr>
              <w:spacing w:lineRule="auto" w:line="240" w:before="0" w:after="0"/>
              <w:ind w:hanging="360" w:left="0"/>
              <w:jc w:val="both"/>
              <w:rPr>
                <w:rFonts w:eastAsia="Arial Unicode MS"/>
                <w:b/>
                <w:szCs w:val="24"/>
              </w:rPr>
            </w:pPr>
            <w:r>
              <w:rPr>
                <w:rFonts w:eastAsia="Arial Unicode MS"/>
                <w:szCs w:val="24"/>
              </w:rPr>
              <w:t>Matyti informaciją dėl duomenų tikslumo ir tvarkymo;</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t xml:space="preserve">Pateikti prašymą taisyti netikslius duomenis. </w:t>
            </w:r>
          </w:p>
          <w:p>
            <w:pPr>
              <w:pStyle w:val="Table"/>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1970"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Duomenų analizė</w:t>
            </w:r>
          </w:p>
        </w:tc>
        <w:tc>
          <w:tcPr>
            <w:tcW w:w="7621" w:type="dxa"/>
            <w:tcBorders>
              <w:top w:val="single" w:sz="4" w:space="0" w:color="000000"/>
              <w:left w:val="single" w:sz="4" w:space="0" w:color="000000"/>
              <w:bottom w:val="single" w:sz="4" w:space="0" w:color="000000"/>
              <w:right w:val="single" w:sz="4" w:space="0" w:color="000000"/>
            </w:tcBorders>
            <w:shd w:color="auto" w:fill="auto" w:val="clear"/>
          </w:tcPr>
          <w:p>
            <w:pPr>
              <w:pStyle w:val="Table"/>
              <w:spacing w:before="0" w:after="0"/>
              <w:rPr>
                <w:rFonts w:ascii="Times New Roman" w:hAnsi="Times New Roman" w:cs="Times New Roman"/>
                <w:sz w:val="24"/>
                <w:szCs w:val="24"/>
              </w:rPr>
            </w:pPr>
            <w:r>
              <w:rPr>
                <w:rFonts w:cs="Times New Roman" w:ascii="Times New Roman" w:hAnsi="Times New Roman"/>
                <w:sz w:val="24"/>
                <w:szCs w:val="24"/>
              </w:rPr>
              <w:t>VSPSR realizuotos ataskaitos:</w:t>
            </w:r>
          </w:p>
          <w:p>
            <w:pPr>
              <w:pStyle w:val="Table"/>
              <w:numPr>
                <w:ilvl w:val="0"/>
                <w:numId w:val="3"/>
              </w:numPr>
              <w:spacing w:before="0" w:after="0"/>
              <w:ind w:hanging="360" w:left="0"/>
              <w:rPr>
                <w:rFonts w:ascii="Times New Roman" w:hAnsi="Times New Roman" w:cs="Times New Roman"/>
                <w:sz w:val="24"/>
                <w:szCs w:val="24"/>
              </w:rPr>
            </w:pPr>
            <w:r>
              <w:rPr>
                <w:rFonts w:cs="Times New Roman" w:ascii="Times New Roman" w:hAnsi="Times New Roman"/>
                <w:sz w:val="24"/>
                <w:szCs w:val="24"/>
              </w:rPr>
              <w:t>Statinės ataskaitos;</w:t>
            </w:r>
          </w:p>
          <w:p>
            <w:pPr>
              <w:pStyle w:val="Table"/>
              <w:numPr>
                <w:ilvl w:val="0"/>
                <w:numId w:val="3"/>
              </w:numPr>
              <w:spacing w:before="0" w:after="0"/>
              <w:ind w:hanging="360" w:left="0"/>
              <w:rPr>
                <w:rFonts w:ascii="Times New Roman" w:hAnsi="Times New Roman" w:cs="Times New Roman"/>
                <w:sz w:val="24"/>
                <w:szCs w:val="24"/>
              </w:rPr>
            </w:pPr>
            <w:r>
              <w:rPr>
                <w:rFonts w:cs="Times New Roman" w:ascii="Times New Roman" w:hAnsi="Times New Roman"/>
                <w:sz w:val="24"/>
                <w:szCs w:val="24"/>
              </w:rPr>
              <w:t>Dinaminės ataskaitos.</w:t>
            </w:r>
          </w:p>
        </w:tc>
      </w:tr>
    </w:tbl>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t>5. VSPSR funkcinė schema.</w:t>
      </w:r>
    </w:p>
    <w:p>
      <w:pPr>
        <w:pStyle w:val="Normal"/>
        <w:spacing w:lineRule="auto" w:line="240" w:before="0" w:after="0"/>
        <w:ind w:firstLine="567"/>
        <w:jc w:val="both"/>
        <w:rPr>
          <w:szCs w:val="24"/>
        </w:rPr>
      </w:pPr>
      <w:r>
        <w:rPr>
          <w:szCs w:val="24"/>
        </w:rPr>
      </w:r>
    </w:p>
    <w:p>
      <w:pPr>
        <w:pStyle w:val="Normal"/>
        <w:rPr/>
      </w:pPr>
      <w:r>
        <w:rPr/>
        <mc:AlternateContent>
          <mc:Choice Requires="wpg">
            <w:drawing>
              <wp:anchor behindDoc="0" distT="0" distB="22860" distL="0" distR="25400" simplePos="0" locked="0" layoutInCell="1" allowOverlap="1" relativeHeight="16" wp14:anchorId="0B6E9361">
                <wp:simplePos x="0" y="0"/>
                <wp:positionH relativeFrom="column">
                  <wp:posOffset>47625</wp:posOffset>
                </wp:positionH>
                <wp:positionV relativeFrom="paragraph">
                  <wp:posOffset>62865</wp:posOffset>
                </wp:positionV>
                <wp:extent cx="5956300" cy="4015740"/>
                <wp:effectExtent l="12700" t="13335" r="13335" b="13335"/>
                <wp:wrapNone/>
                <wp:docPr id="1" name="Grupė 27"/>
                <a:graphic xmlns:a="http://schemas.openxmlformats.org/drawingml/2006/main">
                  <a:graphicData uri="http://schemas.microsoft.com/office/word/2010/wordprocessingGroup">
                    <wpg:wgp>
                      <wpg:cNvGrpSpPr/>
                      <wpg:grpSpPr>
                        <a:xfrm>
                          <a:off x="0" y="0"/>
                          <a:ext cx="5956200" cy="4015800"/>
                          <a:chOff x="0" y="0"/>
                          <a:chExt cx="5956200" cy="4015800"/>
                        </a:xfrm>
                      </wpg:grpSpPr>
                      <wps:wsp>
                        <wps:cNvPr id="2" name="Suapvalintas stačiakampis 13"/>
                        <wps:cNvSpPr/>
                        <wps:spPr>
                          <a:xfrm>
                            <a:off x="0" y="0"/>
                            <a:ext cx="1245960" cy="910080"/>
                          </a:xfrm>
                          <a:custGeom>
                            <a:avLst/>
                            <a:gdLst>
                              <a:gd name="textAreaLeft" fmla="*/ 25200 w 706320"/>
                              <a:gd name="textAreaRight" fmla="*/ 681120 w 706320"/>
                              <a:gd name="textAreaTop" fmla="*/ 25200 h 515880"/>
                              <a:gd name="textAreaBottom" fmla="*/ 490680 h 515880"/>
                            </a:gdLst>
                            <a:ahLst/>
                            <a:rect l="textAreaLeft" t="textAreaTop" r="textAreaRight" b="textAreaBottom"/>
                            <a:pathLst>
                              <a:path w="1963" h="1524">
                                <a:moveTo>
                                  <a:pt x="239" y="0"/>
                                </a:moveTo>
                                <a:arcTo wR="239" hR="239" stAng="16200000" swAng="-5400000"/>
                                <a:lnTo>
                                  <a:pt x="0" y="1195"/>
                                </a:lnTo>
                                <a:arcTo wR="239" hR="239" stAng="10800000" swAng="-5400000"/>
                                <a:lnTo>
                                  <a:pt x="1724" y="1434"/>
                                </a:lnTo>
                                <a:arcTo wR="239" hR="239" stAng="5400000" swAng="-5400000"/>
                                <a:lnTo>
                                  <a:pt x="1963" y="239"/>
                                </a:lnTo>
                                <a:arcTo wR="239" hR="239"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Gyventojų registras</w:t>
                              </w:r>
                            </w:p>
                          </w:txbxContent>
                        </wps:txbx>
                        <wps:bodyPr anchor="ctr">
                          <a:noAutofit/>
                        </wps:bodyPr>
                      </wps:wsp>
                      <wps:wsp>
                        <wps:cNvPr id="3" name="Suapvalintas stačiakampis 15"/>
                        <wps:cNvSpPr/>
                        <wps:spPr>
                          <a:xfrm>
                            <a:off x="1523520" y="0"/>
                            <a:ext cx="1222920" cy="881280"/>
                          </a:xfrm>
                          <a:custGeom>
                            <a:avLst/>
                            <a:gdLst>
                              <a:gd name="textAreaLeft" fmla="*/ 24120 w 693360"/>
                              <a:gd name="textAreaRight" fmla="*/ 669240 w 693360"/>
                              <a:gd name="textAreaTop" fmla="*/ 24120 h 499680"/>
                              <a:gd name="textAreaBottom" fmla="*/ 475560 h 499680"/>
                            </a:gdLst>
                            <a:ahLst/>
                            <a:rect l="textAreaLeft" t="textAreaTop" r="textAreaRight" b="textAreaBottom"/>
                            <a:pathLst>
                              <a:path w="1927" h="1479">
                                <a:moveTo>
                                  <a:pt x="232" y="0"/>
                                </a:moveTo>
                                <a:arcTo wR="231.5" hR="231.5" stAng="16200000" swAng="-5400000"/>
                                <a:lnTo>
                                  <a:pt x="0" y="1158"/>
                                </a:lnTo>
                                <a:arcTo wR="231.5" hR="231.5" stAng="10800000" swAng="-5400000"/>
                                <a:lnTo>
                                  <a:pt x="1696" y="1389"/>
                                </a:lnTo>
                                <a:arcTo wR="231.5" hR="231.5" stAng="5400000" swAng="-5400000"/>
                                <a:lnTo>
                                  <a:pt x="1927"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Juridinių asmenų registras</w:t>
                              </w:r>
                            </w:p>
                          </w:txbxContent>
                        </wps:txbx>
                        <wps:bodyPr anchor="ctr">
                          <a:noAutofit/>
                        </wps:bodyPr>
                      </wps:wsp>
                      <wps:wsp>
                        <wps:cNvPr id="4" name="Suapvalintas stačiakampis 16"/>
                        <wps:cNvSpPr/>
                        <wps:spPr>
                          <a:xfrm>
                            <a:off x="4571280" y="0"/>
                            <a:ext cx="1293480" cy="881280"/>
                          </a:xfrm>
                          <a:custGeom>
                            <a:avLst/>
                            <a:gdLst>
                              <a:gd name="textAreaLeft" fmla="*/ 24120 w 733320"/>
                              <a:gd name="textAreaRight" fmla="*/ 709200 w 733320"/>
                              <a:gd name="textAreaTop" fmla="*/ 24120 h 499680"/>
                              <a:gd name="textAreaBottom" fmla="*/ 475560 h 499680"/>
                            </a:gdLst>
                            <a:ahLst/>
                            <a:rect l="textAreaLeft" t="textAreaTop" r="textAreaRight" b="textAreaBottom"/>
                            <a:pathLst>
                              <a:path w="2038" h="1479">
                                <a:moveTo>
                                  <a:pt x="232" y="0"/>
                                </a:moveTo>
                                <a:arcTo wR="231.5" hR="231.5" stAng="16200000" swAng="-5400000"/>
                                <a:lnTo>
                                  <a:pt x="0" y="1158"/>
                                </a:lnTo>
                                <a:arcTo wR="231.5" hR="231.5" stAng="10800000" swAng="-5400000"/>
                                <a:lnTo>
                                  <a:pt x="1807" y="1389"/>
                                </a:lnTo>
                                <a:arcTo wR="231.5" hR="231.5" stAng="5400000" swAng="-5400000"/>
                                <a:lnTo>
                                  <a:pt x="2038"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 xml:space="preserve">Studentų registras </w:t>
                              </w:r>
                            </w:p>
                          </w:txbxContent>
                        </wps:txbx>
                        <wps:bodyPr anchor="ctr">
                          <a:noAutofit/>
                        </wps:bodyPr>
                      </wps:wsp>
                      <wps:wsp>
                        <wps:cNvPr id="5" name="Suapvalintas stačiakampis 17"/>
                        <wps:cNvSpPr/>
                        <wps:spPr>
                          <a:xfrm>
                            <a:off x="3029040" y="0"/>
                            <a:ext cx="1282680" cy="881280"/>
                          </a:xfrm>
                          <a:custGeom>
                            <a:avLst/>
                            <a:gdLst>
                              <a:gd name="textAreaLeft" fmla="*/ 24120 w 727200"/>
                              <a:gd name="textAreaRight" fmla="*/ 703080 w 727200"/>
                              <a:gd name="textAreaTop" fmla="*/ 24120 h 499680"/>
                              <a:gd name="textAreaBottom" fmla="*/ 475560 h 499680"/>
                            </a:gdLst>
                            <a:ahLst/>
                            <a:rect l="textAreaLeft" t="textAreaTop" r="textAreaRight" b="textAreaBottom"/>
                            <a:pathLst>
                              <a:path w="2021" h="1479">
                                <a:moveTo>
                                  <a:pt x="232" y="0"/>
                                </a:moveTo>
                                <a:arcTo wR="231.5" hR="231.5" stAng="16200000" swAng="-5400000"/>
                                <a:lnTo>
                                  <a:pt x="0" y="1158"/>
                                </a:lnTo>
                                <a:arcTo wR="231.5" hR="231.5" stAng="10800000" swAng="-5400000"/>
                                <a:lnTo>
                                  <a:pt x="1790" y="1389"/>
                                </a:lnTo>
                                <a:arcTo wR="231.5" hR="231.5" stAng="5400000" swAng="-5400000"/>
                                <a:lnTo>
                                  <a:pt x="2021"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Valstybės tarnautojų registras</w:t>
                              </w:r>
                            </w:p>
                          </w:txbxContent>
                        </wps:txbx>
                        <wps:bodyPr anchor="ctr">
                          <a:noAutofit/>
                        </wps:bodyPr>
                      </wps:wsp>
                      <wps:wsp>
                        <wps:cNvPr id="6" name="Suapvalintas stačiakampis 14"/>
                        <wps:cNvSpPr/>
                        <wps:spPr>
                          <a:xfrm>
                            <a:off x="47520" y="1369800"/>
                            <a:ext cx="1245960" cy="881280"/>
                          </a:xfrm>
                          <a:custGeom>
                            <a:avLst/>
                            <a:gdLst>
                              <a:gd name="textAreaLeft" fmla="*/ 24120 w 706320"/>
                              <a:gd name="textAreaRight" fmla="*/ 682200 w 706320"/>
                              <a:gd name="textAreaTop" fmla="*/ 24120 h 499680"/>
                              <a:gd name="textAreaBottom" fmla="*/ 475560 h 499680"/>
                            </a:gdLst>
                            <a:ahLst/>
                            <a:rect l="textAreaLeft" t="textAreaTop" r="textAreaRight" b="textAreaBottom"/>
                            <a:pathLst>
                              <a:path w="1963" h="1479">
                                <a:moveTo>
                                  <a:pt x="232" y="0"/>
                                </a:moveTo>
                                <a:arcTo wR="231.5" hR="231.5" stAng="16200000" swAng="-5400000"/>
                                <a:lnTo>
                                  <a:pt x="0" y="1158"/>
                                </a:lnTo>
                                <a:arcTo wR="231.5" hR="231.5" stAng="10800000" swAng="-5400000"/>
                                <a:lnTo>
                                  <a:pt x="1732" y="1389"/>
                                </a:lnTo>
                                <a:arcTo wR="231.5" hR="231.5" stAng="5400000" swAng="-5400000"/>
                                <a:lnTo>
                                  <a:pt x="1963"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VSP</w:t>
                              </w:r>
                            </w:p>
                            <w:p>
                              <w:pPr>
                                <w:pStyle w:val="NormalWeb"/>
                                <w:spacing w:beforeAutospacing="0" w:before="0" w:afterAutospacing="0" w:after="0"/>
                                <w:jc w:val="center"/>
                                <w:rPr/>
                              </w:pPr>
                              <w:r>
                                <w:rPr>
                                  <w:color w:val="000000"/>
                                  <w:kern w:val="2"/>
                                </w:rPr>
                                <w:t>įstaigos</w:t>
                              </w:r>
                            </w:p>
                          </w:txbxContent>
                        </wps:txbx>
                        <wps:bodyPr anchor="ctr">
                          <a:noAutofit/>
                        </wps:bodyPr>
                      </wps:wsp>
                      <wps:wsp>
                        <wps:cNvPr id="7" name="Suapvalintas stačiakampis 18"/>
                        <wps:cNvSpPr/>
                        <wps:spPr>
                          <a:xfrm>
                            <a:off x="4449960" y="2042280"/>
                            <a:ext cx="1506240" cy="887760"/>
                          </a:xfrm>
                          <a:custGeom>
                            <a:avLst/>
                            <a:gdLst>
                              <a:gd name="textAreaLeft" fmla="*/ 24480 w 853920"/>
                              <a:gd name="textAreaRight" fmla="*/ 829440 w 853920"/>
                              <a:gd name="textAreaTop" fmla="*/ 24480 h 503280"/>
                              <a:gd name="textAreaBottom" fmla="*/ 478800 h 503280"/>
                            </a:gdLst>
                            <a:ahLst/>
                            <a:rect l="textAreaLeft" t="textAreaTop" r="textAreaRight" b="textAreaBottom"/>
                            <a:pathLst>
                              <a:path w="2373" h="1489">
                                <a:moveTo>
                                  <a:pt x="233" y="0"/>
                                </a:moveTo>
                                <a:arcTo wR="233.166666666667" hR="233.166666666667" stAng="16200000" swAng="-5400000"/>
                                <a:lnTo>
                                  <a:pt x="0" y="1166"/>
                                </a:lnTo>
                                <a:arcTo wR="233.166666666667" hR="233.166666666667" stAng="10800000" swAng="-5400000"/>
                                <a:lnTo>
                                  <a:pt x="2140" y="1399"/>
                                </a:lnTo>
                                <a:arcTo wR="233.166666666667" hR="233.166666666667" stAng="5400000" swAng="-5400000"/>
                                <a:lnTo>
                                  <a:pt x="2373" y="233"/>
                                </a:lnTo>
                                <a:arcTo wR="233.166666666667" hR="233.166666666667"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Diplomų, atestatų ir kvalifikacinių pažymėjimų registras</w:t>
                              </w:r>
                            </w:p>
                          </w:txbxContent>
                        </wps:txbx>
                        <wps:bodyPr anchor="ctr">
                          <a:noAutofit/>
                        </wps:bodyPr>
                      </wps:wsp>
                      <wps:wsp>
                        <wps:cNvPr id="8" name="Struktūrinė schema: alternatyvus procesas 22"/>
                        <wps:cNvSpPr/>
                        <wps:spPr>
                          <a:xfrm>
                            <a:off x="1837800" y="1369800"/>
                            <a:ext cx="2019240" cy="1353240"/>
                          </a:xfrm>
                          <a:custGeom>
                            <a:avLst/>
                            <a:gdLst>
                              <a:gd name="textAreaLeft" fmla="*/ 37440 w 1144800"/>
                              <a:gd name="textAreaRight" fmla="*/ 1107360 w 1144800"/>
                              <a:gd name="textAreaTop" fmla="*/ 37440 h 767160"/>
                              <a:gd name="textAreaBottom" fmla="*/ 729720 h 767160"/>
                            </a:gdLst>
                            <a:ahLst/>
                            <a:rect l="textAreaLeft" t="textAreaTop" r="textAreaRight" b="textAreaBottom"/>
                            <a:pathLst>
                              <a:path w="3181" h="2132">
                                <a:moveTo>
                                  <a:pt x="0" y="355"/>
                                </a:moveTo>
                                <a:arcTo wR="355.333333333333" hR="355.333333333333" stAng="10800000" swAng="5400000"/>
                                <a:lnTo>
                                  <a:pt x="2826" y="0"/>
                                </a:lnTo>
                                <a:arcTo wR="355.333333333333" hR="355.333333333333" stAng="16200000" swAng="5400000"/>
                                <a:lnTo>
                                  <a:pt x="3181" y="1777"/>
                                </a:lnTo>
                                <a:arcTo wR="355.333333333333" hR="355.333333333333" stAng="0" swAng="5400000"/>
                                <a:lnTo>
                                  <a:pt x="355" y="2132"/>
                                </a:lnTo>
                                <a:arcTo wR="355.333333333333" hR="355.333333333333" stAng="540000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bCs/>
                                  <w:sz w:val="20"/>
                                  <w:szCs w:val="20"/>
                                </w:rPr>
                              </w:pPr>
                              <w:r>
                                <w:rPr>
                                  <w:bCs/>
                                  <w:color w:val="000000"/>
                                  <w:kern w:val="2"/>
                                  <w:sz w:val="20"/>
                                  <w:szCs w:val="20"/>
                                </w:rPr>
                                <w:t>VISUOMENĖS SVEIKATOS PRIEŽIŪROS SPECIALISTŲ REGISTRAS</w:t>
                              </w:r>
                            </w:p>
                          </w:txbxContent>
                        </wps:txbx>
                        <wps:bodyPr anchor="ctr">
                          <a:noAutofit/>
                        </wps:bodyPr>
                      </wps:wsp>
                      <wps:wsp>
                        <wps:cNvPr id="9" name="Tiesioji rodyklės jungtis 15"/>
                        <wps:cNvSpPr/>
                        <wps:spPr>
                          <a:xfrm>
                            <a:off x="1247040" y="1792440"/>
                            <a:ext cx="570240" cy="72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0" name="Tiesioji rodyklės jungtis 14"/>
                        <wps:cNvSpPr/>
                        <wps:spPr>
                          <a:xfrm flipV="1">
                            <a:off x="638280" y="2196360"/>
                            <a:ext cx="720" cy="89280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1" name="Tiesioji rodyklės jungtis 18"/>
                        <wps:cNvSpPr/>
                        <wps:spPr>
                          <a:xfrm>
                            <a:off x="1246680" y="815400"/>
                            <a:ext cx="736560" cy="55368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2" name="Tiesioji rodyklės jungtis 19"/>
                        <wps:cNvSpPr/>
                        <wps:spPr>
                          <a:xfrm>
                            <a:off x="2390040" y="891720"/>
                            <a:ext cx="720" cy="45648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3" name="Tiesioji rodyklės jungtis 20"/>
                        <wps:cNvSpPr/>
                        <wps:spPr>
                          <a:xfrm>
                            <a:off x="3314160" y="910080"/>
                            <a:ext cx="720" cy="44136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4" name="Tiesioji rodyklės jungtis 21"/>
                        <wps:cNvSpPr/>
                        <wps:spPr>
                          <a:xfrm flipH="1">
                            <a:off x="3612600" y="815400"/>
                            <a:ext cx="958320" cy="62604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5" name="Tiesioji rodyklės jungtis 22"/>
                        <wps:cNvSpPr/>
                        <wps:spPr>
                          <a:xfrm flipH="1">
                            <a:off x="3763800" y="2301120"/>
                            <a:ext cx="641520" cy="72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6" name="Tiesioji rodyklės jungtis 24"/>
                        <wps:cNvSpPr/>
                        <wps:spPr>
                          <a:xfrm flipH="1">
                            <a:off x="1266120" y="1948680"/>
                            <a:ext cx="570240" cy="72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7" name="Tiesioji rodyklės jungtis 17"/>
                        <wps:cNvSpPr/>
                        <wps:spPr>
                          <a:xfrm>
                            <a:off x="457200" y="2242800"/>
                            <a:ext cx="720" cy="83556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18" name="Suapvalintas stačiakampis 6"/>
                        <wps:cNvSpPr/>
                        <wps:spPr>
                          <a:xfrm>
                            <a:off x="47520" y="3079080"/>
                            <a:ext cx="1216800" cy="881280"/>
                          </a:xfrm>
                          <a:custGeom>
                            <a:avLst/>
                            <a:gdLst>
                              <a:gd name="textAreaLeft" fmla="*/ 24120 w 689760"/>
                              <a:gd name="textAreaRight" fmla="*/ 665640 w 689760"/>
                              <a:gd name="textAreaTop" fmla="*/ 24120 h 499680"/>
                              <a:gd name="textAreaBottom" fmla="*/ 475560 h 499680"/>
                            </a:gdLst>
                            <a:ahLst/>
                            <a:rect l="textAreaLeft" t="textAreaTop" r="textAreaRight" b="textAreaBottom"/>
                            <a:pathLst>
                              <a:path w="1917" h="1479">
                                <a:moveTo>
                                  <a:pt x="232" y="0"/>
                                </a:moveTo>
                                <a:arcTo wR="231.5" hR="231.5" stAng="16200000" swAng="-5400000"/>
                                <a:lnTo>
                                  <a:pt x="0" y="1158"/>
                                </a:lnTo>
                                <a:arcTo wR="231.5" hR="231.5" stAng="10800000" swAng="-5400000"/>
                                <a:lnTo>
                                  <a:pt x="1686" y="1389"/>
                                </a:lnTo>
                                <a:arcTo wR="231.5" hR="231.5" stAng="5400000" swAng="-5400000"/>
                                <a:lnTo>
                                  <a:pt x="1917"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VSP</w:t>
                              </w:r>
                            </w:p>
                            <w:p>
                              <w:pPr>
                                <w:pStyle w:val="NormalWeb"/>
                                <w:spacing w:beforeAutospacing="0" w:before="0" w:afterAutospacing="0" w:after="0"/>
                                <w:jc w:val="center"/>
                                <w:rPr/>
                              </w:pPr>
                              <w:r>
                                <w:rPr>
                                  <w:color w:val="000000"/>
                                </w:rPr>
                                <w:t>s</w:t>
                              </w:r>
                              <w:r>
                                <w:rPr>
                                  <w:color w:val="000000"/>
                                  <w:kern w:val="2"/>
                                </w:rPr>
                                <w:t>pecialistas</w:t>
                              </w:r>
                            </w:p>
                          </w:txbxContent>
                        </wps:txbx>
                        <wps:bodyPr anchor="ctr">
                          <a:noAutofit/>
                        </wps:bodyPr>
                      </wps:wsp>
                      <wps:wsp>
                        <wps:cNvPr id="19" name="Suapvalintas stačiakampis 19"/>
                        <wps:cNvSpPr/>
                        <wps:spPr>
                          <a:xfrm>
                            <a:off x="1713960" y="3079080"/>
                            <a:ext cx="1208520" cy="881280"/>
                          </a:xfrm>
                          <a:custGeom>
                            <a:avLst/>
                            <a:gdLst>
                              <a:gd name="textAreaLeft" fmla="*/ 24120 w 685080"/>
                              <a:gd name="textAreaRight" fmla="*/ 660960 w 685080"/>
                              <a:gd name="textAreaTop" fmla="*/ 24120 h 499680"/>
                              <a:gd name="textAreaBottom" fmla="*/ 475560 h 499680"/>
                            </a:gdLst>
                            <a:ahLst/>
                            <a:rect l="textAreaLeft" t="textAreaTop" r="textAreaRight" b="textAreaBottom"/>
                            <a:pathLst>
                              <a:path w="1904" h="1479">
                                <a:moveTo>
                                  <a:pt x="232" y="0"/>
                                </a:moveTo>
                                <a:arcTo wR="231.5" hR="231.5" stAng="16200000" swAng="-5400000"/>
                                <a:lnTo>
                                  <a:pt x="0" y="1158"/>
                                </a:lnTo>
                                <a:arcTo wR="231.5" hR="231.5" stAng="10800000" swAng="-5400000"/>
                                <a:lnTo>
                                  <a:pt x="1673" y="1389"/>
                                </a:lnTo>
                                <a:arcTo wR="231.5" hR="231.5" stAng="5400000" swAng="-5400000"/>
                                <a:lnTo>
                                  <a:pt x="1904"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Sveikatos apsaugos ministerija (valdytoja)</w:t>
                              </w:r>
                            </w:p>
                          </w:txbxContent>
                        </wps:txbx>
                        <wps:bodyPr anchor="ctr">
                          <a:noAutofit/>
                        </wps:bodyPr>
                      </wps:wsp>
                      <wps:wsp>
                        <wps:cNvPr id="20" name="Suapvalintas stačiakampis 20"/>
                        <wps:cNvSpPr/>
                        <wps:spPr>
                          <a:xfrm>
                            <a:off x="4647600" y="3097440"/>
                            <a:ext cx="1213560" cy="881280"/>
                          </a:xfrm>
                          <a:custGeom>
                            <a:avLst/>
                            <a:gdLst>
                              <a:gd name="textAreaLeft" fmla="*/ 24120 w 687960"/>
                              <a:gd name="textAreaRight" fmla="*/ 663840 w 687960"/>
                              <a:gd name="textAreaTop" fmla="*/ 24120 h 499680"/>
                              <a:gd name="textAreaBottom" fmla="*/ 475560 h 499680"/>
                            </a:gdLst>
                            <a:ahLst/>
                            <a:rect l="textAreaLeft" t="textAreaTop" r="textAreaRight" b="textAreaBottom"/>
                            <a:pathLst>
                              <a:path w="1912" h="1479">
                                <a:moveTo>
                                  <a:pt x="232" y="0"/>
                                </a:moveTo>
                                <a:arcTo wR="231.5" hR="231.5" stAng="16200000" swAng="-5400000"/>
                                <a:lnTo>
                                  <a:pt x="0" y="1158"/>
                                </a:lnTo>
                                <a:arcTo wR="231.5" hR="231.5" stAng="10800000" swAng="-5400000"/>
                                <a:lnTo>
                                  <a:pt x="1681" y="1389"/>
                                </a:lnTo>
                                <a:arcTo wR="231.5" hR="231.5" stAng="5400000" swAng="-5400000"/>
                                <a:lnTo>
                                  <a:pt x="1912"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Kiti duomenų gavėjai</w:t>
                              </w:r>
                            </w:p>
                          </w:txbxContent>
                        </wps:txbx>
                        <wps:bodyPr anchor="ctr">
                          <a:noAutofit/>
                        </wps:bodyPr>
                      </wps:wsp>
                      <wps:wsp>
                        <wps:cNvPr id="21" name="Tiesioji rodyklės jungtis 16"/>
                        <wps:cNvSpPr/>
                        <wps:spPr>
                          <a:xfrm flipV="1">
                            <a:off x="894600" y="2600280"/>
                            <a:ext cx="987480" cy="47700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22" name="Tiesioji rodyklės jungtis 23"/>
                        <wps:cNvSpPr/>
                        <wps:spPr>
                          <a:xfrm flipH="1">
                            <a:off x="1246680" y="2729880"/>
                            <a:ext cx="835200" cy="40752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23" name="Tiesioji rodyklės jungtis 25"/>
                        <wps:cNvSpPr/>
                        <wps:spPr>
                          <a:xfrm>
                            <a:off x="2475720" y="2729880"/>
                            <a:ext cx="720" cy="35352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24" name="Tiesioji rodyklės jungtis 26"/>
                        <wps:cNvSpPr/>
                        <wps:spPr>
                          <a:xfrm>
                            <a:off x="3656880" y="2601000"/>
                            <a:ext cx="1042560" cy="495360"/>
                          </a:xfrm>
                          <a:prstGeom prst="straightConnector1">
                            <a:avLst/>
                          </a:prstGeom>
                          <a:noFill/>
                          <a:ln w="9528">
                            <a:solidFill>
                              <a:srgbClr val="000000"/>
                            </a:solidFill>
                            <a:round/>
                            <a:tailEnd len="med" type="arrow" w="med"/>
                          </a:ln>
                        </wps:spPr>
                        <wps:style>
                          <a:lnRef idx="0"/>
                          <a:fillRef idx="0"/>
                          <a:effectRef idx="0"/>
                          <a:fontRef idx="minor"/>
                        </wps:style>
                        <wps:bodyPr/>
                      </wps:wsp>
                      <wps:wsp>
                        <wps:cNvPr id="25" name="Suapvalintas stačiakampis 19"/>
                        <wps:cNvSpPr/>
                        <wps:spPr>
                          <a:xfrm>
                            <a:off x="3142440" y="3134520"/>
                            <a:ext cx="1207800" cy="881280"/>
                          </a:xfrm>
                          <a:custGeom>
                            <a:avLst/>
                            <a:gdLst>
                              <a:gd name="textAreaLeft" fmla="*/ 24120 w 684720"/>
                              <a:gd name="textAreaRight" fmla="*/ 660600 w 684720"/>
                              <a:gd name="textAreaTop" fmla="*/ 24120 h 499680"/>
                              <a:gd name="textAreaBottom" fmla="*/ 475560 h 499680"/>
                            </a:gdLst>
                            <a:ahLst/>
                            <a:rect l="textAreaLeft" t="textAreaTop" r="textAreaRight" b="textAreaBottom"/>
                            <a:pathLst>
                              <a:path w="1903" h="1479">
                                <a:moveTo>
                                  <a:pt x="232" y="0"/>
                                </a:moveTo>
                                <a:arcTo wR="231.5" hR="231.5" stAng="16200000" swAng="-5400000"/>
                                <a:lnTo>
                                  <a:pt x="0" y="1158"/>
                                </a:lnTo>
                                <a:arcTo wR="231.5" hR="231.5" stAng="10800000" swAng="-5400000"/>
                                <a:lnTo>
                                  <a:pt x="1672" y="1389"/>
                                </a:lnTo>
                                <a:arcTo wR="231.5" hR="231.5" stAng="5400000" swAng="-5400000"/>
                                <a:lnTo>
                                  <a:pt x="1903"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Specialiųjų tyrimų tarnyba</w:t>
                              </w:r>
                            </w:p>
                          </w:txbxContent>
                        </wps:txbx>
                        <wps:bodyPr anchor="ctr">
                          <a:noAutofit/>
                        </wps:bodyPr>
                      </wps:wsp>
                    </wpg:wgp>
                  </a:graphicData>
                </a:graphic>
              </wp:anchor>
            </w:drawing>
          </mc:Choice>
          <mc:Fallback>
            <w:pict>
              <v:group id="shape_0" alt="Grupė 27" style="position:absolute;margin-left:3.75pt;margin-top:4.95pt;width:468.95pt;height:316.25pt" coordorigin="75,99" coordsize="9379,6325">
                <v:shapetype id="_x0000_t32" coordsize="21600,21600" o:spt="32" path="m,l21600,21600nfe">
                  <v:stroke joinstyle="miter"/>
                  <v:path gradientshapeok="t" o:connecttype="rect" textboxrect="0,0,21600,21600"/>
                </v:shapetype>
                <v:shape id="shape_0" ID="Tiesioji rodyklės jungtis 15" path="m0,0l-2147483648,-2147483647e" stroked="t" o:allowincell="f" style="position:absolute;left:2039;top:2922;width:897;height:0;mso-wrap-style:none;v-text-anchor:middle" type="_x0000_t32">
                  <v:fill o:detectmouseclick="t" on="false"/>
                  <v:stroke color="black" weight="9360" endarrow="open" endarrowwidth="medium" endarrowlength="medium" joinstyle="round" endcap="flat"/>
                  <w10:wrap type="none"/>
                </v:shape>
                <v:shape id="shape_0" ID="Tiesioji rodyklės jungtis 14" path="m0,0l-2147483648,-2147483647e" stroked="t" o:allowincell="f" style="position:absolute;left:1080;top:3558;width:0;height:1405;flip:y;mso-wrap-style:none;v-text-anchor:middle" type="_x0000_t32">
                  <v:fill o:detectmouseclick="t" on="false"/>
                  <v:stroke color="black" weight="9360" endarrow="open" endarrowwidth="medium" endarrowlength="medium" joinstyle="round" endcap="flat"/>
                  <w10:wrap type="none"/>
                </v:shape>
                <v:shape id="shape_0" ID="Tiesioji rodyklės jungtis 18" path="m0,0l-2147483648,-2147483647e" stroked="t" o:allowincell="f" style="position:absolute;left:2038;top:1383;width:1159;height:871;mso-wrap-style:none;v-text-anchor:middle" type="_x0000_t32">
                  <v:fill o:detectmouseclick="t" on="false"/>
                  <v:stroke color="black" weight="9360" endarrow="open" endarrowwidth="medium" endarrowlength="medium" joinstyle="round" endcap="flat"/>
                  <w10:wrap type="none"/>
                </v:shape>
                <v:shape id="shape_0" ID="Tiesioji rodyklės jungtis 19" path="m0,0l-2147483648,-2147483647e" stroked="t" o:allowincell="f" style="position:absolute;left:3839;top:1503;width:0;height:718;mso-wrap-style:none;v-text-anchor:middle" type="_x0000_t32">
                  <v:fill o:detectmouseclick="t" on="false"/>
                  <v:stroke color="black" weight="9360" endarrow="open" endarrowwidth="medium" endarrowlength="medium" joinstyle="round" endcap="flat"/>
                  <w10:wrap type="none"/>
                </v:shape>
                <v:shape id="shape_0" ID="Tiesioji rodyklės jungtis 20" path="m0,0l-2147483648,-2147483647e" stroked="t" o:allowincell="f" style="position:absolute;left:5294;top:1532;width:0;height:694;mso-wrap-style:none;v-text-anchor:middle" type="_x0000_t32">
                  <v:fill o:detectmouseclick="t" on="false"/>
                  <v:stroke color="black" weight="9360" endarrow="open" endarrowwidth="medium" endarrowlength="medium" joinstyle="round" endcap="flat"/>
                  <w10:wrap type="none"/>
                </v:shape>
                <v:shape id="shape_0" ID="Tiesioji rodyklės jungtis 21" path="m0,0l-2147483648,-2147483647e" stroked="t" o:allowincell="f" style="position:absolute;left:5764;top:1383;width:1508;height:985;flip:x;mso-wrap-style:none;v-text-anchor:middle" type="_x0000_t32">
                  <v:fill o:detectmouseclick="t" on="false"/>
                  <v:stroke color="black" weight="9360" endarrow="open" endarrowwidth="medium" endarrowlength="medium" joinstyle="round" endcap="flat"/>
                  <w10:wrap type="none"/>
                </v:shape>
                <v:shape id="shape_0" ID="Tiesioji rodyklės jungtis 22" path="m0,0l-2147483648,-2147483647e" stroked="t" o:allowincell="f" style="position:absolute;left:6002;top:3723;width:1009;height:0;flip:x;mso-wrap-style:none;v-text-anchor:middle" type="_x0000_t32">
                  <v:fill o:detectmouseclick="t" on="false"/>
                  <v:stroke color="black" weight="9360" endarrow="open" endarrowwidth="medium" endarrowlength="medium" joinstyle="round" endcap="flat"/>
                  <w10:wrap type="none"/>
                </v:shape>
                <v:shape id="shape_0" ID="Tiesioji rodyklės jungtis 24" path="m0,0l-2147483648,-2147483647e" stroked="t" o:allowincell="f" style="position:absolute;left:2069;top:3168;width:897;height:0;flip:x;mso-wrap-style:none;v-text-anchor:middle" type="_x0000_t32">
                  <v:fill o:detectmouseclick="t" on="false"/>
                  <v:stroke color="black" weight="9360" endarrow="open" endarrowwidth="medium" endarrowlength="medium" joinstyle="round" endcap="flat"/>
                  <w10:wrap type="none"/>
                </v:shape>
                <v:shape id="shape_0" ID="Tiesioji rodyklės jungtis 17" path="m0,0l-2147483648,-2147483647e" stroked="t" o:allowincell="f" style="position:absolute;left:795;top:3631;width:0;height:1315;mso-wrap-style:none;v-text-anchor:middle" type="_x0000_t32">
                  <v:fill o:detectmouseclick="t" on="false"/>
                  <v:stroke color="black" weight="9360" endarrow="open" endarrowwidth="medium" endarrowlength="medium" joinstyle="round" endcap="flat"/>
                  <w10:wrap type="none"/>
                </v:shape>
                <v:shape id="shape_0" ID="Tiesioji rodyklės jungtis 16" path="m0,0l-2147483648,-2147483647e" stroked="t" o:allowincell="f" style="position:absolute;left:1484;top:4194;width:1554;height:750;flip:y;mso-wrap-style:none;v-text-anchor:middle" type="_x0000_t32">
                  <v:fill o:detectmouseclick="t" on="false"/>
                  <v:stroke color="black" weight="9360" endarrow="open" endarrowwidth="medium" endarrowlength="medium" joinstyle="round" endcap="flat"/>
                  <w10:wrap type="none"/>
                </v:shape>
                <v:shape id="shape_0" ID="Tiesioji rodyklės jungtis 23" path="m0,0l-2147483648,-2147483647e" stroked="t" o:allowincell="f" style="position:absolute;left:2038;top:4398;width:1314;height:641;flip:x;mso-wrap-style:none;v-text-anchor:middle" type="_x0000_t32">
                  <v:fill o:detectmouseclick="t" on="false"/>
                  <v:stroke color="black" weight="9360" endarrow="open" endarrowwidth="medium" endarrowlength="medium" joinstyle="round" endcap="flat"/>
                  <w10:wrap type="none"/>
                </v:shape>
                <v:shape id="shape_0" ID="Tiesioji rodyklės jungtis 25" path="m0,0l-2147483648,-2147483647e" stroked="t" o:allowincell="f" style="position:absolute;left:3974;top:4398;width:0;height:556;mso-wrap-style:none;v-text-anchor:middle" type="_x0000_t32">
                  <v:fill o:detectmouseclick="t" on="false"/>
                  <v:stroke color="black" weight="9360" endarrow="open" endarrowwidth="medium" endarrowlength="medium" joinstyle="round" endcap="flat"/>
                  <w10:wrap type="none"/>
                </v:shape>
                <v:shape id="shape_0" ID="Tiesioji rodyklės jungtis 26" path="m0,0l-2147483648,-2147483647e" stroked="t" o:allowincell="f" style="position:absolute;left:5834;top:4195;width:1641;height:779;mso-wrap-style:none;v-text-anchor:middle" type="_x0000_t32">
                  <v:fill o:detectmouseclick="t" on="false"/>
                  <v:stroke color="black" weight="9360" endarrow="open" endarrowwidth="medium" endarrowlength="medium" joinstyle="round" endcap="flat"/>
                  <w10:wrap type="none"/>
                </v:shape>
              </v:group>
            </w:pict>
          </mc:Fallback>
        </mc:AlternateContent>
        <mc:AlternateContent>
          <mc:Choice Requires="wps">
            <w:drawing>
              <wp:anchor behindDoc="0" distT="0" distB="13970" distL="0" distR="10795" simplePos="0" locked="0" layoutInCell="1" allowOverlap="1" relativeHeight="28" wp14:anchorId="12A78F86">
                <wp:simplePos x="0" y="0"/>
                <wp:positionH relativeFrom="column">
                  <wp:posOffset>4616450</wp:posOffset>
                </wp:positionH>
                <wp:positionV relativeFrom="paragraph">
                  <wp:posOffset>1089025</wp:posOffset>
                </wp:positionV>
                <wp:extent cx="1209040" cy="881380"/>
                <wp:effectExtent l="13335" t="13335" r="13335" b="13335"/>
                <wp:wrapNone/>
                <wp:docPr id="26" name="Suapvalintas stačiakampis 19"/>
                <a:graphic xmlns:a="http://schemas.openxmlformats.org/drawingml/2006/main">
                  <a:graphicData uri="http://schemas.microsoft.com/office/word/2010/wordprocessingShape">
                    <wps:wsp>
                      <wps:cNvSpPr/>
                      <wps:spPr>
                        <a:xfrm>
                          <a:off x="0" y="0"/>
                          <a:ext cx="1208880" cy="881280"/>
                        </a:xfrm>
                        <a:custGeom>
                          <a:avLst/>
                          <a:gdLst>
                            <a:gd name="textAreaLeft" fmla="*/ 24120 w 685440"/>
                            <a:gd name="textAreaRight" fmla="*/ 661320 w 685440"/>
                            <a:gd name="textAreaTop" fmla="*/ 24120 h 499680"/>
                            <a:gd name="textAreaBottom" fmla="*/ 475560 h 499680"/>
                          </a:gdLst>
                          <a:ahLst/>
                          <a:rect l="textAreaLeft" t="textAreaTop" r="textAreaRight" b="textAreaBottom"/>
                          <a:pathLst>
                            <a:path w="1905" h="1479">
                              <a:moveTo>
                                <a:pt x="232" y="0"/>
                              </a:moveTo>
                              <a:arcTo wR="231.5" hR="231.5" stAng="16200000" swAng="-5400000"/>
                              <a:lnTo>
                                <a:pt x="0" y="1158"/>
                              </a:lnTo>
                              <a:arcTo wR="231.5" hR="231.5" stAng="10800000" swAng="-5400000"/>
                              <a:lnTo>
                                <a:pt x="1674" y="1389"/>
                              </a:lnTo>
                              <a:arcTo wR="231.5" hR="231.5" stAng="5400000" swAng="-5400000"/>
                              <a:lnTo>
                                <a:pt x="1905" y="232"/>
                              </a:lnTo>
                              <a:arcTo wR="231.5" hR="231.5" stAng="0" swAng="-5400000"/>
                              <a:close/>
                            </a:path>
                          </a:pathLst>
                        </a:custGeom>
                        <a:solidFill>
                          <a:srgbClr val="a3dbff"/>
                        </a:solidFill>
                        <a:ln w="25402">
                          <a:solidFill>
                            <a:srgbClr val="000000"/>
                          </a:solidFill>
                          <a:round/>
                        </a:ln>
                      </wps:spPr>
                      <wps:style>
                        <a:lnRef idx="0"/>
                        <a:fillRef idx="0"/>
                        <a:effectRef idx="0"/>
                        <a:fontRef idx="minor"/>
                      </wps:style>
                      <wps:txbx>
                        <w:txbxContent>
                          <w:p>
                            <w:pPr>
                              <w:pStyle w:val="NormalWeb"/>
                              <w:spacing w:beforeAutospacing="0" w:before="0" w:afterAutospacing="0" w:after="0"/>
                              <w:jc w:val="center"/>
                              <w:rPr/>
                            </w:pPr>
                            <w:r>
                              <w:rPr>
                                <w:color w:val="000000"/>
                                <w:kern w:val="2"/>
                              </w:rPr>
                              <w:t>Kompetencijų platforma</w:t>
                            </w:r>
                          </w:p>
                        </w:txbxContent>
                      </wps:txbx>
                      <wps:bodyPr anchor="ctr">
                        <a:noAutofit/>
                      </wps:bodyPr>
                    </wps:wsp>
                  </a:graphicData>
                </a:graphic>
              </wp:anchor>
            </w:drawing>
          </mc:Choice>
          <mc:Fallback>
            <w:pict/>
          </mc:Fallback>
        </mc:AlternateContent>
        <mc:AlternateContent>
          <mc:Choice Requires="wps">
            <w:drawing>
              <wp:anchor behindDoc="0" distT="0" distB="0" distL="0" distR="0" simplePos="0" locked="0" layoutInCell="1" allowOverlap="1" relativeHeight="30" wp14:anchorId="5FB694BA">
                <wp:simplePos x="0" y="0"/>
                <wp:positionH relativeFrom="column">
                  <wp:posOffset>3550920</wp:posOffset>
                </wp:positionH>
                <wp:positionV relativeFrom="paragraph">
                  <wp:posOffset>2780030</wp:posOffset>
                </wp:positionV>
                <wp:extent cx="635" cy="353695"/>
                <wp:effectExtent l="43815" t="5715" r="44450" b="0"/>
                <wp:wrapNone/>
                <wp:docPr id="27" name="Tiesioji rodyklės jungtis 25"/>
                <a:graphic xmlns:a="http://schemas.openxmlformats.org/drawingml/2006/main">
                  <a:graphicData uri="http://schemas.microsoft.com/office/word/2010/wordprocessingShape">
                    <wps:wsp>
                      <wps:cNvSpPr/>
                      <wps:spPr>
                        <a:xfrm>
                          <a:off x="0" y="0"/>
                          <a:ext cx="720" cy="353520"/>
                        </a:xfrm>
                        <a:prstGeom prst="straightConnector1">
                          <a:avLst/>
                        </a:prstGeom>
                        <a:noFill/>
                        <a:ln w="9528">
                          <a:solidFill>
                            <a:srgbClr val="000000"/>
                          </a:solidFill>
                          <a:round/>
                          <a:tailEnd len="med" type="arrow" w="med"/>
                        </a:ln>
                      </wps:spPr>
                      <wps:style>
                        <a:lnRef idx="0"/>
                        <a:fillRef idx="0"/>
                        <a:effectRef idx="0"/>
                        <a:fontRef idx="minor"/>
                      </wps:style>
                      <wps:bodyPr/>
                    </wps:wsp>
                  </a:graphicData>
                </a:graphic>
              </wp:anchor>
            </w:drawing>
          </mc:Choice>
          <mc:Fallback>
            <w:pict>
              <v:shape id="shape_0" ID="Tiesioji rodyklės jungtis 25" path="m0,0l-2147483648,-2147483647e" stroked="t" o:allowincell="f" style="position:absolute;margin-left:279.6pt;margin-top:218.9pt;width:0pt;height:27.8pt;mso-wrap-style:none;v-text-anchor:middle" wp14:anchorId="5FB694BA" type="_x0000_t32">
                <v:fill o:detectmouseclick="t" on="false"/>
                <v:stroke color="black" weight="9360" endarrow="open" endarrowwidth="medium" endarrowlength="medium" joinstyle="round" endcap="flat"/>
                <w10:wrap type="none"/>
              </v:shape>
            </w:pict>
          </mc:Fallback>
        </mc:AlternateContent>
        <mc:AlternateContent>
          <mc:Choice Requires="wps">
            <w:drawing>
              <wp:anchor behindDoc="0" distT="38100" distB="107315" distL="38100" distR="26035" simplePos="0" locked="0" layoutInCell="1" allowOverlap="1" relativeHeight="31" wp14:anchorId="49B4C4FC">
                <wp:simplePos x="0" y="0"/>
                <wp:positionH relativeFrom="column">
                  <wp:posOffset>3904615</wp:posOffset>
                </wp:positionH>
                <wp:positionV relativeFrom="paragraph">
                  <wp:posOffset>1602105</wp:posOffset>
                </wp:positionV>
                <wp:extent cx="716915" cy="45720"/>
                <wp:effectExtent l="635" t="5080" r="5080" b="40005"/>
                <wp:wrapNone/>
                <wp:docPr id="28" name="Tiesioji rodyklės jungtis 22"/>
                <a:graphic xmlns:a="http://schemas.openxmlformats.org/drawingml/2006/main">
                  <a:graphicData uri="http://schemas.microsoft.com/office/word/2010/wordprocessingShape">
                    <wps:wsp>
                      <wps:cNvSpPr/>
                      <wps:spPr>
                        <a:xfrm flipH="1">
                          <a:off x="0" y="0"/>
                          <a:ext cx="716760" cy="45720"/>
                        </a:xfrm>
                        <a:prstGeom prst="straightConnector1">
                          <a:avLst/>
                        </a:prstGeom>
                        <a:noFill/>
                        <a:ln w="9528">
                          <a:solidFill>
                            <a:srgbClr val="000000"/>
                          </a:solidFill>
                          <a:round/>
                          <a:tailEnd len="med" type="arrow" w="med"/>
                        </a:ln>
                      </wps:spPr>
                      <wps:style>
                        <a:lnRef idx="0"/>
                        <a:fillRef idx="0"/>
                        <a:effectRef idx="0"/>
                        <a:fontRef idx="minor"/>
                      </wps:style>
                      <wps:bodyPr/>
                    </wps:wsp>
                  </a:graphicData>
                </a:graphic>
              </wp:anchor>
            </w:drawing>
          </mc:Choice>
          <mc:Fallback>
            <w:pict>
              <v:shape id="shape_0" ID="Tiesioji rodyklės jungtis 22" path="m0,0l-2147483648,-2147483647e" stroked="t" o:allowincell="f" style="position:absolute;margin-left:307.45pt;margin-top:126.15pt;width:56.4pt;height:3.55pt;flip:x;mso-wrap-style:none;v-text-anchor:middle" wp14:anchorId="49B4C4FC" type="_x0000_t32">
                <v:fill o:detectmouseclick="t" on="false"/>
                <v:stroke color="black" weight="9360" endarrow="open" endarrowwidth="medium" endarrowlength="medium" joinstyle="round" endcap="flat"/>
                <w10:wrap type="none"/>
              </v:shape>
            </w:pict>
          </mc:Fallback>
        </mc:AlternateContent>
        <mc:AlternateContent>
          <mc:Choice Requires="wps">
            <w:drawing>
              <wp:anchor behindDoc="0" distT="76200" distB="69215" distL="0" distR="9525" simplePos="0" locked="0" layoutInCell="1" allowOverlap="1" relativeHeight="32" wp14:anchorId="29ADCBD2">
                <wp:simplePos x="0" y="0"/>
                <wp:positionH relativeFrom="column">
                  <wp:posOffset>3902710</wp:posOffset>
                </wp:positionH>
                <wp:positionV relativeFrom="paragraph">
                  <wp:posOffset>1798320</wp:posOffset>
                </wp:positionV>
                <wp:extent cx="715010" cy="45720"/>
                <wp:effectExtent l="5080" t="40005" r="635" b="5080"/>
                <wp:wrapNone/>
                <wp:docPr id="29" name="Tiesioji rodyklės jungtis 15"/>
                <a:graphic xmlns:a="http://schemas.openxmlformats.org/drawingml/2006/main">
                  <a:graphicData uri="http://schemas.microsoft.com/office/word/2010/wordprocessingShape">
                    <wps:wsp>
                      <wps:cNvSpPr/>
                      <wps:spPr>
                        <a:xfrm flipV="1">
                          <a:off x="0" y="0"/>
                          <a:ext cx="714960" cy="45720"/>
                        </a:xfrm>
                        <a:prstGeom prst="straightConnector1">
                          <a:avLst/>
                        </a:prstGeom>
                        <a:noFill/>
                        <a:ln w="9528">
                          <a:solidFill>
                            <a:srgbClr val="000000"/>
                          </a:solidFill>
                          <a:round/>
                          <a:tailEnd len="med" type="arrow" w="med"/>
                        </a:ln>
                      </wps:spPr>
                      <wps:style>
                        <a:lnRef idx="0"/>
                        <a:fillRef idx="0"/>
                        <a:effectRef idx="0"/>
                        <a:fontRef idx="minor"/>
                      </wps:style>
                      <wps:bodyPr/>
                    </wps:wsp>
                  </a:graphicData>
                </a:graphic>
              </wp:anchor>
            </w:drawing>
          </mc:Choice>
          <mc:Fallback>
            <w:pict>
              <v:shape id="shape_0" ID="Tiesioji rodyklės jungtis 15" path="m0,0l-2147483648,-2147483647e" stroked="t" o:allowincell="f" style="position:absolute;margin-left:307.3pt;margin-top:141.6pt;width:56.25pt;height:3.55pt;flip:y;mso-wrap-style:none;v-text-anchor:middle" wp14:anchorId="29ADCBD2" type="_x0000_t32">
                <v:fill o:detectmouseclick="t" on="false"/>
                <v:stroke color="black" weight="9360" endarrow="open" endarrowwidth="medium" endarrowlength="medium" joinstyle="round" endcap="flat"/>
                <w10:wrap type="none"/>
              </v:shape>
            </w:pict>
          </mc:Fallback>
        </mc:AlternateContent>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Normal"/>
        <w:spacing w:lineRule="auto" w:line="240" w:before="0" w:after="0"/>
        <w:ind w:firstLine="567"/>
        <w:jc w:val="both"/>
        <w:rPr>
          <w:szCs w:val="24"/>
        </w:rPr>
      </w:pPr>
      <w:r>
        <w:rPr>
          <w:szCs w:val="24"/>
        </w:rPr>
      </w:r>
    </w:p>
    <w:p>
      <w:pPr>
        <w:pStyle w:val="Caption1"/>
        <w:spacing w:lineRule="auto" w:line="240" w:beforeAutospacing="0" w:before="0" w:afterAutospacing="0" w:after="0"/>
        <w:ind w:right="0"/>
        <w:jc w:val="center"/>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709" w:leader="none"/>
        </w:tabs>
        <w:spacing w:lineRule="auto" w:line="240" w:before="0" w:after="0"/>
        <w:ind w:firstLine="720"/>
        <w:rPr>
          <w:szCs w:val="24"/>
        </w:rPr>
      </w:pPr>
      <w:r>
        <w:rPr>
          <w:szCs w:val="24"/>
        </w:rPr>
        <w:t xml:space="preserve">6. Paslaugų teikimo vieta – Studentų g. 45A, 08107 Vilnius. </w:t>
      </w:r>
    </w:p>
    <w:p>
      <w:pPr>
        <w:pStyle w:val="Normal"/>
        <w:tabs>
          <w:tab w:val="clear" w:pos="720"/>
          <w:tab w:val="left" w:pos="709" w:leader="none"/>
        </w:tabs>
        <w:spacing w:lineRule="auto" w:line="240" w:before="0" w:after="0"/>
        <w:ind w:firstLine="720"/>
        <w:rPr>
          <w:szCs w:val="24"/>
        </w:rPr>
      </w:pPr>
      <w:r>
        <w:rPr>
          <w:szCs w:val="24"/>
        </w:rPr>
        <w:t>7. Perkančioji organizacija ir Paslaugų teikėjas privalės pasirašyti konfidencialumo susitarimą dėl informacijos apie prižiūrimos sistemos konfigūraciją, autentifikacijos būdus ir turinio ne viešinimo.</w:t>
      </w:r>
    </w:p>
    <w:p>
      <w:pPr>
        <w:pStyle w:val="Normal"/>
        <w:spacing w:lineRule="auto" w:line="240" w:before="0" w:after="0"/>
        <w:jc w:val="center"/>
        <w:rPr>
          <w:b/>
          <w:caps/>
          <w:szCs w:val="24"/>
        </w:rPr>
      </w:pPr>
      <w:r>
        <w:rPr>
          <w:b/>
          <w:caps/>
          <w:szCs w:val="24"/>
        </w:rPr>
      </w:r>
    </w:p>
    <w:p>
      <w:pPr>
        <w:pStyle w:val="Normal"/>
        <w:spacing w:lineRule="auto" w:line="240" w:before="0" w:after="0"/>
        <w:jc w:val="center"/>
        <w:rPr>
          <w:b/>
          <w:caps/>
          <w:szCs w:val="24"/>
        </w:rPr>
      </w:pPr>
      <w:r>
        <w:rPr>
          <w:b/>
          <w:caps/>
          <w:szCs w:val="24"/>
        </w:rPr>
        <w:t>II. PASLAUGŲ APIMTYS</w:t>
      </w:r>
    </w:p>
    <w:p>
      <w:pPr>
        <w:pStyle w:val="Normal"/>
        <w:spacing w:lineRule="auto" w:line="240" w:before="0" w:after="0"/>
        <w:ind w:firstLine="709"/>
        <w:rPr>
          <w:szCs w:val="24"/>
        </w:rPr>
      </w:pPr>
      <w:r>
        <w:rPr>
          <w:bCs/>
          <w:szCs w:val="24"/>
        </w:rPr>
        <w:t>8. VSPSR</w:t>
      </w:r>
      <w:r>
        <w:rPr>
          <w:szCs w:val="24"/>
        </w:rPr>
        <w:t xml:space="preserve"> palaikymo p</w:t>
      </w:r>
      <w:r>
        <w:rPr>
          <w:szCs w:val="24"/>
          <w:lang w:val="tg-Cyrl-TJ"/>
        </w:rPr>
        <w:t>aslauga apima</w:t>
      </w:r>
      <w:r>
        <w:rPr>
          <w:szCs w:val="24"/>
        </w:rPr>
        <w:t>:</w:t>
      </w:r>
    </w:p>
    <w:p>
      <w:pPr>
        <w:pStyle w:val="Normal"/>
        <w:tabs>
          <w:tab w:val="clear" w:pos="720"/>
          <w:tab w:val="left" w:pos="709" w:leader="none"/>
        </w:tabs>
        <w:spacing w:lineRule="auto" w:line="240" w:before="0" w:after="0"/>
        <w:jc w:val="both"/>
        <w:rPr>
          <w:szCs w:val="24"/>
        </w:rPr>
      </w:pPr>
      <w:r>
        <w:rPr>
          <w:bCs/>
          <w:szCs w:val="24"/>
        </w:rPr>
        <w:tab/>
        <w:t>8.1. VSPSR</w:t>
      </w:r>
      <w:r>
        <w:rPr>
          <w:szCs w:val="24"/>
          <w:lang w:val="tg-Cyrl-TJ"/>
        </w:rPr>
        <w:t xml:space="preserve"> taikomosios programinės įrangos klaidų</w:t>
      </w:r>
      <w:r>
        <w:rPr>
          <w:szCs w:val="24"/>
        </w:rPr>
        <w:t xml:space="preserve"> taisymas (programa pateikia neteisingus rezultatus ir pan.) ir eksploatacijos metu </w:t>
      </w:r>
      <w:r>
        <w:rPr>
          <w:szCs w:val="24"/>
          <w:lang w:val="tg-Cyrl-TJ"/>
        </w:rPr>
        <w:t>paaiškėjusių</w:t>
      </w:r>
      <w:r>
        <w:rPr>
          <w:szCs w:val="24"/>
        </w:rPr>
        <w:t xml:space="preserve"> </w:t>
      </w:r>
      <w:r>
        <w:rPr>
          <w:szCs w:val="24"/>
          <w:lang w:val="tg-Cyrl-TJ"/>
        </w:rPr>
        <w:t xml:space="preserve">programinės įrangos neatitikimų projektinei dokumentacijai </w:t>
      </w:r>
      <w:r>
        <w:rPr>
          <w:szCs w:val="24"/>
        </w:rPr>
        <w:t>šalinimas</w:t>
      </w:r>
      <w:r>
        <w:rPr>
          <w:szCs w:val="24"/>
          <w:lang w:val="tg-Cyrl-TJ"/>
        </w:rPr>
        <w:t>;</w:t>
      </w:r>
    </w:p>
    <w:p>
      <w:pPr>
        <w:pStyle w:val="Normal"/>
        <w:tabs>
          <w:tab w:val="clear" w:pos="720"/>
          <w:tab w:val="left" w:pos="709" w:leader="none"/>
        </w:tabs>
        <w:spacing w:lineRule="auto" w:line="240" w:before="0" w:after="0"/>
        <w:jc w:val="both"/>
        <w:rPr>
          <w:szCs w:val="24"/>
        </w:rPr>
      </w:pPr>
      <w:r>
        <w:rPr>
          <w:szCs w:val="24"/>
        </w:rPr>
        <w:tab/>
        <w:t>8.2. VSPSR</w:t>
      </w:r>
      <w:r>
        <w:rPr>
          <w:szCs w:val="24"/>
          <w:lang w:val="tg-Cyrl-TJ"/>
        </w:rPr>
        <w:t xml:space="preserve"> darbingumo atstatymą, įvykus duomenų bazės ar atskirų jos komponentų funkcionavimo sutrikimams dėl </w:t>
      </w:r>
      <w:r>
        <w:rPr>
          <w:szCs w:val="24"/>
        </w:rPr>
        <w:t>VSPSR</w:t>
      </w:r>
      <w:r>
        <w:rPr>
          <w:szCs w:val="24"/>
          <w:lang w:val="tg-Cyrl-TJ"/>
        </w:rPr>
        <w:t xml:space="preserve"> </w:t>
      </w:r>
      <w:r>
        <w:rPr>
          <w:szCs w:val="24"/>
        </w:rPr>
        <w:t>p</w:t>
      </w:r>
      <w:r>
        <w:rPr>
          <w:szCs w:val="24"/>
          <w:lang w:val="tg-Cyrl-TJ"/>
        </w:rPr>
        <w:t xml:space="preserve">rograminės įrangos klaidų ar dėl aplikacijų serverio </w:t>
      </w:r>
      <w:r>
        <w:rPr>
          <w:szCs w:val="24"/>
        </w:rPr>
        <w:t xml:space="preserve">IIS </w:t>
      </w:r>
      <w:r>
        <w:rPr>
          <w:szCs w:val="24"/>
          <w:lang w:val="tg-Cyrl-TJ"/>
        </w:rPr>
        <w:t>sutrikimų</w:t>
      </w:r>
      <w:r>
        <w:rPr>
          <w:szCs w:val="24"/>
        </w:rPr>
        <w:t>.</w:t>
      </w:r>
    </w:p>
    <w:p>
      <w:pPr>
        <w:pStyle w:val="ListParagraph"/>
        <w:numPr>
          <w:ilvl w:val="0"/>
          <w:numId w:val="16"/>
        </w:numPr>
        <w:spacing w:lineRule="auto" w:line="240" w:before="0" w:after="0"/>
        <w:ind w:firstLine="720" w:left="0"/>
        <w:contextualSpacing/>
        <w:jc w:val="both"/>
        <w:rPr>
          <w:szCs w:val="24"/>
        </w:rPr>
      </w:pPr>
      <w:r>
        <w:rPr>
          <w:szCs w:val="24"/>
        </w:rPr>
        <w:t xml:space="preserve">9. </w:t>
      </w:r>
      <w:r>
        <w:rPr/>
        <w:t xml:space="preserve">Perkančioji organizacija numato tokią maksimalią paslaugos apimtį: 2025 m. ne daugiau nei 84 valandos, 2026 m. ne daugiau nei 84 valandos ir 2027 m. ne daugiau nei 84 valandos. </w:t>
      </w:r>
      <w:r>
        <w:rPr>
          <w:szCs w:val="24"/>
        </w:rPr>
        <w:t xml:space="preserve">Planuojama preliminari paslaugų apimtis per mėnesį –7 valandos. Perkančioji organizacija neįsipareigoja išnaudoti </w:t>
      </w:r>
      <w:r>
        <w:rPr/>
        <w:t>100 procentų</w:t>
      </w:r>
      <w:r>
        <w:rPr>
          <w:szCs w:val="24"/>
        </w:rPr>
        <w:t xml:space="preserve"> numatytų valandų. </w:t>
      </w:r>
    </w:p>
    <w:p>
      <w:pPr>
        <w:pStyle w:val="Normal"/>
        <w:spacing w:lineRule="auto" w:line="240" w:before="0" w:after="0"/>
        <w:ind w:firstLine="720"/>
        <w:jc w:val="both"/>
        <w:rPr>
          <w:szCs w:val="24"/>
        </w:rPr>
      </w:pPr>
      <w:r>
        <w:rPr>
          <w:szCs w:val="24"/>
        </w:rPr>
        <w:t xml:space="preserve">10. Vykdydamas </w:t>
      </w:r>
      <w:r>
        <w:rPr>
          <w:bCs/>
          <w:szCs w:val="24"/>
        </w:rPr>
        <w:t>VSPSR PĮ palaikymo darbus Paslaugų teikėjas turi</w:t>
      </w:r>
      <w:r>
        <w:rPr>
          <w:szCs w:val="24"/>
        </w:rPr>
        <w:t xml:space="preserve"> palaikyti aktualiame stovyje Perkančiosios organizacijos pateiktoje kompiuterinėje techninėje įrangoje sistemų testavimo bei etaloninę aplinkas.</w:t>
      </w:r>
    </w:p>
    <w:p>
      <w:pPr>
        <w:pStyle w:val="Normal"/>
        <w:spacing w:lineRule="auto" w:line="240" w:before="0" w:after="0"/>
        <w:ind w:firstLine="720"/>
        <w:jc w:val="center"/>
        <w:rPr>
          <w:b/>
          <w:szCs w:val="24"/>
        </w:rPr>
      </w:pPr>
      <w:r>
        <w:rPr>
          <w:b/>
          <w:szCs w:val="24"/>
        </w:rPr>
        <w:t>III. PASLAUGŲ TEIKIMO LAIKAS IR KALBA</w:t>
      </w:r>
    </w:p>
    <w:p>
      <w:pPr>
        <w:pStyle w:val="Normal"/>
        <w:spacing w:lineRule="auto" w:line="240" w:before="0" w:after="0"/>
        <w:ind w:firstLine="720"/>
        <w:jc w:val="both"/>
        <w:rPr>
          <w:szCs w:val="24"/>
        </w:rPr>
      </w:pPr>
      <w:r>
        <w:rPr>
          <w:szCs w:val="24"/>
        </w:rPr>
        <w:t>11. Sutartis galioja iki 2027 m. gruodžio 31 d.</w:t>
      </w:r>
    </w:p>
    <w:p>
      <w:pPr>
        <w:pStyle w:val="Normal"/>
        <w:spacing w:lineRule="auto" w:line="240" w:before="0" w:after="0"/>
        <w:ind w:firstLine="720"/>
        <w:jc w:val="both"/>
        <w:rPr>
          <w:szCs w:val="24"/>
        </w:rPr>
      </w:pPr>
      <w:r>
        <w:rPr>
          <w:szCs w:val="24"/>
        </w:rPr>
        <w:t xml:space="preserve">12. </w:t>
      </w:r>
      <w:r>
        <w:rPr>
          <w:szCs w:val="24"/>
          <w:lang w:val="tg-Cyrl-TJ"/>
        </w:rPr>
        <w:t xml:space="preserve">Paslauga teikiama </w:t>
      </w:r>
      <w:r>
        <w:rPr>
          <w:szCs w:val="24"/>
          <w:lang w:val="pt-PT"/>
        </w:rPr>
        <w:t>Perkančiosios organizacijos darbo laiku.</w:t>
      </w:r>
    </w:p>
    <w:p>
      <w:pPr>
        <w:pStyle w:val="Normal"/>
        <w:spacing w:lineRule="auto" w:line="240" w:before="0" w:after="0"/>
        <w:ind w:firstLine="720"/>
        <w:jc w:val="both"/>
        <w:rPr>
          <w:szCs w:val="24"/>
        </w:rPr>
      </w:pPr>
      <w:r>
        <w:rPr>
          <w:szCs w:val="24"/>
        </w:rPr>
        <w:t xml:space="preserve">13. </w:t>
      </w:r>
      <w:r>
        <w:rPr>
          <w:szCs w:val="24"/>
          <w:lang w:val="tg-Cyrl-TJ"/>
        </w:rPr>
        <w:t>Paslaugos teikiamos ir visas bendravimas vyksta lietuvių kalba</w:t>
      </w:r>
      <w:r>
        <w:rPr>
          <w:szCs w:val="24"/>
        </w:rPr>
        <w:t>.</w:t>
      </w:r>
    </w:p>
    <w:p>
      <w:pPr>
        <w:pStyle w:val="Normal"/>
        <w:spacing w:lineRule="auto" w:line="240" w:before="0" w:after="0"/>
        <w:jc w:val="center"/>
        <w:rPr>
          <w:b/>
          <w:szCs w:val="24"/>
        </w:rPr>
      </w:pPr>
      <w:r>
        <w:rPr>
          <w:b/>
          <w:szCs w:val="24"/>
        </w:rPr>
      </w:r>
    </w:p>
    <w:p>
      <w:pPr>
        <w:pStyle w:val="Normal"/>
        <w:spacing w:lineRule="auto" w:line="240" w:before="0" w:after="0"/>
        <w:jc w:val="center"/>
        <w:rPr>
          <w:b/>
          <w:szCs w:val="24"/>
        </w:rPr>
      </w:pPr>
      <w:r>
        <w:rPr>
          <w:b/>
          <w:szCs w:val="24"/>
        </w:rPr>
        <w:t>IV. PASLAUGŲ TEIKIMO TVARKA</w:t>
      </w:r>
    </w:p>
    <w:p>
      <w:pPr>
        <w:pStyle w:val="Normal"/>
        <w:spacing w:lineRule="auto" w:line="240" w:before="0" w:after="0"/>
        <w:ind w:firstLine="720"/>
        <w:jc w:val="both"/>
        <w:rPr>
          <w:szCs w:val="24"/>
        </w:rPr>
      </w:pPr>
      <w:r>
        <w:rPr>
          <w:szCs w:val="24"/>
        </w:rPr>
        <w:t>14. Paslauga turi būti pradėta teikti per 1 darbo dieną nuo Paslaugų teikimo sutarties pasirašymo dienos.</w:t>
      </w:r>
    </w:p>
    <w:p>
      <w:pPr>
        <w:pStyle w:val="Normal"/>
        <w:spacing w:lineRule="auto" w:line="240" w:before="0" w:after="0"/>
        <w:ind w:firstLine="770"/>
        <w:jc w:val="both"/>
        <w:rPr>
          <w:szCs w:val="24"/>
        </w:rPr>
      </w:pPr>
      <w:r>
        <w:rPr>
          <w:szCs w:val="24"/>
        </w:rPr>
        <w:t>15. Per 7 dienas nuo paslaugų sutarties pasirašymo dienos turi būti parengta ir suderinta su Perkančiąja organizacija Paslaugos teikimo tvarka (angliškai – SLA „Service level agreement“).</w:t>
      </w:r>
    </w:p>
    <w:p>
      <w:pPr>
        <w:pStyle w:val="Normal"/>
        <w:spacing w:lineRule="auto" w:line="240" w:before="0" w:after="0"/>
        <w:ind w:firstLine="720"/>
        <w:jc w:val="both"/>
        <w:rPr>
          <w:szCs w:val="24"/>
        </w:rPr>
      </w:pPr>
      <w:r>
        <w:rPr>
          <w:szCs w:val="24"/>
        </w:rPr>
        <w:t>16. Paslaugos teikimo metu Paslaugų teikėjas turi užtikrinti:</w:t>
      </w:r>
    </w:p>
    <w:p>
      <w:pPr>
        <w:pStyle w:val="Normal"/>
        <w:tabs>
          <w:tab w:val="clear" w:pos="720"/>
          <w:tab w:val="left" w:pos="1440" w:leader="none"/>
        </w:tabs>
        <w:spacing w:lineRule="auto" w:line="240" w:before="0" w:after="0"/>
        <w:ind w:firstLine="709"/>
        <w:jc w:val="both"/>
        <w:rPr>
          <w:szCs w:val="24"/>
        </w:rPr>
      </w:pPr>
      <w:r>
        <w:rPr>
          <w:szCs w:val="24"/>
        </w:rPr>
        <w:t xml:space="preserve">16.1. </w:t>
      </w:r>
      <w:r>
        <w:rPr>
          <w:szCs w:val="24"/>
          <w:lang w:val="tg-Cyrl-TJ"/>
        </w:rPr>
        <w:t xml:space="preserve">centralizuotą kontaktą kreipiantis </w:t>
      </w:r>
      <w:r>
        <w:rPr>
          <w:szCs w:val="24"/>
        </w:rPr>
        <w:t xml:space="preserve">telefonu, el.paštu </w:t>
      </w:r>
      <w:r>
        <w:rPr>
          <w:szCs w:val="24"/>
          <w:lang w:val="tg-Cyrl-TJ"/>
        </w:rPr>
        <w:t xml:space="preserve">dėl Paslaugos </w:t>
      </w:r>
      <w:r>
        <w:rPr>
          <w:szCs w:val="24"/>
        </w:rPr>
        <w:t xml:space="preserve">ar jos dalies </w:t>
      </w:r>
      <w:r>
        <w:rPr>
          <w:szCs w:val="24"/>
          <w:lang w:val="tg-Cyrl-TJ"/>
        </w:rPr>
        <w:t>teikimo;</w:t>
      </w:r>
    </w:p>
    <w:p>
      <w:pPr>
        <w:pStyle w:val="Normal"/>
        <w:tabs>
          <w:tab w:val="clear" w:pos="720"/>
          <w:tab w:val="left" w:pos="1440" w:leader="none"/>
        </w:tabs>
        <w:spacing w:lineRule="auto" w:line="240" w:before="0" w:after="0"/>
        <w:ind w:firstLine="720"/>
        <w:jc w:val="both"/>
        <w:rPr>
          <w:szCs w:val="24"/>
        </w:rPr>
      </w:pPr>
      <w:r>
        <w:rPr>
          <w:szCs w:val="24"/>
        </w:rPr>
        <w:t>16.2. Perkančiosios organizacijos kreipinių</w:t>
      </w:r>
      <w:r>
        <w:rPr>
          <w:szCs w:val="24"/>
          <w:lang w:val="tg-Cyrl-TJ"/>
        </w:rPr>
        <w:t xml:space="preserve"> registravim</w:t>
      </w:r>
      <w:r>
        <w:rPr>
          <w:szCs w:val="24"/>
        </w:rPr>
        <w:t xml:space="preserve">ą, klasifikavimą, informacijos </w:t>
      </w:r>
      <w:r>
        <w:rPr>
          <w:szCs w:val="24"/>
          <w:lang w:val="tg-Cyrl-TJ"/>
        </w:rPr>
        <w:t xml:space="preserve">apie </w:t>
      </w:r>
      <w:r>
        <w:rPr>
          <w:szCs w:val="24"/>
        </w:rPr>
        <w:t xml:space="preserve">incidentų </w:t>
      </w:r>
      <w:r>
        <w:rPr>
          <w:szCs w:val="24"/>
          <w:lang w:val="tg-Cyrl-TJ"/>
        </w:rPr>
        <w:t>būklę, sprendimo įgyvendinimo eigą</w:t>
      </w:r>
      <w:r>
        <w:rPr>
          <w:szCs w:val="24"/>
        </w:rPr>
        <w:t xml:space="preserve"> teikimą.</w:t>
      </w:r>
    </w:p>
    <w:p>
      <w:pPr>
        <w:pStyle w:val="Normal"/>
        <w:tabs>
          <w:tab w:val="clear" w:pos="720"/>
          <w:tab w:val="left" w:pos="1320" w:leader="none"/>
        </w:tabs>
        <w:spacing w:lineRule="auto" w:line="240" w:before="0" w:after="0"/>
        <w:ind w:firstLine="720"/>
        <w:jc w:val="both"/>
        <w:rPr>
          <w:szCs w:val="24"/>
        </w:rPr>
      </w:pPr>
      <w:r>
        <w:rPr>
          <w:szCs w:val="24"/>
        </w:rPr>
        <w:t>17. Paslaugos teikimo metu sutrikimai, klaidos</w:t>
      </w:r>
      <w:r>
        <w:rPr>
          <w:szCs w:val="24"/>
          <w:lang w:val="tg-Cyrl-TJ"/>
        </w:rPr>
        <w:t xml:space="preserve"> </w:t>
      </w:r>
      <w:r>
        <w:rPr>
          <w:szCs w:val="24"/>
        </w:rPr>
        <w:t>turi būti</w:t>
      </w:r>
      <w:r>
        <w:rPr>
          <w:szCs w:val="24"/>
          <w:lang w:val="tg-Cyrl-TJ"/>
        </w:rPr>
        <w:t xml:space="preserve"> klasifikuojami į:</w:t>
      </w:r>
    </w:p>
    <w:p>
      <w:pPr>
        <w:pStyle w:val="Normalnumbered2"/>
        <w:numPr>
          <w:ilvl w:val="0"/>
          <w:numId w:val="0"/>
        </w:numPr>
        <w:spacing w:before="0" w:after="0"/>
        <w:ind w:firstLine="770" w:left="0"/>
        <w:rPr>
          <w:rFonts w:ascii="Times New Roman" w:hAnsi="Times New Roman" w:cs="Times New Roman"/>
          <w:sz w:val="24"/>
          <w:szCs w:val="24"/>
          <w:lang w:val="tg-Cyrl-TJ"/>
        </w:rPr>
      </w:pPr>
      <w:r>
        <w:rPr>
          <w:rFonts w:cs="Times New Roman" w:ascii="Times New Roman" w:hAnsi="Times New Roman"/>
          <w:sz w:val="24"/>
          <w:szCs w:val="24"/>
        </w:rPr>
        <w:t xml:space="preserve">17.1. </w:t>
      </w:r>
      <w:r>
        <w:rPr>
          <w:rFonts w:cs="Times New Roman" w:ascii="Times New Roman" w:hAnsi="Times New Roman"/>
          <w:sz w:val="24"/>
          <w:szCs w:val="24"/>
          <w:lang w:val="tg-Cyrl-TJ"/>
        </w:rPr>
        <w:t xml:space="preserve">kritinius </w:t>
      </w:r>
      <w:r>
        <w:rPr>
          <w:rFonts w:cs="Times New Roman" w:ascii="Times New Roman" w:hAnsi="Times New Roman"/>
          <w:sz w:val="24"/>
          <w:szCs w:val="24"/>
        </w:rPr>
        <w:t>–</w:t>
      </w:r>
      <w:r>
        <w:rPr>
          <w:rFonts w:cs="Times New Roman" w:ascii="Times New Roman" w:hAnsi="Times New Roman"/>
          <w:sz w:val="24"/>
          <w:szCs w:val="24"/>
          <w:lang w:val="tg-Cyrl-TJ"/>
        </w:rPr>
        <w:t xml:space="preserve"> kai nustatyta triktis ir/ar problema, dėl kurios vartotojas negali vykdyti numatytų būtinų funkcijų ir nežinomas joks kitas alternatyvus šios funkcijos vykdymas;</w:t>
      </w:r>
    </w:p>
    <w:p>
      <w:pPr>
        <w:pStyle w:val="Normalnumbered2"/>
        <w:numPr>
          <w:ilvl w:val="0"/>
          <w:numId w:val="0"/>
        </w:numPr>
        <w:spacing w:before="0" w:after="0"/>
        <w:ind w:firstLine="770" w:left="0"/>
        <w:rPr>
          <w:rFonts w:ascii="Times New Roman" w:hAnsi="Times New Roman" w:cs="Times New Roman"/>
          <w:sz w:val="24"/>
          <w:szCs w:val="24"/>
          <w:lang w:val="tg-Cyrl-TJ"/>
        </w:rPr>
      </w:pPr>
      <w:r>
        <w:rPr>
          <w:rFonts w:cs="Times New Roman" w:ascii="Times New Roman" w:hAnsi="Times New Roman"/>
          <w:sz w:val="24"/>
          <w:szCs w:val="24"/>
        </w:rPr>
        <w:t xml:space="preserve">17.2. </w:t>
      </w:r>
      <w:r>
        <w:rPr>
          <w:rFonts w:cs="Times New Roman" w:ascii="Times New Roman" w:hAnsi="Times New Roman"/>
          <w:sz w:val="24"/>
          <w:szCs w:val="24"/>
          <w:lang w:val="tg-Cyrl-TJ"/>
        </w:rPr>
        <w:t xml:space="preserve">didelius </w:t>
      </w:r>
      <w:r>
        <w:rPr>
          <w:rFonts w:cs="Times New Roman" w:ascii="Times New Roman" w:hAnsi="Times New Roman"/>
          <w:sz w:val="24"/>
          <w:szCs w:val="24"/>
        </w:rPr>
        <w:t>–</w:t>
      </w:r>
      <w:r>
        <w:rPr>
          <w:rFonts w:cs="Times New Roman" w:ascii="Times New Roman" w:hAnsi="Times New Roman"/>
          <w:sz w:val="24"/>
          <w:szCs w:val="24"/>
          <w:lang w:val="tg-Cyrl-TJ"/>
        </w:rPr>
        <w:t xml:space="preserve"> kai nustatyta triktis ir/ar problema, kuri kliudo vykdyti būtinas funkcijas, tačiau yra žinomas alternatyvus funkcijos vykdymas;</w:t>
      </w:r>
    </w:p>
    <w:p>
      <w:pPr>
        <w:pStyle w:val="Normalnumbered2"/>
        <w:numPr>
          <w:ilvl w:val="0"/>
          <w:numId w:val="0"/>
        </w:numPr>
        <w:spacing w:before="0" w:after="0"/>
        <w:ind w:firstLine="770" w:left="0"/>
        <w:rPr>
          <w:rFonts w:ascii="Times New Roman" w:hAnsi="Times New Roman" w:cs="Times New Roman"/>
          <w:sz w:val="24"/>
          <w:szCs w:val="24"/>
          <w:lang w:val="tg-Cyrl-TJ"/>
        </w:rPr>
      </w:pPr>
      <w:r>
        <w:rPr>
          <w:rFonts w:cs="Times New Roman" w:ascii="Times New Roman" w:hAnsi="Times New Roman"/>
          <w:sz w:val="24"/>
          <w:szCs w:val="24"/>
        </w:rPr>
        <w:t xml:space="preserve">17.3. </w:t>
      </w:r>
      <w:r>
        <w:rPr>
          <w:rFonts w:cs="Times New Roman" w:ascii="Times New Roman" w:hAnsi="Times New Roman"/>
          <w:sz w:val="24"/>
          <w:szCs w:val="24"/>
          <w:lang w:val="tg-Cyrl-TJ"/>
        </w:rPr>
        <w:t>kitus</w:t>
      </w:r>
      <w:r>
        <w:rPr>
          <w:rFonts w:cs="Times New Roman" w:ascii="Times New Roman" w:hAnsi="Times New Roman"/>
          <w:sz w:val="24"/>
          <w:szCs w:val="24"/>
        </w:rPr>
        <w:t xml:space="preserve"> –</w:t>
      </w:r>
      <w:r>
        <w:rPr>
          <w:rFonts w:cs="Times New Roman" w:ascii="Times New Roman" w:hAnsi="Times New Roman"/>
          <w:sz w:val="24"/>
          <w:szCs w:val="24"/>
          <w:lang w:val="tg-Cyrl-TJ"/>
        </w:rPr>
        <w:t xml:space="preserve"> kai nustatytas triktis ir/ar problema, kuri sukelia sunkumus naudojantis</w:t>
      </w:r>
      <w:r>
        <w:rPr>
          <w:rFonts w:cs="Times New Roman" w:ascii="Times New Roman" w:hAnsi="Times New Roman"/>
          <w:sz w:val="24"/>
          <w:szCs w:val="24"/>
        </w:rPr>
        <w:t xml:space="preserve"> VSPSR</w:t>
      </w:r>
      <w:r>
        <w:rPr>
          <w:rFonts w:cs="Times New Roman" w:ascii="Times New Roman" w:hAnsi="Times New Roman"/>
          <w:sz w:val="24"/>
          <w:szCs w:val="24"/>
          <w:lang w:val="tg-Cyrl-TJ"/>
        </w:rPr>
        <w:t>, bet ne</w:t>
      </w:r>
      <w:r>
        <w:rPr>
          <w:rFonts w:cs="Times New Roman" w:ascii="Times New Roman" w:hAnsi="Times New Roman"/>
          <w:sz w:val="24"/>
          <w:szCs w:val="24"/>
        </w:rPr>
        <w:t xml:space="preserve">daro neigiamos </w:t>
      </w:r>
      <w:r>
        <w:rPr>
          <w:rFonts w:cs="Times New Roman" w:ascii="Times New Roman" w:hAnsi="Times New Roman"/>
          <w:sz w:val="24"/>
          <w:szCs w:val="24"/>
          <w:lang w:val="tg-Cyrl-TJ"/>
        </w:rPr>
        <w:t>įtako</w:t>
      </w:r>
      <w:r>
        <w:rPr>
          <w:rFonts w:cs="Times New Roman" w:ascii="Times New Roman" w:hAnsi="Times New Roman"/>
          <w:sz w:val="24"/>
          <w:szCs w:val="24"/>
        </w:rPr>
        <w:t>s</w:t>
      </w:r>
      <w:r>
        <w:rPr>
          <w:rFonts w:cs="Times New Roman" w:ascii="Times New Roman" w:hAnsi="Times New Roman"/>
          <w:sz w:val="24"/>
          <w:szCs w:val="24"/>
          <w:lang w:val="tg-Cyrl-TJ"/>
        </w:rPr>
        <w:t xml:space="preserve"> sistemos funkcijų veikim</w:t>
      </w:r>
      <w:r>
        <w:rPr>
          <w:rFonts w:cs="Times New Roman" w:ascii="Times New Roman" w:hAnsi="Times New Roman"/>
          <w:sz w:val="24"/>
          <w:szCs w:val="24"/>
        </w:rPr>
        <w:t>ui</w:t>
      </w:r>
      <w:r>
        <w:rPr>
          <w:rFonts w:cs="Times New Roman" w:ascii="Times New Roman" w:hAnsi="Times New Roman"/>
          <w:sz w:val="24"/>
          <w:szCs w:val="24"/>
          <w:lang w:val="tg-Cyrl-TJ"/>
        </w:rPr>
        <w:t xml:space="preserve"> ir nedaro jokio kito žalingo poveikio sistemai.</w:t>
      </w:r>
    </w:p>
    <w:p>
      <w:pPr>
        <w:pStyle w:val="Normal"/>
        <w:spacing w:lineRule="auto" w:line="240" w:before="0" w:after="0"/>
        <w:ind w:firstLine="770"/>
        <w:jc w:val="both"/>
        <w:rPr>
          <w:szCs w:val="24"/>
        </w:rPr>
      </w:pPr>
      <w:r>
        <w:rPr>
          <w:bCs/>
          <w:szCs w:val="24"/>
        </w:rPr>
        <w:t>18. VSPSR</w:t>
      </w:r>
      <w:r>
        <w:rPr>
          <w:szCs w:val="24"/>
          <w:lang w:val="tg-Cyrl-TJ"/>
        </w:rPr>
        <w:t xml:space="preserve"> taikomosios programinės įrangos sutrikimams</w:t>
      </w:r>
      <w:r>
        <w:rPr>
          <w:szCs w:val="24"/>
        </w:rPr>
        <w:t>,</w:t>
      </w:r>
      <w:r>
        <w:rPr>
          <w:szCs w:val="24"/>
          <w:lang w:val="tg-Cyrl-TJ"/>
        </w:rPr>
        <w:t xml:space="preserve"> trikdžiams ir/ar klaidoms turi būti užtikrinami tokie reikalavimai reakcijos greičiui, laikui per kurį bus nustatytas incidento pašalinimo būdas ir </w:t>
      </w:r>
      <w:r>
        <w:rPr>
          <w:bCs/>
          <w:szCs w:val="24"/>
        </w:rPr>
        <w:t>VSPSR</w:t>
      </w:r>
      <w:r>
        <w:rPr>
          <w:szCs w:val="24"/>
        </w:rPr>
        <w:t xml:space="preserve"> PĮ darbingumo atstatymo </w:t>
      </w:r>
      <w:r>
        <w:rPr>
          <w:szCs w:val="24"/>
          <w:lang w:val="tg-Cyrl-TJ"/>
        </w:rPr>
        <w:t>terminas:</w:t>
      </w:r>
    </w:p>
    <w:p>
      <w:pPr>
        <w:pStyle w:val="Normal"/>
        <w:numPr>
          <w:ilvl w:val="1"/>
          <w:numId w:val="4"/>
        </w:numPr>
        <w:tabs>
          <w:tab w:val="clear" w:pos="720"/>
          <w:tab w:val="left" w:pos="0" w:leader="none"/>
        </w:tabs>
        <w:suppressAutoHyphens w:val="true"/>
        <w:spacing w:lineRule="auto" w:line="240" w:before="0" w:after="0"/>
        <w:ind w:firstLine="900" w:left="0"/>
        <w:rPr>
          <w:szCs w:val="24"/>
        </w:rPr>
      </w:pPr>
      <w:r>
        <w:rPr>
          <w:szCs w:val="24"/>
        </w:rPr>
        <w:t>Kritinis: reakcija – iki 2 darbo valandų, PĮ darbingumo atstatymas – iki 8 darbo valandų ir/arba kitais tarp šalių suderintais terminais;</w:t>
      </w:r>
    </w:p>
    <w:p>
      <w:pPr>
        <w:pStyle w:val="Normal"/>
        <w:numPr>
          <w:ilvl w:val="1"/>
          <w:numId w:val="4"/>
        </w:numPr>
        <w:tabs>
          <w:tab w:val="clear" w:pos="720"/>
          <w:tab w:val="left" w:pos="0" w:leader="none"/>
        </w:tabs>
        <w:spacing w:lineRule="auto" w:line="240" w:before="0" w:after="0"/>
        <w:ind w:firstLine="770" w:left="0"/>
        <w:jc w:val="both"/>
        <w:rPr>
          <w:szCs w:val="24"/>
        </w:rPr>
      </w:pPr>
      <w:r>
        <w:rPr>
          <w:szCs w:val="24"/>
        </w:rPr>
        <w:t>Didelis: reakcija – iki 8 darbo valandų, PĮ darbingumo atstatymas – iki 16 darbo valandų ir/arba kitais tarp šalių suderintais terminais;</w:t>
      </w:r>
    </w:p>
    <w:p>
      <w:pPr>
        <w:pStyle w:val="Normal"/>
        <w:numPr>
          <w:ilvl w:val="1"/>
          <w:numId w:val="4"/>
        </w:numPr>
        <w:tabs>
          <w:tab w:val="clear" w:pos="720"/>
          <w:tab w:val="left" w:pos="1320" w:leader="none"/>
        </w:tabs>
        <w:spacing w:lineRule="auto" w:line="240" w:before="0" w:after="0"/>
        <w:ind w:firstLine="900" w:left="0"/>
        <w:jc w:val="both"/>
        <w:rPr>
          <w:szCs w:val="24"/>
        </w:rPr>
      </w:pPr>
      <w:r>
        <w:rPr>
          <w:szCs w:val="24"/>
        </w:rPr>
        <w:t>Kitas: problemos sprendžiamos atskiru susitarimu.</w:t>
      </w:r>
    </w:p>
    <w:p>
      <w:pPr>
        <w:pStyle w:val="Normalnumbered1"/>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19. Visi darbai ir paslaugos atliekami pagal su Perkančiąja organizacija suderintas pakeitimų paraiškas tokia tvarka:</w:t>
      </w:r>
    </w:p>
    <w:p>
      <w:pPr>
        <w:pStyle w:val="Normalnumbered2"/>
        <w:numPr>
          <w:ilvl w:val="0"/>
          <w:numId w:val="0"/>
        </w:numPr>
        <w:tabs>
          <w:tab w:val="clear" w:pos="720"/>
          <w:tab w:val="left" w:pos="1320" w:leader="none"/>
        </w:tabs>
        <w:spacing w:before="0" w:after="0"/>
        <w:ind w:firstLine="720" w:left="0"/>
        <w:rPr>
          <w:rFonts w:ascii="Times New Roman" w:hAnsi="Times New Roman" w:cs="Times New Roman"/>
          <w:sz w:val="24"/>
          <w:szCs w:val="24"/>
        </w:rPr>
      </w:pPr>
      <w:r>
        <w:rPr>
          <w:rFonts w:cs="Times New Roman" w:ascii="Times New Roman" w:hAnsi="Times New Roman"/>
          <w:sz w:val="24"/>
          <w:szCs w:val="24"/>
        </w:rPr>
        <w:t>19.1. Perkančioji organizacija pateikia darbų paslaugų poreikį;</w:t>
      </w:r>
    </w:p>
    <w:p>
      <w:pPr>
        <w:pStyle w:val="Normalnumbered2"/>
        <w:numPr>
          <w:ilvl w:val="0"/>
          <w:numId w:val="0"/>
        </w:numPr>
        <w:spacing w:before="0" w:after="0"/>
        <w:ind w:firstLine="720" w:left="0"/>
        <w:rPr>
          <w:rFonts w:ascii="Times New Roman" w:hAnsi="Times New Roman" w:cs="Times New Roman"/>
          <w:sz w:val="24"/>
          <w:szCs w:val="24"/>
        </w:rPr>
      </w:pPr>
      <w:r>
        <w:rPr>
          <w:rFonts w:cs="Times New Roman" w:ascii="Times New Roman" w:hAnsi="Times New Roman"/>
          <w:sz w:val="24"/>
          <w:szCs w:val="24"/>
        </w:rPr>
        <w:t xml:space="preserve">19.2. Paslaugų teikėjas </w:t>
      </w:r>
      <w:r>
        <w:rPr>
          <w:rFonts w:cs="Times New Roman" w:ascii="Times New Roman" w:hAnsi="Times New Roman"/>
          <w:sz w:val="24"/>
          <w:szCs w:val="24"/>
          <w:lang w:val="tg-Cyrl-TJ"/>
        </w:rPr>
        <w:t>atlieka poreikio analizę</w:t>
      </w:r>
      <w:r>
        <w:rPr>
          <w:rFonts w:cs="Times New Roman" w:ascii="Times New Roman" w:hAnsi="Times New Roman"/>
          <w:sz w:val="24"/>
          <w:szCs w:val="24"/>
        </w:rPr>
        <w:t xml:space="preserve"> ir suderina su Perkančiąja organizacija poreikiui įgyvendinti reikalingas paslaugų apimtis bei poreikio įgyvendinimo terminus;</w:t>
      </w:r>
    </w:p>
    <w:p>
      <w:pPr>
        <w:pStyle w:val="Normalnumbered2"/>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19.3. Paslaugos atlikimas laikomas įgyvendintu Perkančiajai organizacijai įvertinus ir priėmus atliktus darbus;</w:t>
      </w:r>
    </w:p>
    <w:p>
      <w:pPr>
        <w:pStyle w:val="Normalnumbered2"/>
        <w:numPr>
          <w:ilvl w:val="0"/>
          <w:numId w:val="0"/>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 xml:space="preserve">19.4. jeigu dėl Paslaugų teikėjo atliktų darbų atsiranda </w:t>
      </w:r>
      <w:r>
        <w:rPr>
          <w:rFonts w:cs="Times New Roman" w:ascii="Times New Roman" w:hAnsi="Times New Roman"/>
          <w:sz w:val="24"/>
          <w:szCs w:val="24"/>
          <w:lang w:val="tg-Cyrl-TJ"/>
        </w:rPr>
        <w:t>sutrikima</w:t>
      </w:r>
      <w:r>
        <w:rPr>
          <w:rFonts w:cs="Times New Roman" w:ascii="Times New Roman" w:hAnsi="Times New Roman"/>
          <w:sz w:val="24"/>
          <w:szCs w:val="24"/>
        </w:rPr>
        <w:t>i,</w:t>
      </w:r>
      <w:r>
        <w:rPr>
          <w:rFonts w:cs="Times New Roman" w:ascii="Times New Roman" w:hAnsi="Times New Roman"/>
          <w:sz w:val="24"/>
          <w:szCs w:val="24"/>
          <w:lang w:val="tg-Cyrl-TJ"/>
        </w:rPr>
        <w:t xml:space="preserve"> trikdžia</w:t>
      </w:r>
      <w:r>
        <w:rPr>
          <w:rFonts w:cs="Times New Roman" w:ascii="Times New Roman" w:hAnsi="Times New Roman"/>
          <w:sz w:val="24"/>
          <w:szCs w:val="24"/>
        </w:rPr>
        <w:t>i</w:t>
      </w:r>
      <w:r>
        <w:rPr>
          <w:rFonts w:cs="Times New Roman" w:ascii="Times New Roman" w:hAnsi="Times New Roman"/>
          <w:sz w:val="24"/>
          <w:szCs w:val="24"/>
          <w:lang w:val="tg-Cyrl-TJ"/>
        </w:rPr>
        <w:t xml:space="preserve"> ir/ar klaidos</w:t>
      </w:r>
      <w:r>
        <w:rPr>
          <w:rFonts w:cs="Times New Roman" w:ascii="Times New Roman" w:hAnsi="Times New Roman"/>
          <w:sz w:val="24"/>
          <w:szCs w:val="24"/>
        </w:rPr>
        <w:t>, juos Paslaugų teikėjas privalo ištaisyti neatlygintinai.</w:t>
      </w:r>
    </w:p>
    <w:p>
      <w:pPr>
        <w:pStyle w:val="Normalnumbered1"/>
        <w:numPr>
          <w:ilvl w:val="0"/>
          <w:numId w:val="0"/>
        </w:numPr>
        <w:spacing w:before="0" w:after="0"/>
        <w:ind w:firstLine="720" w:left="0"/>
        <w:rPr>
          <w:rFonts w:ascii="Times New Roman" w:hAnsi="Times New Roman" w:cs="Times New Roman"/>
          <w:sz w:val="24"/>
          <w:szCs w:val="24"/>
        </w:rPr>
      </w:pPr>
      <w:r>
        <w:rPr>
          <w:rFonts w:cs="Times New Roman" w:ascii="Times New Roman" w:hAnsi="Times New Roman"/>
          <w:sz w:val="24"/>
          <w:szCs w:val="24"/>
        </w:rPr>
        <w:t>20. Ataskaitos apie suteiktas paslaugas teikiamos tokia tvarka:</w:t>
      </w:r>
    </w:p>
    <w:p>
      <w:pPr>
        <w:pStyle w:val="Normalnumbered2"/>
        <w:numPr>
          <w:ilvl w:val="1"/>
          <w:numId w:val="15"/>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Kiekvieno mėnesio paskutinę darbo dieną pateikiama ataskaita apie suteiktas paslaugas, jei tokių buvo:</w:t>
      </w:r>
    </w:p>
    <w:p>
      <w:pPr>
        <w:pStyle w:val="Normalnumbered2"/>
        <w:numPr>
          <w:ilvl w:val="0"/>
          <w:numId w:val="0"/>
        </w:numPr>
        <w:tabs>
          <w:tab w:val="clear" w:pos="720"/>
          <w:tab w:val="left" w:pos="1320" w:leader="none"/>
          <w:tab w:val="left" w:pos="1760" w:leader="none"/>
        </w:tabs>
        <w:spacing w:before="0" w:after="0"/>
        <w:ind w:firstLine="709" w:left="0"/>
        <w:rPr>
          <w:rFonts w:ascii="Times New Roman" w:hAnsi="Times New Roman" w:cs="Times New Roman"/>
          <w:sz w:val="24"/>
          <w:szCs w:val="24"/>
        </w:rPr>
      </w:pPr>
      <w:r>
        <w:rPr>
          <w:rFonts w:cs="Times New Roman" w:ascii="Times New Roman" w:hAnsi="Times New Roman"/>
          <w:sz w:val="24"/>
          <w:szCs w:val="24"/>
        </w:rPr>
        <w:t>20.1.1. VSPSR programinės įrangos pataisymus, detalizuojant problemą, jos atsiradimo priežastį, bei įgyvendintą sprendinį;</w:t>
      </w:r>
    </w:p>
    <w:p>
      <w:pPr>
        <w:pStyle w:val="Normalnumbered2"/>
        <w:numPr>
          <w:ilvl w:val="0"/>
          <w:numId w:val="0"/>
        </w:numPr>
        <w:tabs>
          <w:tab w:val="clear" w:pos="720"/>
          <w:tab w:val="left" w:pos="1320" w:leader="none"/>
          <w:tab w:val="left" w:pos="1760" w:leader="none"/>
        </w:tabs>
        <w:spacing w:before="0" w:after="0"/>
        <w:ind w:firstLine="720" w:left="0"/>
        <w:rPr>
          <w:rFonts w:ascii="Times New Roman" w:hAnsi="Times New Roman" w:cs="Times New Roman"/>
          <w:sz w:val="24"/>
          <w:szCs w:val="24"/>
        </w:rPr>
      </w:pPr>
      <w:r>
        <w:rPr>
          <w:rFonts w:cs="Times New Roman" w:ascii="Times New Roman" w:hAnsi="Times New Roman"/>
          <w:sz w:val="24"/>
          <w:szCs w:val="24"/>
        </w:rPr>
        <w:t>20.1.2. VSPSR</w:t>
      </w:r>
      <w:r>
        <w:rPr>
          <w:rFonts w:cs="Times New Roman" w:ascii="Times New Roman" w:hAnsi="Times New Roman"/>
          <w:sz w:val="24"/>
          <w:szCs w:val="24"/>
          <w:lang w:val="tg-Cyrl-TJ"/>
        </w:rPr>
        <w:t xml:space="preserve"> darbingumo, </w:t>
      </w:r>
      <w:r>
        <w:rPr>
          <w:rFonts w:cs="Times New Roman" w:ascii="Times New Roman" w:hAnsi="Times New Roman"/>
          <w:sz w:val="24"/>
          <w:szCs w:val="24"/>
        </w:rPr>
        <w:t>įvykus sutrikimui</w:t>
      </w:r>
      <w:r>
        <w:rPr>
          <w:rFonts w:cs="Times New Roman" w:ascii="Times New Roman" w:hAnsi="Times New Roman"/>
          <w:sz w:val="24"/>
          <w:szCs w:val="24"/>
          <w:lang w:val="tg-Cyrl-TJ"/>
        </w:rPr>
        <w:t xml:space="preserve">, </w:t>
      </w:r>
      <w:r>
        <w:rPr>
          <w:rFonts w:cs="Times New Roman" w:ascii="Times New Roman" w:hAnsi="Times New Roman"/>
          <w:sz w:val="24"/>
          <w:szCs w:val="24"/>
        </w:rPr>
        <w:t>atstatymo detales ir priežastis;</w:t>
      </w:r>
    </w:p>
    <w:p>
      <w:pPr>
        <w:pStyle w:val="Normalnumbered2"/>
        <w:numPr>
          <w:ilvl w:val="0"/>
          <w:numId w:val="0"/>
        </w:numPr>
        <w:spacing w:before="0" w:after="0"/>
        <w:ind w:hanging="0" w:left="0"/>
        <w:rPr>
          <w:rFonts w:ascii="Times New Roman" w:hAnsi="Times New Roman" w:cs="Times New Roman"/>
          <w:sz w:val="24"/>
          <w:szCs w:val="24"/>
        </w:rPr>
      </w:pPr>
      <w:r>
        <w:rPr>
          <w:rFonts w:cs="Times New Roman" w:ascii="Times New Roman" w:hAnsi="Times New Roman"/>
          <w:sz w:val="24"/>
          <w:szCs w:val="24"/>
        </w:rPr>
        <w:tab/>
        <w:t>20.1.3. Perkančiosios organizacijos suderintas mėnesio atliktų paslaugų perdavimo – priėmimo aktas yra sąskaitos faktūros išrašymo pagrindas.</w:t>
      </w:r>
    </w:p>
    <w:p>
      <w:pPr>
        <w:pStyle w:val="Normalnumbered2"/>
        <w:numPr>
          <w:ilvl w:val="0"/>
          <w:numId w:val="0"/>
        </w:numPr>
        <w:tabs>
          <w:tab w:val="clear" w:pos="720"/>
          <w:tab w:val="left" w:pos="1430" w:leader="none"/>
        </w:tabs>
        <w:spacing w:before="0" w:after="0"/>
        <w:ind w:firstLine="720" w:left="0"/>
        <w:rPr>
          <w:rFonts w:ascii="Times New Roman" w:hAnsi="Times New Roman" w:cs="Times New Roman"/>
          <w:sz w:val="24"/>
          <w:szCs w:val="24"/>
        </w:rPr>
      </w:pPr>
      <w:r>
        <w:rPr>
          <w:rFonts w:cs="Times New Roman" w:ascii="Times New Roman" w:hAnsi="Times New Roman"/>
          <w:sz w:val="24"/>
          <w:szCs w:val="24"/>
        </w:rPr>
        <w:t>20.2. Ataskaitos pateikiamos adresu Studentų g. 45A, 08107</w:t>
      </w:r>
      <w:r>
        <w:rPr>
          <w:szCs w:val="24"/>
        </w:rPr>
        <w:t xml:space="preserve"> </w:t>
      </w:r>
      <w:r>
        <w:rPr>
          <w:rFonts w:cs="Times New Roman" w:ascii="Times New Roman" w:hAnsi="Times New Roman"/>
          <w:sz w:val="24"/>
          <w:szCs w:val="24"/>
        </w:rPr>
        <w:t>Vilnius.</w:t>
      </w:r>
    </w:p>
    <w:p>
      <w:pPr>
        <w:pStyle w:val="Normal"/>
        <w:shd w:val="clear" w:color="auto" w:fill="FFFFFF"/>
        <w:spacing w:lineRule="auto" w:line="240" w:before="0" w:after="0"/>
        <w:jc w:val="center"/>
        <w:rPr>
          <w:b/>
          <w:color w:val="000000"/>
          <w:lang w:eastAsia="lt-LT"/>
        </w:rPr>
      </w:pPr>
      <w:r>
        <w:rPr>
          <w:b/>
          <w:color w:val="000000"/>
          <w:lang w:eastAsia="lt-LT"/>
        </w:rPr>
      </w:r>
    </w:p>
    <w:p>
      <w:pPr>
        <w:pStyle w:val="Normal"/>
        <w:shd w:val="clear" w:color="auto" w:fill="FFFFFF"/>
        <w:spacing w:lineRule="auto" w:line="240" w:before="0" w:after="0"/>
        <w:jc w:val="center"/>
        <w:rPr>
          <w:b/>
          <w:color w:val="000000"/>
          <w:lang w:eastAsia="lt-LT"/>
        </w:rPr>
      </w:pPr>
      <w:r>
        <w:rPr>
          <w:b/>
          <w:color w:val="000000"/>
          <w:lang w:eastAsia="lt-LT"/>
        </w:rPr>
        <w:t>V. ASMENS DUOMENŲ TVARKYMO PRIEVOLĖS</w:t>
      </w:r>
    </w:p>
    <w:p>
      <w:pPr>
        <w:pStyle w:val="Normal"/>
        <w:spacing w:lineRule="auto" w:line="240" w:before="0" w:after="0"/>
        <w:ind w:firstLine="851"/>
        <w:jc w:val="both"/>
        <w:rPr>
          <w:lang w:eastAsia="lt-LT"/>
        </w:rPr>
      </w:pPr>
      <w:r>
        <w:rPr>
          <w:lang w:eastAsia="lt-LT"/>
        </w:rPr>
        <w:t xml:space="preserve">21. Paslaugų teikėjas tvarko asmens duomenis tik taip, kaip nustatyta Visuomenės sveikatos priežiūros specialistų registro nuostatuose, patvirtintuose Lietuvos Respublikos Vyriausybės 2015 m. </w:t>
      </w:r>
      <w:r>
        <w:rPr>
          <w:color w:val="000000"/>
        </w:rPr>
        <w:t>lapkričio 18 d. nutarimu Nr. 1207</w:t>
      </w:r>
      <w:r>
        <w:rPr>
          <w:lang w:eastAsia="lt-LT"/>
        </w:rPr>
        <w:t xml:space="preserve"> „Dėl Visuomenės sveikatos priežiūros specialistų registro nuostatų patvirtinimo“ (toliau – Registro nuostatai), Visuomenės sveikatos priežiūros specialistų </w:t>
      </w:r>
      <w:r>
        <w:rPr>
          <w:sz w:val="23"/>
          <w:szCs w:val="23"/>
        </w:rPr>
        <w:t xml:space="preserve">registro duomenų saugos nuostatuose, patvirtintuose Lietuvos Respublikos sveikatos apsaugos ministro </w:t>
      </w:r>
      <w:r>
        <w:rPr>
          <w:color w:val="000000"/>
        </w:rPr>
        <w:t>2016 m. kovo 22 d. įsakymu Nr. V-372</w:t>
      </w:r>
      <w:r>
        <w:rPr>
          <w:sz w:val="23"/>
          <w:szCs w:val="23"/>
        </w:rPr>
        <w:t xml:space="preserve"> „Dėl </w:t>
      </w:r>
      <w:r>
        <w:rPr>
          <w:lang w:eastAsia="lt-LT"/>
        </w:rPr>
        <w:t xml:space="preserve">Visuomenės sveikatos priežiūros specialistų </w:t>
      </w:r>
      <w:r>
        <w:rPr>
          <w:sz w:val="23"/>
          <w:szCs w:val="23"/>
        </w:rPr>
        <w:t xml:space="preserve">registro duomenų saugos nuostatų patvirtinimo“, </w:t>
      </w:r>
      <w:r>
        <w:rPr>
          <w:lang w:eastAsia="lt-LT"/>
        </w:rPr>
        <w:t>Visuomenės sveikatos priežiūros specialistų registro naudotojų administravimo taisyklėse, Visuomenės sveikatos priežiūros specialistų registro saugaus elektroninės informacijos tvarkymo taisyklėse ir Visuomenės sveikatos priežiūros specialistų registro veiklos tęstinumo valdymo plane, patvirtintuose Lietuvos Respublikos sveikatos apsaugos ministro 2016 m. liepos 12 d. įsakymu Nr. V-926 „Dėl Visuomenės sveikatos priežiūros specialistų registro naudotojų administravimo taisyklių, Visuomenės sveikatos priežiūros specialistų registro saugaus elektroninės informacijos tvarkymo taisyklių ir Visuomenės sveikatos priežiūros specialistų registro veiklos tęstinumo valdymo plano patvirtinimo“.</w:t>
      </w:r>
    </w:p>
    <w:p>
      <w:pPr>
        <w:pStyle w:val="Normal"/>
        <w:shd w:val="clear" w:color="auto" w:fill="FFFFFF"/>
        <w:spacing w:lineRule="auto" w:line="240" w:before="0" w:after="0"/>
        <w:ind w:firstLine="720"/>
        <w:jc w:val="both"/>
        <w:rPr>
          <w:lang w:eastAsia="lt-LT"/>
        </w:rPr>
      </w:pPr>
      <w:r>
        <w:rPr>
          <w:lang w:eastAsia="lt-LT"/>
        </w:rPr>
        <w:t>22. Paslaugų teikėjas užtikrina, kad asmens duomenis tvarkyti įgalioti asmenys būtų įsipareigoję užtikrinti konfidencialumą arba jiems būtų taikoma atitinkama konfidencialumo prievolė.</w:t>
      </w:r>
    </w:p>
    <w:p>
      <w:pPr>
        <w:pStyle w:val="Normal"/>
        <w:shd w:val="clear" w:color="auto" w:fill="FFFFFF"/>
        <w:spacing w:lineRule="auto" w:line="240" w:before="0" w:after="0"/>
        <w:ind w:firstLine="720"/>
        <w:jc w:val="both"/>
        <w:rPr>
          <w:lang w:eastAsia="lt-LT"/>
        </w:rPr>
      </w:pPr>
      <w:r>
        <w:rPr>
          <w:lang w:eastAsia="lt-LT"/>
        </w:rPr>
        <w:t>23. Paslaugų teikėjas:</w:t>
      </w:r>
    </w:p>
    <w:p>
      <w:pPr>
        <w:pStyle w:val="Normal"/>
        <w:spacing w:lineRule="auto" w:line="240" w:before="0" w:after="0"/>
        <w:ind w:firstLine="720"/>
        <w:jc w:val="both"/>
        <w:rPr>
          <w:rFonts w:eastAsia="Times New Roman"/>
          <w:color w:val="000000"/>
          <w:szCs w:val="24"/>
          <w:lang w:eastAsia="lt-LT"/>
        </w:rPr>
      </w:pPr>
      <w:r>
        <w:rPr>
          <w:rFonts w:eastAsia="Times New Roman"/>
          <w:color w:val="000000"/>
          <w:szCs w:val="24"/>
          <w:lang w:eastAsia="lt-LT"/>
        </w:rPr>
        <w:t>23.1. Sveikatos apsaugos ministerijos, VSPR valdytojos, nustatyta tvarka nedelsiant, bet ne ilgiau kaip per 24 valandas, informuoja Higienos institutą ir Sveikatos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p>
    <w:p>
      <w:pPr>
        <w:pStyle w:val="Normal"/>
        <w:spacing w:lineRule="auto" w:line="240" w:before="0" w:after="0"/>
        <w:ind w:firstLine="720"/>
        <w:jc w:val="both"/>
        <w:rPr>
          <w:rFonts w:eastAsia="Times New Roman"/>
          <w:color w:val="000000"/>
          <w:szCs w:val="24"/>
          <w:lang w:eastAsia="lt-LT"/>
        </w:rPr>
      </w:pPr>
      <w:r>
        <w:rPr>
          <w:rFonts w:eastAsia="Times New Roman"/>
          <w:color w:val="000000"/>
          <w:szCs w:val="24"/>
          <w:shd w:fill="FFFFFF" w:val="clear"/>
          <w:lang w:eastAsia="lt-LT"/>
        </w:rPr>
        <w:t xml:space="preserve">23.2.  tvarko asmens duomenis laikydamasi  </w:t>
      </w:r>
      <w:r>
        <w:rPr>
          <w:rFonts w:eastAsia="Times New Roman"/>
          <w:color w:val="000000"/>
          <w:szCs w:val="24"/>
          <w:lang w:eastAsia="lt-LT"/>
        </w:rPr>
        <w:t xml:space="preserve">Sveikatos apsaugos ministerijos, VSPR valdytojos, ir (arba) Higienos instituto nurodymų tik tiek, kiek tai yra būtina paslaugų teikimui. </w:t>
      </w:r>
      <w:r>
        <w:rPr>
          <w:lang w:eastAsia="lt-LT"/>
        </w:rPr>
        <w:t>Paslaugų teikėjas</w:t>
      </w:r>
      <w:r>
        <w:rPr>
          <w:color w:val="000000"/>
          <w:lang w:eastAsia="lt-LT"/>
        </w:rPr>
        <w:t xml:space="preserve"> nedelsdamas informuoja Higienos institutą ir (arba) </w:t>
      </w:r>
      <w:r>
        <w:rPr>
          <w:lang w:eastAsia="lt-LT"/>
        </w:rPr>
        <w:t>Lietuvos Respublikos sveikatos apsaugos ministeriją</w:t>
      </w:r>
      <w:r>
        <w:rPr>
          <w:color w:val="000000"/>
          <w:lang w:eastAsia="lt-LT"/>
        </w:rPr>
        <w:t xml:space="preserve">, jei, jo nuomone, nurodymai dėl asmens duomenų tvarkymo  pažeidžia </w:t>
      </w:r>
      <w:r>
        <w:rPr>
          <w:lang w:eastAsia="lt-LT"/>
        </w:rPr>
        <w:t xml:space="preserve">Bendrąjį duomenų apsaugos reglamentą (ES) 2016/679 </w:t>
      </w:r>
      <w:r>
        <w:rPr>
          <w:color w:val="000000"/>
          <w:lang w:eastAsia="lt-LT"/>
        </w:rPr>
        <w:t xml:space="preserve">ar kitas </w:t>
      </w:r>
      <w:r>
        <w:rPr>
          <w:lang w:eastAsia="lt-LT"/>
        </w:rPr>
        <w:t>Lietuvos Respublikos teisės aktų nuostatas</w:t>
      </w:r>
      <w:r>
        <w:rPr>
          <w:rFonts w:eastAsia="Times New Roman"/>
          <w:color w:val="000000"/>
          <w:szCs w:val="24"/>
          <w:shd w:fill="FFFFFF" w:val="clear"/>
          <w:lang w:eastAsia="lt-LT"/>
        </w:rPr>
        <w:t>;</w:t>
      </w:r>
    </w:p>
    <w:p>
      <w:pPr>
        <w:pStyle w:val="Normal"/>
        <w:spacing w:lineRule="auto" w:line="240" w:before="0" w:after="0"/>
        <w:ind w:firstLine="709"/>
        <w:jc w:val="both"/>
        <w:rPr>
          <w:rFonts w:eastAsia="Times New Roman"/>
          <w:color w:val="000000"/>
          <w:szCs w:val="24"/>
          <w:lang w:eastAsia="lt-LT"/>
        </w:rPr>
      </w:pPr>
      <w:r>
        <w:rPr>
          <w:rFonts w:eastAsia="Times New Roman"/>
          <w:color w:val="000000"/>
          <w:szCs w:val="24"/>
          <w:lang w:eastAsia="lt-LT"/>
        </w:rPr>
        <w:t>23.3. imasi visų priemonių, kurių reikalaujama pagal Reglamento (ES) 2016/679 32 straipsnį;</w:t>
      </w:r>
    </w:p>
    <w:p>
      <w:pPr>
        <w:pStyle w:val="Normal"/>
        <w:spacing w:lineRule="auto" w:line="240" w:before="0" w:after="0"/>
        <w:ind w:firstLine="709"/>
        <w:jc w:val="both"/>
        <w:rPr>
          <w:lang w:eastAsia="lt-LT"/>
        </w:rPr>
      </w:pPr>
      <w:r>
        <w:rPr>
          <w:color w:val="000000"/>
          <w:lang w:eastAsia="lt-LT"/>
        </w:rPr>
        <w:t>23.4. l</w:t>
      </w:r>
      <w:r>
        <w:rPr>
          <w:lang w:eastAsia="lt-LT"/>
        </w:rPr>
        <w:t>aikosi Reglamento (ES) 2016/679 28 straipsnio 2 ir 4 dalyse nurodytų kito Paslaugų teikėjo pasitelkimo sąlygų, g</w:t>
      </w:r>
      <w:r>
        <w:rPr>
          <w:rFonts w:eastAsia="Times New Roman"/>
          <w:color w:val="000000"/>
          <w:szCs w:val="24"/>
          <w:lang w:eastAsia="lt-LT"/>
        </w:rPr>
        <w:t>ali pasitelkti asmenis VSPR techninės ir (ar) programinės įrangos priežiūrai vykdyti tik gavęs išankstinį Sveikatos apsaugos ministerijos, VSPR valdytojos, sutikimą;</w:t>
      </w:r>
    </w:p>
    <w:p>
      <w:pPr>
        <w:pStyle w:val="Normal"/>
        <w:shd w:val="clear" w:color="auto" w:fill="FFFFFF"/>
        <w:spacing w:lineRule="auto" w:line="240" w:before="0" w:after="0"/>
        <w:ind w:firstLine="720"/>
        <w:jc w:val="both"/>
        <w:rPr>
          <w:lang w:eastAsia="lt-LT"/>
        </w:rPr>
      </w:pPr>
      <w:r>
        <w:rPr>
          <w:lang w:eastAsia="lt-LT"/>
        </w:rPr>
        <w:t>23.5. atsižvelgdamas į Paslaugų teikimo pobūdį ir vadovaudamasis</w:t>
      </w:r>
      <w:r>
        <w:rPr>
          <w:color w:val="000000"/>
          <w:spacing w:val="-2"/>
        </w:rPr>
        <w:t xml:space="preserve"> Duomenų subjektų teisių įgyvendinimo tvarkant asmens duomenis Lietuvos Respublikos sveikatos apsaugos ministerijos valdomuose registruose ir valstybės informacinėse sistemose tvarkos aprašu, patvirtintu Lietuvos Respublikos sveikatos apsaugos ministro </w:t>
      </w:r>
      <w:r>
        <w:rPr>
          <w:color w:val="000000"/>
        </w:rPr>
        <w:t xml:space="preserve">2019 m. liepos 8 d. įsakymu Nr. V-800 </w:t>
      </w:r>
      <w:r>
        <w:rPr>
          <w:lang w:eastAsia="lt-LT"/>
        </w:rPr>
        <w:t xml:space="preserve">„Dėl </w:t>
      </w:r>
      <w:r>
        <w:rPr>
          <w:color w:val="000000"/>
          <w:spacing w:val="-2"/>
        </w:rPr>
        <w:t xml:space="preserve">Duomenų subjektų teisių įgyvendinimo tvarkant asmens duomenis Lietuvos Respublikos sveikatos apsaugos ministerijos valdomuose registruose ir valstybės informacinėse sistemose tvarkos aprašo patvirtinimo” </w:t>
      </w:r>
      <w:r>
        <w:rPr>
          <w:lang w:eastAsia="lt-LT"/>
        </w:rPr>
        <w:t xml:space="preserve">padeda Lietuvos Respublikos sveikatos apsaugos ministerijai taikydamas tinkamas technines ir organizacines priemones, kiek tai įmanoma, kad būtų įvykdyta Lietuvos Respublikos sveikatos apsaugos ministerijos prievolė atsakyti į prašymus pasinaudoti Reglamento (ES) 2016/679 III skyriuje nustatytomis duomenų subjekto teisėmis; </w:t>
      </w:r>
    </w:p>
    <w:p>
      <w:pPr>
        <w:pStyle w:val="Normal"/>
        <w:shd w:val="clear" w:color="auto" w:fill="FFFFFF"/>
        <w:spacing w:lineRule="auto" w:line="240" w:before="0" w:after="0"/>
        <w:ind w:firstLine="720"/>
        <w:jc w:val="both"/>
        <w:rPr>
          <w:lang w:eastAsia="lt-LT"/>
        </w:rPr>
      </w:pPr>
      <w:r>
        <w:rPr>
          <w:lang w:eastAsia="lt-LT"/>
        </w:rPr>
        <w:t xml:space="preserve">23.6. padeda Sveikatos apsaugos ministerijai, VSPR valdytojai, užtikrinti Bendrojo duomenų apsaugos reglamento (ES) 2016/679 32–36 straipsniuose nustatytų prievolių laikymąsi, atsižvelgdamas į Paslaugų teikėjo pobūdį ir Paslaugų teikėjo turimą informaciją; </w:t>
      </w:r>
    </w:p>
    <w:p>
      <w:pPr>
        <w:pStyle w:val="Normal"/>
        <w:shd w:val="clear" w:color="auto" w:fill="FFFFFF"/>
        <w:spacing w:lineRule="auto" w:line="240" w:before="0" w:after="0"/>
        <w:ind w:firstLine="720"/>
        <w:jc w:val="both"/>
        <w:rPr>
          <w:lang w:eastAsia="lt-LT"/>
        </w:rPr>
      </w:pPr>
      <w:r>
        <w:rPr>
          <w:lang w:eastAsia="lt-LT"/>
        </w:rPr>
        <w:t>23.7. pagal Sveikatos apsaugos ministerijos, VSPR valdytojos, pasirinkimą, užbaigus teikti su duomenų tvarkymu susijusias paslaugas, ištrina arba grąžina Sveikatos apsaugos ministerijai, VSPR valdytojai, visus asmens duomenis ir ištrina esamas jų kopijas, išskyrus atvejus, kai Lietuvos Respublikos teisės aktais reikalaujama asmens duomenis saugoti;</w:t>
      </w:r>
    </w:p>
    <w:p>
      <w:pPr>
        <w:pStyle w:val="Normal"/>
        <w:shd w:val="clear" w:color="auto" w:fill="FFFFFF"/>
        <w:spacing w:lineRule="auto" w:line="240" w:before="0" w:after="0"/>
        <w:ind w:firstLine="720"/>
        <w:jc w:val="both"/>
        <w:rPr>
          <w:color w:val="000000"/>
        </w:rPr>
      </w:pPr>
      <w:r>
        <w:rPr>
          <w:lang w:eastAsia="lt-LT"/>
        </w:rPr>
        <w:t>23.8. pateikia Sveikatos apsaugos ministerijai, VSPR valdytojai, jos nustatytais terminais visą informaciją, būtiną siekiant įrodyti, kad vykdomos Bendrojo duomenų apsaugos reglamento (ES) 2016/679  nustatytos prievolės, ir sudaro sąlygas bei padeda Lietuvos Respublikos sveikatos apsaugos ministerijai, VSPR valdytojai, arba kitam jos įgaliotam auditoriui atlikti auditą, įskaitant patikrinimus.</w:t>
      </w:r>
      <w:r>
        <w:rPr>
          <w:color w:val="000000"/>
          <w:lang w:eastAsia="lt-LT"/>
        </w:rPr>
        <w:t>;</w:t>
      </w:r>
    </w:p>
    <w:p>
      <w:pPr>
        <w:pStyle w:val="Normal"/>
        <w:spacing w:lineRule="auto" w:line="240" w:before="0" w:after="0"/>
        <w:ind w:firstLine="720"/>
        <w:jc w:val="both"/>
        <w:rPr>
          <w:rFonts w:eastAsia="Times New Roman"/>
          <w:color w:val="000000"/>
          <w:szCs w:val="24"/>
          <w:lang w:eastAsia="lt-LT"/>
        </w:rPr>
      </w:pPr>
      <w:r>
        <w:rPr>
          <w:rFonts w:eastAsia="Times New Roman"/>
          <w:color w:val="000000"/>
          <w:szCs w:val="24"/>
          <w:lang w:eastAsia="lt-LT"/>
        </w:rPr>
        <w:t xml:space="preserve">23.9. </w:t>
      </w:r>
      <w:bookmarkStart w:id="1" w:name="part_d29ea981dcee475a8e0109756739af09"/>
      <w:bookmarkStart w:id="2" w:name="part_08706158eb1547c89a6d9183893b7993"/>
      <w:bookmarkStart w:id="3" w:name="part_47fc6e78ca3246fd8b126203e1051770"/>
      <w:bookmarkStart w:id="4" w:name="part_11af0da8c145453daf64bf14e1637fd9"/>
      <w:bookmarkStart w:id="5" w:name="part_57578707f65f43a1a212a0d14407b770"/>
      <w:bookmarkStart w:id="6" w:name="part_f8d1f4618786437a9b8b8bc2686250aa"/>
      <w:bookmarkStart w:id="7" w:name="part_27e6443fa8f34eeb910501eead35ffed"/>
      <w:bookmarkStart w:id="8" w:name="part_710930fb2ee44284a31b4d52d5b3006d"/>
      <w:bookmarkStart w:id="9" w:name="part_cb43ee13e280416b99a90e4dae2b303f"/>
      <w:bookmarkStart w:id="10" w:name="part_61c59575355b4462b34d3d968ecd11dd"/>
      <w:bookmarkStart w:id="11" w:name="part_3d09c38f721a494c8db7c0d0c6d7d41d"/>
      <w:bookmarkStart w:id="12" w:name="part_c30cc070a5e44cd2bdb759025fa9ae80"/>
      <w:bookmarkStart w:id="13" w:name="part_d046747a884f4fdb9b933e0017ceb83b"/>
      <w:bookmarkStart w:id="14" w:name="part_e32f09bda869484b9d060ec958dd8a9a"/>
      <w:bookmarkEnd w:id="1"/>
      <w:bookmarkEnd w:id="2"/>
      <w:bookmarkEnd w:id="3"/>
      <w:bookmarkEnd w:id="4"/>
      <w:bookmarkEnd w:id="5"/>
      <w:bookmarkEnd w:id="6"/>
      <w:bookmarkEnd w:id="7"/>
      <w:bookmarkEnd w:id="8"/>
      <w:bookmarkEnd w:id="9"/>
      <w:bookmarkEnd w:id="10"/>
      <w:bookmarkEnd w:id="11"/>
      <w:bookmarkEnd w:id="12"/>
      <w:bookmarkEnd w:id="13"/>
      <w:bookmarkEnd w:id="14"/>
      <w:r>
        <w:rPr>
          <w:rFonts w:eastAsia="Times New Roman"/>
          <w:color w:val="000000"/>
          <w:szCs w:val="24"/>
          <w:lang w:eastAsia="lt-LT"/>
        </w:rPr>
        <w:t>atlieka Valstybės informacinių išteklių valdymo įstatymo 27 straipsnio 4 dalies 1 punkte nustatytas funkcijas;</w:t>
      </w:r>
    </w:p>
    <w:p>
      <w:pPr>
        <w:pStyle w:val="Normal"/>
        <w:spacing w:lineRule="auto" w:line="240" w:before="0" w:after="0"/>
        <w:ind w:firstLine="720"/>
        <w:jc w:val="both"/>
        <w:rPr>
          <w:rFonts w:eastAsia="Times New Roman"/>
          <w:color w:val="000000"/>
          <w:szCs w:val="24"/>
          <w:lang w:eastAsia="lt-LT"/>
        </w:rPr>
      </w:pPr>
      <w:bookmarkStart w:id="15" w:name="part_991825d021114657b649d37348f680c7"/>
      <w:bookmarkStart w:id="16" w:name="part_fb00e74449e445a38bb18b25d7b4a21d"/>
      <w:bookmarkEnd w:id="15"/>
      <w:bookmarkEnd w:id="16"/>
      <w:r>
        <w:rPr>
          <w:rFonts w:eastAsia="Times New Roman"/>
          <w:color w:val="000000"/>
          <w:szCs w:val="24"/>
          <w:shd w:fill="FFFFFF" w:val="clear"/>
          <w:lang w:eastAsia="lt-LT"/>
        </w:rPr>
        <w:t>23.10.  sprendžia palaikymo Registro funkcionavimo klausimus.</w:t>
      </w:r>
    </w:p>
    <w:p>
      <w:pPr>
        <w:pStyle w:val="Normal"/>
        <w:spacing w:lineRule="auto" w:line="240" w:before="0" w:after="0"/>
        <w:jc w:val="center"/>
        <w:rPr>
          <w:b/>
          <w:szCs w:val="24"/>
        </w:rPr>
      </w:pPr>
      <w:r>
        <w:rPr>
          <w:b/>
          <w:szCs w:val="24"/>
        </w:rPr>
      </w:r>
      <w:bookmarkStart w:id="17" w:name="part_b91deb0cee9142a78540de5c958e99c3"/>
      <w:bookmarkStart w:id="18" w:name="part_729ce5238fde4ea99bf28d89b616e54d"/>
      <w:bookmarkStart w:id="19" w:name="part_3f7744c426b04f54b1e907f2ac3ab4ab"/>
      <w:bookmarkStart w:id="20" w:name="part_c7adf6cab08342c28a7b410d7e69aaa5"/>
      <w:bookmarkStart w:id="21" w:name="part_feea902b0f654b859005cd5657379c96"/>
      <w:bookmarkStart w:id="22" w:name="part_37b6d082852f4516bf7e336834baf0c3"/>
      <w:bookmarkStart w:id="23" w:name="part_0ae0209c721b4122a0cbf353dd96dcd1"/>
      <w:bookmarkStart w:id="24" w:name="part_a146d932240e41508e40618f81963ab9"/>
      <w:bookmarkStart w:id="25" w:name="part_2e883c4e984e4d51acf12428bccfd307"/>
      <w:bookmarkStart w:id="26" w:name="part_84c0fb80156047e08f8ea2892a7fab11"/>
      <w:bookmarkStart w:id="27" w:name="part_bcbb28773bb44d3390d02e5b6669e309"/>
      <w:bookmarkStart w:id="28" w:name="part_e30db35655fe4098937ac6d06e054fb3"/>
      <w:bookmarkStart w:id="29" w:name="part_e428604687344b4d88edfec89909c5b4"/>
      <w:bookmarkStart w:id="30" w:name="part_b91deb0cee9142a78540de5c958e99c3"/>
      <w:bookmarkStart w:id="31" w:name="part_729ce5238fde4ea99bf28d89b616e54d"/>
      <w:bookmarkStart w:id="32" w:name="part_3f7744c426b04f54b1e907f2ac3ab4ab"/>
      <w:bookmarkStart w:id="33" w:name="part_c7adf6cab08342c28a7b410d7e69aaa5"/>
      <w:bookmarkStart w:id="34" w:name="part_feea902b0f654b859005cd5657379c96"/>
      <w:bookmarkStart w:id="35" w:name="part_37b6d082852f4516bf7e336834baf0c3"/>
      <w:bookmarkStart w:id="36" w:name="part_0ae0209c721b4122a0cbf353dd96dcd1"/>
      <w:bookmarkStart w:id="37" w:name="part_a146d932240e41508e40618f81963ab9"/>
      <w:bookmarkStart w:id="38" w:name="part_2e883c4e984e4d51acf12428bccfd307"/>
      <w:bookmarkStart w:id="39" w:name="part_84c0fb80156047e08f8ea2892a7fab11"/>
      <w:bookmarkStart w:id="40" w:name="part_bcbb28773bb44d3390d02e5b6669e309"/>
      <w:bookmarkStart w:id="41" w:name="part_e30db35655fe4098937ac6d06e054fb3"/>
      <w:bookmarkStart w:id="42" w:name="part_e428604687344b4d88edfec89909c5b4"/>
      <w:bookmarkEnd w:id="30"/>
      <w:bookmarkEnd w:id="31"/>
      <w:bookmarkEnd w:id="32"/>
      <w:bookmarkEnd w:id="33"/>
      <w:bookmarkEnd w:id="34"/>
      <w:bookmarkEnd w:id="35"/>
      <w:bookmarkEnd w:id="36"/>
      <w:bookmarkEnd w:id="37"/>
      <w:bookmarkEnd w:id="38"/>
      <w:bookmarkEnd w:id="39"/>
      <w:bookmarkEnd w:id="40"/>
      <w:bookmarkEnd w:id="41"/>
      <w:bookmarkEnd w:id="42"/>
    </w:p>
    <w:p>
      <w:pPr>
        <w:pStyle w:val="Normal"/>
        <w:spacing w:lineRule="auto" w:line="240" w:before="0" w:after="0"/>
        <w:jc w:val="center"/>
        <w:rPr>
          <w:b/>
          <w:szCs w:val="24"/>
        </w:rPr>
      </w:pPr>
      <w:r>
        <w:rPr>
          <w:b/>
          <w:szCs w:val="24"/>
        </w:rPr>
        <w:t>VI. GARANTINIS APTARNAVIMAS</w:t>
      </w:r>
    </w:p>
    <w:p>
      <w:pPr>
        <w:pStyle w:val="Normal"/>
        <w:spacing w:lineRule="auto" w:line="240" w:before="0" w:after="0"/>
        <w:ind w:firstLine="720"/>
        <w:jc w:val="both"/>
        <w:rPr>
          <w:szCs w:val="24"/>
        </w:rPr>
      </w:pPr>
      <w:r>
        <w:rPr>
          <w:szCs w:val="24"/>
        </w:rPr>
        <w:t>24. Paslaugų teikėjas, atlikęs bet kurį VSPSR PĮ atnaujinimą, turi teikti garantinę priežiūrą atnaujintai VSPSR PĮ ne mažiau kaip 6 mėnesius nuo atnaujinimo įdiegimo pradžios, tik pakeitimo ribose.</w:t>
      </w:r>
    </w:p>
    <w:p>
      <w:pPr>
        <w:pStyle w:val="Normal"/>
        <w:spacing w:lineRule="auto" w:line="240" w:before="0" w:after="0"/>
        <w:ind w:firstLine="720"/>
        <w:jc w:val="both"/>
        <w:rPr>
          <w:szCs w:val="24"/>
        </w:rPr>
      </w:pPr>
      <w:r>
        <w:rPr>
          <w:szCs w:val="24"/>
        </w:rPr>
        <w:t>25. Garantiniu laikotarpiu, atsiradusius gedimus atnaujintoje VSPSR PĮ, Paslaugų teikėjas privalės juos pašalinti savo sąskaita.</w:t>
      </w:r>
    </w:p>
    <w:p>
      <w:pPr>
        <w:pStyle w:val="Normal"/>
        <w:spacing w:lineRule="auto" w:line="240" w:before="0" w:after="0"/>
        <w:ind w:firstLine="720"/>
        <w:jc w:val="both"/>
        <w:rPr>
          <w:szCs w:val="24"/>
        </w:rPr>
      </w:pPr>
      <w:r>
        <w:rPr>
          <w:szCs w:val="24"/>
        </w:rPr>
        <w:t>26. Garantinės priežiūros laikotarpiu, atlikus VSPSR PĮ ištaisymus jos gedimų atveju, pasibaigus garantiniams įsipareigojimams arba Pirkėjui paprašius, Paslaugų teikėjas privalės perduoti pataisytos VSPSR PĮ išeities tekstus.</w:t>
      </w:r>
    </w:p>
    <w:p>
      <w:pPr>
        <w:pStyle w:val="Normal"/>
        <w:spacing w:lineRule="auto" w:line="240" w:before="0" w:after="0"/>
        <w:ind w:firstLine="720"/>
        <w:jc w:val="center"/>
        <w:rPr/>
      </w:pPr>
      <w:r>
        <w:rPr/>
        <w:t xml:space="preserve"> </w:t>
      </w:r>
    </w:p>
    <w:p>
      <w:pPr>
        <w:pStyle w:val="Normal"/>
        <w:spacing w:lineRule="auto" w:line="240" w:before="0" w:after="0"/>
        <w:ind w:firstLine="720"/>
        <w:jc w:val="center"/>
        <w:rPr>
          <w:b/>
          <w:bCs/>
          <w:szCs w:val="24"/>
        </w:rPr>
      </w:pPr>
      <w:r>
        <w:rPr>
          <w:b/>
          <w:bCs/>
          <w:szCs w:val="24"/>
        </w:rPr>
        <w:t>VII. MINIMALŪS APLINKOSAUGINIAI KRITERIJAI</w:t>
      </w:r>
    </w:p>
    <w:p>
      <w:pPr>
        <w:pStyle w:val="Normal"/>
        <w:spacing w:lineRule="auto" w:line="240" w:before="0" w:after="0"/>
        <w:ind w:firstLine="720"/>
        <w:jc w:val="both"/>
        <w:rPr>
          <w:szCs w:val="24"/>
        </w:rPr>
      </w:pPr>
      <w:r>
        <w:rPr>
          <w:rFonts w:eastAsia="Times New Roman"/>
          <w:szCs w:val="24"/>
        </w:rPr>
        <w:t xml:space="preserve">27. </w:t>
      </w:r>
      <w:r>
        <w:rPr>
          <w:szCs w:val="24"/>
        </w:rPr>
        <w:t>Žaliasis pirkimas pagal Aplinkos ministerijos specialistų pateiktą nuomonę apie dėl Lietuvos Respublikos aplinkos ministro 2011 m. birželio 28 d. Įsakymu Nr. D1-508 patvirtinto aplinkos apsaugos kriterijų taikymo, vykdant žaliuosius pirkimus tvarkos aprašo 4.4.3 papunkčių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pPr>
        <w:pStyle w:val="Normal"/>
        <w:jc w:val="center"/>
        <w:rPr/>
      </w:pPr>
      <w:r>
        <w:rPr/>
        <w:t>___________________________________________</w:t>
      </w:r>
    </w:p>
    <w:p>
      <w:pPr>
        <w:pStyle w:val="Normal"/>
        <w:widowControl/>
        <w:bidi w:val="0"/>
        <w:spacing w:lineRule="auto" w:line="276" w:before="0" w:after="200"/>
        <w:jc w:val="left"/>
        <w:rPr/>
      </w:pPr>
      <w:r>
        <w:rPr/>
      </w:r>
    </w:p>
    <w:sectPr>
      <w:footerReference w:type="default" r:id="rId2"/>
      <w:type w:val="nextPage"/>
      <w:pgSz w:w="12240" w:h="15840"/>
      <w:pgMar w:left="1701" w:right="567"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14" wp14:anchorId="4E28B13E">
              <wp:simplePos x="0" y="0"/>
              <wp:positionH relativeFrom="page">
                <wp:posOffset>0</wp:posOffset>
              </wp:positionH>
              <wp:positionV relativeFrom="page">
                <wp:posOffset>9601200</wp:posOffset>
              </wp:positionV>
              <wp:extent cx="7772400" cy="266700"/>
              <wp:effectExtent l="0" t="0" r="0" b="0"/>
              <wp:wrapNone/>
              <wp:docPr id="30" name="MSIPCM3fa6459089779aed98265481" descr="{&quot;HashCode&quot;:269484293,&quot;Height&quot;:792.0,&quot;Width&quot;:612.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772400" cy="266760"/>
                      </a:xfrm>
                      <a:prstGeom prst="rect">
                        <a:avLst/>
                      </a:prstGeom>
                      <a:noFill/>
                      <a:ln w="0">
                        <a:noFill/>
                      </a:ln>
                    </wps:spPr>
                    <wps:style>
                      <a:lnRef idx="0"/>
                      <a:fillRef idx="0"/>
                      <a:effectRef idx="0"/>
                      <a:fontRef idx="minor"/>
                    </wps:style>
                    <wps:txbx>
                      <w:txbxContent>
                        <w:p>
                          <w:pPr>
                            <w:pStyle w:val="FrameContents"/>
                            <w:spacing w:before="0" w:after="0"/>
                            <w:rPr>
                              <w:rFonts w:ascii="Calibri" w:hAnsi="Calibri" w:cs="Calibri"/>
                              <w:color w:val="000000"/>
                              <w:sz w:val="16"/>
                            </w:rPr>
                          </w:pPr>
                          <w:r>
                            <w:rPr>
                              <w:rFonts w:cs="Calibri" w:ascii="Calibri" w:hAnsi="Calibri"/>
                              <w:color w:val="000000"/>
                              <w:sz w:val="16"/>
                            </w:rPr>
                          </w:r>
                        </w:p>
                      </w:txbxContent>
                    </wps:txbx>
                    <wps:bodyPr lIns="254160" tIns="0" bIns="0" anchor="b" upright="1">
                      <a:noAutofit/>
                    </wps:bodyPr>
                  </wps:wsp>
                </a:graphicData>
              </a:graphic>
            </wp:anchor>
          </w:drawing>
        </mc:Choice>
        <mc:Fallback>
          <w:pict>
            <v:rect id="shape_0" ID="MSIPCM3fa6459089779aed98265481" path="m0,0l-2147483645,0l-2147483645,-2147483646l0,-2147483646xe" stroked="f" o:allowincell="f" style="position:absolute;margin-left:0pt;margin-top:756pt;width:611.95pt;height:20.95pt;mso-wrap-style:none;v-text-anchor:middle;mso-position-horizontal-relative:page;mso-position-vertical-relative:page" wp14:anchorId="4E28B13E">
              <v:fill o:detectmouseclick="t" on="false"/>
              <v:stroke color="#3465a4" joinstyle="round" endcap="flat"/>
              <v:textbox>
                <w:txbxContent>
                  <w:p>
                    <w:pPr>
                      <w:pStyle w:val="FrameContents"/>
                      <w:spacing w:before="0" w:after="0"/>
                      <w:rPr>
                        <w:rFonts w:ascii="Calibri" w:hAnsi="Calibri" w:cs="Calibri"/>
                        <w:color w:val="000000"/>
                        <w:sz w:val="16"/>
                      </w:rPr>
                    </w:pPr>
                    <w:r>
                      <w:rPr>
                        <w:rFonts w:cs="Calibri" w:ascii="Calibri" w:hAnsi="Calibri"/>
                        <w:color w:val="000000"/>
                        <w:sz w:val="16"/>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8"/>
      <w:numFmt w:val="decimal"/>
      <w:lvlText w:val="%1."/>
      <w:lvlJc w:val="left"/>
      <w:pPr>
        <w:tabs>
          <w:tab w:val="num" w:pos="0"/>
        </w:tabs>
        <w:ind w:left="480" w:hanging="480"/>
      </w:pPr>
      <w:rPr>
        <w:rFonts w:eastAsia="Calibri"/>
      </w:rPr>
    </w:lvl>
    <w:lvl w:ilvl="1">
      <w:start w:val="1"/>
      <w:numFmt w:val="decimal"/>
      <w:lvlText w:val="%1.%2."/>
      <w:lvlJc w:val="left"/>
      <w:pPr>
        <w:tabs>
          <w:tab w:val="num" w:pos="0"/>
        </w:tabs>
        <w:ind w:left="1250" w:hanging="480"/>
      </w:pPr>
      <w:rPr>
        <w:rFonts w:eastAsia="Calibri"/>
      </w:rPr>
    </w:lvl>
    <w:lvl w:ilvl="2">
      <w:start w:val="1"/>
      <w:numFmt w:val="decimal"/>
      <w:lvlText w:val="%1.%2.%3."/>
      <w:lvlJc w:val="left"/>
      <w:pPr>
        <w:tabs>
          <w:tab w:val="num" w:pos="0"/>
        </w:tabs>
        <w:ind w:left="2260" w:hanging="720"/>
      </w:pPr>
      <w:rPr>
        <w:rFonts w:eastAsia="Calibri"/>
      </w:rPr>
    </w:lvl>
    <w:lvl w:ilvl="3">
      <w:start w:val="1"/>
      <w:numFmt w:val="decimal"/>
      <w:lvlText w:val="%1.%2.%3.%4."/>
      <w:lvlJc w:val="left"/>
      <w:pPr>
        <w:tabs>
          <w:tab w:val="num" w:pos="0"/>
        </w:tabs>
        <w:ind w:left="3030" w:hanging="720"/>
      </w:pPr>
      <w:rPr>
        <w:rFonts w:eastAsia="Calibri"/>
      </w:rPr>
    </w:lvl>
    <w:lvl w:ilvl="4">
      <w:start w:val="1"/>
      <w:numFmt w:val="decimal"/>
      <w:lvlText w:val="%1.%2.%3.%4.%5."/>
      <w:lvlJc w:val="left"/>
      <w:pPr>
        <w:tabs>
          <w:tab w:val="num" w:pos="0"/>
        </w:tabs>
        <w:ind w:left="4160" w:hanging="1080"/>
      </w:pPr>
      <w:rPr>
        <w:rFonts w:eastAsia="Calibri"/>
      </w:rPr>
    </w:lvl>
    <w:lvl w:ilvl="5">
      <w:start w:val="1"/>
      <w:numFmt w:val="decimal"/>
      <w:lvlText w:val="%1.%2.%3.%4.%5.%6."/>
      <w:lvlJc w:val="left"/>
      <w:pPr>
        <w:tabs>
          <w:tab w:val="num" w:pos="0"/>
        </w:tabs>
        <w:ind w:left="4930" w:hanging="1080"/>
      </w:pPr>
      <w:rPr>
        <w:rFonts w:eastAsia="Calibri"/>
      </w:rPr>
    </w:lvl>
    <w:lvl w:ilvl="6">
      <w:start w:val="1"/>
      <w:numFmt w:val="decimal"/>
      <w:lvlText w:val="%1.%2.%3.%4.%5.%6.%7."/>
      <w:lvlJc w:val="left"/>
      <w:pPr>
        <w:tabs>
          <w:tab w:val="num" w:pos="0"/>
        </w:tabs>
        <w:ind w:left="6060" w:hanging="1440"/>
      </w:pPr>
      <w:rPr>
        <w:rFonts w:eastAsia="Calibri"/>
      </w:rPr>
    </w:lvl>
    <w:lvl w:ilvl="7">
      <w:start w:val="1"/>
      <w:numFmt w:val="decimal"/>
      <w:lvlText w:val="%1.%2.%3.%4.%5.%6.%7.%8."/>
      <w:lvlJc w:val="left"/>
      <w:pPr>
        <w:tabs>
          <w:tab w:val="num" w:pos="0"/>
        </w:tabs>
        <w:ind w:left="6830" w:hanging="1440"/>
      </w:pPr>
      <w:rPr>
        <w:rFonts w:eastAsia="Calibri"/>
      </w:rPr>
    </w:lvl>
    <w:lvl w:ilvl="8">
      <w:start w:val="1"/>
      <w:numFmt w:val="decimal"/>
      <w:lvlText w:val="%1.%2.%3.%4.%5.%6.%7.%8.%9."/>
      <w:lvlJc w:val="left"/>
      <w:pPr>
        <w:tabs>
          <w:tab w:val="num" w:pos="0"/>
        </w:tabs>
        <w:ind w:left="7960" w:hanging="1800"/>
      </w:pPr>
      <w:rPr>
        <w:rFonts w:eastAsia="Calibri"/>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55" w:hanging="360"/>
      </w:pPr>
      <w:rPr>
        <w:rFonts w:ascii="Symbol" w:hAnsi="Symbol" w:cs="Symbol" w:hint="default"/>
      </w:rPr>
    </w:lvl>
    <w:lvl w:ilvl="1">
      <w:start w:val="1"/>
      <w:numFmt w:val="bullet"/>
      <w:lvlText w:val="o"/>
      <w:lvlJc w:val="left"/>
      <w:pPr>
        <w:tabs>
          <w:tab w:val="num" w:pos="0"/>
        </w:tabs>
        <w:ind w:left="1475" w:hanging="360"/>
      </w:pPr>
      <w:rPr>
        <w:rFonts w:ascii="Courier New" w:hAnsi="Courier New" w:cs="Courier New" w:hint="default"/>
      </w:rPr>
    </w:lvl>
    <w:lvl w:ilvl="2">
      <w:start w:val="1"/>
      <w:numFmt w:val="bullet"/>
      <w:lvlText w:val=""/>
      <w:lvlJc w:val="left"/>
      <w:pPr>
        <w:tabs>
          <w:tab w:val="num" w:pos="0"/>
        </w:tabs>
        <w:ind w:left="2195" w:hanging="360"/>
      </w:pPr>
      <w:rPr>
        <w:rFonts w:ascii="Wingdings" w:hAnsi="Wingdings" w:cs="Wingdings" w:hint="default"/>
      </w:rPr>
    </w:lvl>
    <w:lvl w:ilvl="3">
      <w:start w:val="1"/>
      <w:numFmt w:val="bullet"/>
      <w:lvlText w:val=""/>
      <w:lvlJc w:val="left"/>
      <w:pPr>
        <w:tabs>
          <w:tab w:val="num" w:pos="0"/>
        </w:tabs>
        <w:ind w:left="2915" w:hanging="360"/>
      </w:pPr>
      <w:rPr>
        <w:rFonts w:ascii="Symbol" w:hAnsi="Symbol" w:cs="Symbol" w:hint="default"/>
      </w:rPr>
    </w:lvl>
    <w:lvl w:ilvl="4">
      <w:start w:val="1"/>
      <w:numFmt w:val="bullet"/>
      <w:lvlText w:val="o"/>
      <w:lvlJc w:val="left"/>
      <w:pPr>
        <w:tabs>
          <w:tab w:val="num" w:pos="0"/>
        </w:tabs>
        <w:ind w:left="3635" w:hanging="360"/>
      </w:pPr>
      <w:rPr>
        <w:rFonts w:ascii="Courier New" w:hAnsi="Courier New" w:cs="Courier New" w:hint="default"/>
      </w:rPr>
    </w:lvl>
    <w:lvl w:ilvl="5">
      <w:start w:val="1"/>
      <w:numFmt w:val="bullet"/>
      <w:lvlText w:val=""/>
      <w:lvlJc w:val="left"/>
      <w:pPr>
        <w:tabs>
          <w:tab w:val="num" w:pos="0"/>
        </w:tabs>
        <w:ind w:left="4355" w:hanging="360"/>
      </w:pPr>
      <w:rPr>
        <w:rFonts w:ascii="Wingdings" w:hAnsi="Wingdings" w:cs="Wingdings" w:hint="default"/>
      </w:rPr>
    </w:lvl>
    <w:lvl w:ilvl="6">
      <w:start w:val="1"/>
      <w:numFmt w:val="bullet"/>
      <w:lvlText w:val=""/>
      <w:lvlJc w:val="left"/>
      <w:pPr>
        <w:tabs>
          <w:tab w:val="num" w:pos="0"/>
        </w:tabs>
        <w:ind w:left="5075" w:hanging="360"/>
      </w:pPr>
      <w:rPr>
        <w:rFonts w:ascii="Symbol" w:hAnsi="Symbol" w:cs="Symbol" w:hint="default"/>
      </w:rPr>
    </w:lvl>
    <w:lvl w:ilvl="7">
      <w:start w:val="1"/>
      <w:numFmt w:val="bullet"/>
      <w:lvlText w:val="o"/>
      <w:lvlJc w:val="left"/>
      <w:pPr>
        <w:tabs>
          <w:tab w:val="num" w:pos="0"/>
        </w:tabs>
        <w:ind w:left="5795" w:hanging="360"/>
      </w:pPr>
      <w:rPr>
        <w:rFonts w:ascii="Courier New" w:hAnsi="Courier New" w:cs="Courier New" w:hint="default"/>
      </w:rPr>
    </w:lvl>
    <w:lvl w:ilvl="8">
      <w:start w:val="1"/>
      <w:numFmt w:val="bullet"/>
      <w:lvlText w:val=""/>
      <w:lvlJc w:val="left"/>
      <w:pPr>
        <w:tabs>
          <w:tab w:val="num" w:pos="0"/>
        </w:tabs>
        <w:ind w:left="6515" w:hanging="360"/>
      </w:pPr>
      <w:rPr>
        <w:rFonts w:ascii="Wingdings" w:hAnsi="Wingdings" w:cs="Wingdings" w:hint="default"/>
      </w:rPr>
    </w:lvl>
  </w:abstractNum>
  <w:abstractNum w:abstractNumId="8">
    <w:lvl w:ilvl="0">
      <w:start w:val="1"/>
      <w:numFmt w:val="bullet"/>
      <w:lvlText w:val=""/>
      <w:lvlJc w:val="left"/>
      <w:pPr>
        <w:tabs>
          <w:tab w:val="num" w:pos="0"/>
        </w:tabs>
        <w:ind w:left="755" w:hanging="360"/>
      </w:pPr>
      <w:rPr>
        <w:rFonts w:ascii="Symbol" w:hAnsi="Symbol" w:cs="Symbol" w:hint="default"/>
      </w:rPr>
    </w:lvl>
    <w:lvl w:ilvl="1">
      <w:start w:val="1"/>
      <w:numFmt w:val="bullet"/>
      <w:lvlText w:val="o"/>
      <w:lvlJc w:val="left"/>
      <w:pPr>
        <w:tabs>
          <w:tab w:val="num" w:pos="0"/>
        </w:tabs>
        <w:ind w:left="1475" w:hanging="360"/>
      </w:pPr>
      <w:rPr>
        <w:rFonts w:ascii="Courier New" w:hAnsi="Courier New" w:cs="Courier New" w:hint="default"/>
      </w:rPr>
    </w:lvl>
    <w:lvl w:ilvl="2">
      <w:start w:val="1"/>
      <w:numFmt w:val="bullet"/>
      <w:lvlText w:val=""/>
      <w:lvlJc w:val="left"/>
      <w:pPr>
        <w:tabs>
          <w:tab w:val="num" w:pos="0"/>
        </w:tabs>
        <w:ind w:left="2195" w:hanging="360"/>
      </w:pPr>
      <w:rPr>
        <w:rFonts w:ascii="Wingdings" w:hAnsi="Wingdings" w:cs="Wingdings" w:hint="default"/>
      </w:rPr>
    </w:lvl>
    <w:lvl w:ilvl="3">
      <w:start w:val="1"/>
      <w:numFmt w:val="bullet"/>
      <w:lvlText w:val=""/>
      <w:lvlJc w:val="left"/>
      <w:pPr>
        <w:tabs>
          <w:tab w:val="num" w:pos="0"/>
        </w:tabs>
        <w:ind w:left="2915" w:hanging="360"/>
      </w:pPr>
      <w:rPr>
        <w:rFonts w:ascii="Symbol" w:hAnsi="Symbol" w:cs="Symbol" w:hint="default"/>
      </w:rPr>
    </w:lvl>
    <w:lvl w:ilvl="4">
      <w:start w:val="1"/>
      <w:numFmt w:val="bullet"/>
      <w:lvlText w:val="o"/>
      <w:lvlJc w:val="left"/>
      <w:pPr>
        <w:tabs>
          <w:tab w:val="num" w:pos="0"/>
        </w:tabs>
        <w:ind w:left="3635" w:hanging="360"/>
      </w:pPr>
      <w:rPr>
        <w:rFonts w:ascii="Courier New" w:hAnsi="Courier New" w:cs="Courier New" w:hint="default"/>
      </w:rPr>
    </w:lvl>
    <w:lvl w:ilvl="5">
      <w:start w:val="1"/>
      <w:numFmt w:val="bullet"/>
      <w:lvlText w:val=""/>
      <w:lvlJc w:val="left"/>
      <w:pPr>
        <w:tabs>
          <w:tab w:val="num" w:pos="0"/>
        </w:tabs>
        <w:ind w:left="4355" w:hanging="360"/>
      </w:pPr>
      <w:rPr>
        <w:rFonts w:ascii="Wingdings" w:hAnsi="Wingdings" w:cs="Wingdings" w:hint="default"/>
      </w:rPr>
    </w:lvl>
    <w:lvl w:ilvl="6">
      <w:start w:val="1"/>
      <w:numFmt w:val="bullet"/>
      <w:lvlText w:val=""/>
      <w:lvlJc w:val="left"/>
      <w:pPr>
        <w:tabs>
          <w:tab w:val="num" w:pos="0"/>
        </w:tabs>
        <w:ind w:left="5075" w:hanging="360"/>
      </w:pPr>
      <w:rPr>
        <w:rFonts w:ascii="Symbol" w:hAnsi="Symbol" w:cs="Symbol" w:hint="default"/>
      </w:rPr>
    </w:lvl>
    <w:lvl w:ilvl="7">
      <w:start w:val="1"/>
      <w:numFmt w:val="bullet"/>
      <w:lvlText w:val="o"/>
      <w:lvlJc w:val="left"/>
      <w:pPr>
        <w:tabs>
          <w:tab w:val="num" w:pos="0"/>
        </w:tabs>
        <w:ind w:left="5795" w:hanging="360"/>
      </w:pPr>
      <w:rPr>
        <w:rFonts w:ascii="Courier New" w:hAnsi="Courier New" w:cs="Courier New" w:hint="default"/>
      </w:rPr>
    </w:lvl>
    <w:lvl w:ilvl="8">
      <w:start w:val="1"/>
      <w:numFmt w:val="bullet"/>
      <w:lvlText w:val=""/>
      <w:lvlJc w:val="left"/>
      <w:pPr>
        <w:tabs>
          <w:tab w:val="num" w:pos="0"/>
        </w:tabs>
        <w:ind w:left="6515" w:hanging="360"/>
      </w:pPr>
      <w:rPr>
        <w:rFonts w:ascii="Wingdings" w:hAnsi="Wingdings" w:cs="Wingdings" w:hint="default"/>
      </w:rPr>
    </w:lvl>
  </w:abstractNum>
  <w:abstractNum w:abstractNumId="9">
    <w:lvl w:ilvl="0">
      <w:start w:val="1"/>
      <w:numFmt w:val="bullet"/>
      <w:lvlText w:val=""/>
      <w:lvlJc w:val="left"/>
      <w:pPr>
        <w:tabs>
          <w:tab w:val="num" w:pos="0"/>
        </w:tabs>
        <w:ind w:left="755" w:hanging="360"/>
      </w:pPr>
      <w:rPr>
        <w:rFonts w:ascii="Symbol" w:hAnsi="Symbol" w:cs="Symbol" w:hint="default"/>
      </w:rPr>
    </w:lvl>
    <w:lvl w:ilvl="1">
      <w:start w:val="1"/>
      <w:numFmt w:val="bullet"/>
      <w:lvlText w:val="o"/>
      <w:lvlJc w:val="left"/>
      <w:pPr>
        <w:tabs>
          <w:tab w:val="num" w:pos="0"/>
        </w:tabs>
        <w:ind w:left="1475" w:hanging="360"/>
      </w:pPr>
      <w:rPr>
        <w:rFonts w:ascii="Courier New" w:hAnsi="Courier New" w:cs="Courier New" w:hint="default"/>
      </w:rPr>
    </w:lvl>
    <w:lvl w:ilvl="2">
      <w:start w:val="1"/>
      <w:numFmt w:val="bullet"/>
      <w:lvlText w:val=""/>
      <w:lvlJc w:val="left"/>
      <w:pPr>
        <w:tabs>
          <w:tab w:val="num" w:pos="0"/>
        </w:tabs>
        <w:ind w:left="2195" w:hanging="360"/>
      </w:pPr>
      <w:rPr>
        <w:rFonts w:ascii="Wingdings" w:hAnsi="Wingdings" w:cs="Wingdings" w:hint="default"/>
      </w:rPr>
    </w:lvl>
    <w:lvl w:ilvl="3">
      <w:start w:val="1"/>
      <w:numFmt w:val="bullet"/>
      <w:lvlText w:val=""/>
      <w:lvlJc w:val="left"/>
      <w:pPr>
        <w:tabs>
          <w:tab w:val="num" w:pos="0"/>
        </w:tabs>
        <w:ind w:left="2915" w:hanging="360"/>
      </w:pPr>
      <w:rPr>
        <w:rFonts w:ascii="Symbol" w:hAnsi="Symbol" w:cs="Symbol" w:hint="default"/>
      </w:rPr>
    </w:lvl>
    <w:lvl w:ilvl="4">
      <w:start w:val="1"/>
      <w:numFmt w:val="bullet"/>
      <w:lvlText w:val="o"/>
      <w:lvlJc w:val="left"/>
      <w:pPr>
        <w:tabs>
          <w:tab w:val="num" w:pos="0"/>
        </w:tabs>
        <w:ind w:left="3635" w:hanging="360"/>
      </w:pPr>
      <w:rPr>
        <w:rFonts w:ascii="Courier New" w:hAnsi="Courier New" w:cs="Courier New" w:hint="default"/>
      </w:rPr>
    </w:lvl>
    <w:lvl w:ilvl="5">
      <w:start w:val="1"/>
      <w:numFmt w:val="bullet"/>
      <w:lvlText w:val=""/>
      <w:lvlJc w:val="left"/>
      <w:pPr>
        <w:tabs>
          <w:tab w:val="num" w:pos="0"/>
        </w:tabs>
        <w:ind w:left="4355" w:hanging="360"/>
      </w:pPr>
      <w:rPr>
        <w:rFonts w:ascii="Wingdings" w:hAnsi="Wingdings" w:cs="Wingdings" w:hint="default"/>
      </w:rPr>
    </w:lvl>
    <w:lvl w:ilvl="6">
      <w:start w:val="1"/>
      <w:numFmt w:val="bullet"/>
      <w:lvlText w:val=""/>
      <w:lvlJc w:val="left"/>
      <w:pPr>
        <w:tabs>
          <w:tab w:val="num" w:pos="0"/>
        </w:tabs>
        <w:ind w:left="5075" w:hanging="360"/>
      </w:pPr>
      <w:rPr>
        <w:rFonts w:ascii="Symbol" w:hAnsi="Symbol" w:cs="Symbol" w:hint="default"/>
      </w:rPr>
    </w:lvl>
    <w:lvl w:ilvl="7">
      <w:start w:val="1"/>
      <w:numFmt w:val="bullet"/>
      <w:lvlText w:val="o"/>
      <w:lvlJc w:val="left"/>
      <w:pPr>
        <w:tabs>
          <w:tab w:val="num" w:pos="0"/>
        </w:tabs>
        <w:ind w:left="5795" w:hanging="360"/>
      </w:pPr>
      <w:rPr>
        <w:rFonts w:ascii="Courier New" w:hAnsi="Courier New" w:cs="Courier New" w:hint="default"/>
      </w:rPr>
    </w:lvl>
    <w:lvl w:ilvl="8">
      <w:start w:val="1"/>
      <w:numFmt w:val="bullet"/>
      <w:lvlText w:val=""/>
      <w:lvlJc w:val="left"/>
      <w:pPr>
        <w:tabs>
          <w:tab w:val="num" w:pos="0"/>
        </w:tabs>
        <w:ind w:left="6515"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20"/>
      <w:numFmt w:val="decimal"/>
      <w:lvlText w:val="%1."/>
      <w:lvlJc w:val="left"/>
      <w:pPr>
        <w:tabs>
          <w:tab w:val="num" w:pos="0"/>
        </w:tabs>
        <w:ind w:left="480" w:hanging="480"/>
      </w:pPr>
      <w:rPr/>
    </w:lvl>
    <w:lvl w:ilvl="1">
      <w:start w:val="1"/>
      <w:numFmt w:val="decimal"/>
      <w:lvlText w:val="%1.%2."/>
      <w:lvlJc w:val="left"/>
      <w:pPr>
        <w:tabs>
          <w:tab w:val="num" w:pos="0"/>
        </w:tabs>
        <w:ind w:left="1250" w:hanging="480"/>
      </w:pPr>
      <w:rPr/>
    </w:lvl>
    <w:lvl w:ilvl="2">
      <w:start w:val="1"/>
      <w:numFmt w:val="decimal"/>
      <w:lvlText w:val="%1.%2.%3."/>
      <w:lvlJc w:val="left"/>
      <w:pPr>
        <w:tabs>
          <w:tab w:val="num" w:pos="0"/>
        </w:tabs>
        <w:ind w:left="2260" w:hanging="720"/>
      </w:pPr>
      <w:rPr/>
    </w:lvl>
    <w:lvl w:ilvl="3">
      <w:start w:val="1"/>
      <w:numFmt w:val="decimal"/>
      <w:lvlText w:val="%1.%2.%3.%4."/>
      <w:lvlJc w:val="left"/>
      <w:pPr>
        <w:tabs>
          <w:tab w:val="num" w:pos="0"/>
        </w:tabs>
        <w:ind w:left="3030" w:hanging="720"/>
      </w:pPr>
      <w:rPr/>
    </w:lvl>
    <w:lvl w:ilvl="4">
      <w:start w:val="1"/>
      <w:numFmt w:val="decimal"/>
      <w:lvlText w:val="%1.%2.%3.%4.%5."/>
      <w:lvlJc w:val="left"/>
      <w:pPr>
        <w:tabs>
          <w:tab w:val="num" w:pos="0"/>
        </w:tabs>
        <w:ind w:left="4160" w:hanging="1080"/>
      </w:pPr>
      <w:rPr/>
    </w:lvl>
    <w:lvl w:ilvl="5">
      <w:start w:val="1"/>
      <w:numFmt w:val="decimal"/>
      <w:lvlText w:val="%1.%2.%3.%4.%5.%6."/>
      <w:lvlJc w:val="left"/>
      <w:pPr>
        <w:tabs>
          <w:tab w:val="num" w:pos="0"/>
        </w:tabs>
        <w:ind w:left="4930" w:hanging="1080"/>
      </w:pPr>
      <w:rPr/>
    </w:lvl>
    <w:lvl w:ilvl="6">
      <w:start w:val="1"/>
      <w:numFmt w:val="decimal"/>
      <w:lvlText w:val="%1.%2.%3.%4.%5.%6.%7."/>
      <w:lvlJc w:val="left"/>
      <w:pPr>
        <w:tabs>
          <w:tab w:val="num" w:pos="0"/>
        </w:tabs>
        <w:ind w:left="6060" w:hanging="1440"/>
      </w:pPr>
      <w:rPr/>
    </w:lvl>
    <w:lvl w:ilvl="7">
      <w:start w:val="1"/>
      <w:numFmt w:val="decimal"/>
      <w:lvlText w:val="%1.%2.%3.%4.%5.%6.%7.%8."/>
      <w:lvlJc w:val="left"/>
      <w:pPr>
        <w:tabs>
          <w:tab w:val="num" w:pos="0"/>
        </w:tabs>
        <w:ind w:left="6830" w:hanging="1440"/>
      </w:pPr>
      <w:rPr/>
    </w:lvl>
    <w:lvl w:ilvl="8">
      <w:start w:val="1"/>
      <w:numFmt w:val="decimal"/>
      <w:lvlText w:val="%1.%2.%3.%4.%5.%6.%7.%8.%9."/>
      <w:lvlJc w:val="left"/>
      <w:pPr>
        <w:tabs>
          <w:tab w:val="num" w:pos="0"/>
        </w:tabs>
        <w:ind w:left="7960" w:hanging="1800"/>
      </w:pPr>
      <w:rPr/>
    </w:lvl>
  </w:abstractNum>
  <w:abstractNum w:abstractNumId="16">
    <w:lvl w:ilvl="0">
      <w:start w:val="2"/>
      <w:numFmt w:val="decimal"/>
      <w:lvlText w:val="%1."/>
      <w:lvlJc w:val="left"/>
      <w:pPr>
        <w:tabs>
          <w:tab w:val="num" w:pos="360"/>
        </w:tabs>
        <w:ind w:left="360" w:hanging="360"/>
      </w:pPr>
      <w:rPr>
        <w:b w:val="false"/>
      </w:rPr>
    </w:lvl>
    <w:lvl w:ilvl="1">
      <w:start w:val="1"/>
      <w:numFmt w:val="decimal"/>
      <w:lvlText w:val="%1.%2."/>
      <w:lvlJc w:val="left"/>
      <w:pPr>
        <w:tabs>
          <w:tab w:val="num" w:pos="2210"/>
        </w:tabs>
        <w:ind w:left="2210" w:hanging="360"/>
      </w:pPr>
      <w:rPr>
        <w:b w:val="false"/>
      </w:rPr>
    </w:lvl>
    <w:lvl w:ilvl="2">
      <w:start w:val="1"/>
      <w:numFmt w:val="decimal"/>
      <w:lvlText w:val="%1.%2.%3."/>
      <w:lvlJc w:val="left"/>
      <w:pPr>
        <w:tabs>
          <w:tab w:val="num" w:pos="1490"/>
        </w:tabs>
        <w:ind w:left="1490" w:hanging="720"/>
      </w:pPr>
      <w:rPr>
        <w:b w:val="false"/>
      </w:rPr>
    </w:lvl>
    <w:lvl w:ilvl="3">
      <w:start w:val="1"/>
      <w:numFmt w:val="decimal"/>
      <w:lvlText w:val="%1.%2.%3.%4."/>
      <w:lvlJc w:val="left"/>
      <w:pPr>
        <w:tabs>
          <w:tab w:val="num" w:pos="6270"/>
        </w:tabs>
        <w:ind w:left="6270" w:hanging="720"/>
      </w:pPr>
      <w:rPr/>
    </w:lvl>
    <w:lvl w:ilvl="4">
      <w:start w:val="1"/>
      <w:numFmt w:val="decimal"/>
      <w:lvlText w:val="%1.%2.%3.%4.%5."/>
      <w:lvlJc w:val="left"/>
      <w:pPr>
        <w:tabs>
          <w:tab w:val="num" w:pos="8480"/>
        </w:tabs>
        <w:ind w:left="8480" w:hanging="1080"/>
      </w:pPr>
      <w:rPr/>
    </w:lvl>
    <w:lvl w:ilvl="5">
      <w:start w:val="1"/>
      <w:numFmt w:val="decimal"/>
      <w:lvlText w:val="%1.%2.%3.%4.%5.%6."/>
      <w:lvlJc w:val="left"/>
      <w:pPr>
        <w:tabs>
          <w:tab w:val="num" w:pos="10330"/>
        </w:tabs>
        <w:ind w:left="10330" w:hanging="1080"/>
      </w:pPr>
      <w:rPr/>
    </w:lvl>
    <w:lvl w:ilvl="6">
      <w:start w:val="1"/>
      <w:numFmt w:val="decimal"/>
      <w:lvlText w:val="%1.%2.%3.%4.%5.%6.%7."/>
      <w:lvlJc w:val="left"/>
      <w:pPr>
        <w:tabs>
          <w:tab w:val="num" w:pos="12540"/>
        </w:tabs>
        <w:ind w:left="12540" w:hanging="1440"/>
      </w:pPr>
      <w:rPr/>
    </w:lvl>
    <w:lvl w:ilvl="7">
      <w:start w:val="1"/>
      <w:numFmt w:val="decimal"/>
      <w:lvlText w:val="%1.%2.%3.%4.%5.%6.%7.%8."/>
      <w:lvlJc w:val="left"/>
      <w:pPr>
        <w:tabs>
          <w:tab w:val="num" w:pos="14390"/>
        </w:tabs>
        <w:ind w:left="14390" w:hanging="1440"/>
      </w:pPr>
      <w:rPr/>
    </w:lvl>
    <w:lvl w:ilvl="8">
      <w:start w:val="1"/>
      <w:numFmt w:val="decimal"/>
      <w:lvlText w:val="%1.%2.%3.%4.%5.%6.%7.%8.%9."/>
      <w:lvlJc w:val="left"/>
      <w:pPr>
        <w:tabs>
          <w:tab w:val="num" w:pos="16600"/>
        </w:tabs>
        <w:ind w:left="16600" w:hanging="180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d26"/>
    <w:pPr>
      <w:widowControl/>
      <w:bidi w:val="0"/>
      <w:spacing w:lineRule="auto" w:line="276" w:before="0" w:after="200"/>
      <w:jc w:val="left"/>
    </w:pPr>
    <w:rPr>
      <w:rFonts w:ascii="Times New Roman" w:hAnsi="Times New Roman" w:eastAsia="Calibri" w:cs="Times New Roman"/>
      <w:color w:val="auto"/>
      <w:kern w:val="0"/>
      <w:sz w:val="24"/>
      <w:szCs w:val="22"/>
      <w:lang w:val="lt-LT" w:eastAsia="en-US" w:bidi="ar-SA"/>
      <w14:ligatures w14:val="none"/>
    </w:rPr>
  </w:style>
  <w:style w:type="paragraph" w:styleId="Heading1">
    <w:name w:val="Heading 1"/>
    <w:basedOn w:val="Normal"/>
    <w:next w:val="Normal"/>
    <w:link w:val="Antrat1Diagrama"/>
    <w:uiPriority w:val="9"/>
    <w:qFormat/>
    <w:rsid w:val="009f2b98"/>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9f2b98"/>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9f2b98"/>
    <w:pPr>
      <w:keepNext w:val="true"/>
      <w:keepLines/>
      <w:spacing w:before="160" w:after="80"/>
      <w:outlineLvl w:val="2"/>
    </w:pPr>
    <w:rPr>
      <w:rFonts w:eastAsia="" w:cs="Times New Roman"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9f2b98"/>
    <w:pPr>
      <w:keepNext w:val="true"/>
      <w:keepLines/>
      <w:spacing w:before="80" w:after="40"/>
      <w:outlineLvl w:val="3"/>
    </w:pPr>
    <w:rPr>
      <w:rFonts w:eastAsia="" w:cs="Times New Roman"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9f2b98"/>
    <w:pPr>
      <w:keepNext w:val="true"/>
      <w:keepLines/>
      <w:spacing w:before="80" w:after="40"/>
      <w:outlineLvl w:val="4"/>
    </w:pPr>
    <w:rPr>
      <w:rFonts w:eastAsia="" w:cs="Times New Roman"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9f2b98"/>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9f2b98"/>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9f2b98"/>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9f2b98"/>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9f2b98"/>
    <w:rPr>
      <w:rFonts w:ascii="Calibri Light" w:hAnsi="Calibri Light" w:eastAsia="" w:cs="Times New Roman" w:asciiTheme="majorHAnsi" w:cstheme="majorBidi" w:eastAsiaTheme="majorEastAsia" w:hAnsiTheme="majorHAnsi"/>
      <w:color w:themeColor="accent1" w:themeShade="bf" w:val="2F5496"/>
      <w:sz w:val="40"/>
      <w:szCs w:val="40"/>
      <w:lang w:val="lt-LT"/>
    </w:rPr>
  </w:style>
  <w:style w:type="character" w:styleId="Antrat2Diagrama" w:customStyle="1">
    <w:name w:val="Antraštė 2 Diagrama"/>
    <w:basedOn w:val="DefaultParagraphFont"/>
    <w:link w:val="Heading2"/>
    <w:uiPriority w:val="9"/>
    <w:semiHidden/>
    <w:qFormat/>
    <w:rsid w:val="009f2b98"/>
    <w:rPr>
      <w:rFonts w:ascii="Calibri Light" w:hAnsi="Calibri Light" w:eastAsia="" w:cs="Times New Roman" w:asciiTheme="majorHAnsi" w:cstheme="majorBidi" w:eastAsiaTheme="majorEastAsia" w:hAnsiTheme="majorHAnsi"/>
      <w:color w:themeColor="accent1" w:themeShade="bf" w:val="2F5496"/>
      <w:sz w:val="32"/>
      <w:szCs w:val="32"/>
      <w:lang w:val="lt-LT"/>
    </w:rPr>
  </w:style>
  <w:style w:type="character" w:styleId="Antrat3Diagrama" w:customStyle="1">
    <w:name w:val="Antraštė 3 Diagrama"/>
    <w:basedOn w:val="DefaultParagraphFont"/>
    <w:link w:val="Heading3"/>
    <w:uiPriority w:val="9"/>
    <w:semiHidden/>
    <w:qFormat/>
    <w:rsid w:val="009f2b98"/>
    <w:rPr>
      <w:rFonts w:eastAsia="" w:cs="Times New Roman" w:cstheme="majorBidi" w:eastAsiaTheme="majorEastAsia"/>
      <w:color w:themeColor="accent1" w:themeShade="bf" w:val="2F5496"/>
      <w:sz w:val="28"/>
      <w:szCs w:val="28"/>
      <w:lang w:val="lt-LT"/>
    </w:rPr>
  </w:style>
  <w:style w:type="character" w:styleId="Antrat4Diagrama" w:customStyle="1">
    <w:name w:val="Antraštė 4 Diagrama"/>
    <w:basedOn w:val="DefaultParagraphFont"/>
    <w:link w:val="Heading4"/>
    <w:uiPriority w:val="9"/>
    <w:semiHidden/>
    <w:qFormat/>
    <w:rsid w:val="009f2b98"/>
    <w:rPr>
      <w:rFonts w:eastAsia="" w:cs="Times New Roman" w:cstheme="majorBidi" w:eastAsiaTheme="majorEastAsia"/>
      <w:i/>
      <w:iCs/>
      <w:color w:themeColor="accent1" w:themeShade="bf" w:val="2F5496"/>
      <w:lang w:val="lt-LT"/>
    </w:rPr>
  </w:style>
  <w:style w:type="character" w:styleId="Antrat5Diagrama" w:customStyle="1">
    <w:name w:val="Antraštė 5 Diagrama"/>
    <w:basedOn w:val="DefaultParagraphFont"/>
    <w:link w:val="Heading5"/>
    <w:uiPriority w:val="9"/>
    <w:semiHidden/>
    <w:qFormat/>
    <w:rsid w:val="009f2b98"/>
    <w:rPr>
      <w:rFonts w:eastAsia="" w:cs="Times New Roman" w:cstheme="majorBidi" w:eastAsiaTheme="majorEastAsia"/>
      <w:color w:themeColor="accent1" w:themeShade="bf" w:val="2F5496"/>
      <w:lang w:val="lt-LT"/>
    </w:rPr>
  </w:style>
  <w:style w:type="character" w:styleId="Antrat6Diagrama" w:customStyle="1">
    <w:name w:val="Antraštė 6 Diagrama"/>
    <w:basedOn w:val="DefaultParagraphFont"/>
    <w:link w:val="Heading6"/>
    <w:uiPriority w:val="9"/>
    <w:semiHidden/>
    <w:qFormat/>
    <w:rsid w:val="009f2b98"/>
    <w:rPr>
      <w:rFonts w:eastAsia="" w:cs="Times New Roman" w:cstheme="majorBidi" w:eastAsiaTheme="majorEastAsia"/>
      <w:i/>
      <w:iCs/>
      <w:color w:themeColor="text1" w:themeTint="a6" w:val="595959"/>
      <w:lang w:val="lt-LT"/>
    </w:rPr>
  </w:style>
  <w:style w:type="character" w:styleId="Antrat7Diagrama" w:customStyle="1">
    <w:name w:val="Antraštė 7 Diagrama"/>
    <w:basedOn w:val="DefaultParagraphFont"/>
    <w:link w:val="Heading7"/>
    <w:uiPriority w:val="9"/>
    <w:semiHidden/>
    <w:qFormat/>
    <w:rsid w:val="009f2b98"/>
    <w:rPr>
      <w:rFonts w:eastAsia="" w:cs="Times New Roman" w:cstheme="majorBidi" w:eastAsiaTheme="majorEastAsia"/>
      <w:color w:themeColor="text1" w:themeTint="a6" w:val="595959"/>
      <w:lang w:val="lt-LT"/>
    </w:rPr>
  </w:style>
  <w:style w:type="character" w:styleId="Antrat8Diagrama" w:customStyle="1">
    <w:name w:val="Antraštė 8 Diagrama"/>
    <w:basedOn w:val="DefaultParagraphFont"/>
    <w:link w:val="Heading8"/>
    <w:uiPriority w:val="9"/>
    <w:semiHidden/>
    <w:qFormat/>
    <w:rsid w:val="009f2b98"/>
    <w:rPr>
      <w:rFonts w:eastAsia="" w:cs="Times New Roman" w:cstheme="majorBidi" w:eastAsiaTheme="majorEastAsia"/>
      <w:i/>
      <w:iCs/>
      <w:color w:themeColor="text1" w:themeTint="d8" w:val="272727"/>
      <w:lang w:val="lt-LT"/>
    </w:rPr>
  </w:style>
  <w:style w:type="character" w:styleId="Antrat9Diagrama" w:customStyle="1">
    <w:name w:val="Antraštė 9 Diagrama"/>
    <w:basedOn w:val="DefaultParagraphFont"/>
    <w:link w:val="Heading9"/>
    <w:uiPriority w:val="9"/>
    <w:semiHidden/>
    <w:qFormat/>
    <w:rsid w:val="009f2b98"/>
    <w:rPr>
      <w:rFonts w:eastAsia="" w:cs="Times New Roman" w:cstheme="majorBidi" w:eastAsiaTheme="majorEastAsia"/>
      <w:color w:themeColor="text1" w:themeTint="d8" w:val="272727"/>
      <w:lang w:val="lt-LT"/>
    </w:rPr>
  </w:style>
  <w:style w:type="character" w:styleId="PavadinimasDiagrama" w:customStyle="1">
    <w:name w:val="Pavadinimas Diagrama"/>
    <w:basedOn w:val="DefaultParagraphFont"/>
    <w:link w:val="Title"/>
    <w:uiPriority w:val="10"/>
    <w:qFormat/>
    <w:rsid w:val="009f2b98"/>
    <w:rPr>
      <w:rFonts w:ascii="Calibri Light" w:hAnsi="Calibri Light" w:eastAsia="" w:cs="Times New Roman" w:asciiTheme="majorHAnsi" w:cstheme="majorBidi" w:eastAsiaTheme="majorEastAsia" w:hAnsiTheme="majorHAnsi"/>
      <w:spacing w:val="-10"/>
      <w:kern w:val="2"/>
      <w:sz w:val="56"/>
      <w:szCs w:val="56"/>
      <w:lang w:val="lt-LT"/>
    </w:rPr>
  </w:style>
  <w:style w:type="character" w:styleId="PaantratDiagrama" w:customStyle="1">
    <w:name w:val="Paantraštė Diagrama"/>
    <w:basedOn w:val="DefaultParagraphFont"/>
    <w:link w:val="Subtitle"/>
    <w:uiPriority w:val="11"/>
    <w:qFormat/>
    <w:rsid w:val="009f2b98"/>
    <w:rPr>
      <w:rFonts w:eastAsia="" w:cs="Times New Roman" w:cstheme="majorBidi" w:eastAsiaTheme="majorEastAsia"/>
      <w:color w:themeColor="text1" w:themeTint="a6" w:val="595959"/>
      <w:spacing w:val="15"/>
      <w:sz w:val="28"/>
      <w:szCs w:val="28"/>
      <w:lang w:val="lt-LT"/>
    </w:rPr>
  </w:style>
  <w:style w:type="character" w:styleId="CitataDiagrama" w:customStyle="1">
    <w:name w:val="Citata Diagrama"/>
    <w:basedOn w:val="DefaultParagraphFont"/>
    <w:link w:val="Quote"/>
    <w:uiPriority w:val="29"/>
    <w:qFormat/>
    <w:rsid w:val="009f2b98"/>
    <w:rPr>
      <w:i/>
      <w:iCs/>
      <w:color w:themeColor="text1" w:themeTint="bf" w:val="404040"/>
      <w:lang w:val="lt-LT"/>
    </w:rPr>
  </w:style>
  <w:style w:type="character" w:styleId="IntenseEmphasis">
    <w:name w:val="Intense Emphasis"/>
    <w:basedOn w:val="DefaultParagraphFont"/>
    <w:uiPriority w:val="21"/>
    <w:qFormat/>
    <w:rsid w:val="009f2b98"/>
    <w:rPr>
      <w:i/>
      <w:iCs/>
      <w:color w:themeColor="accent1" w:themeShade="bf" w:val="2F5496"/>
    </w:rPr>
  </w:style>
  <w:style w:type="character" w:styleId="IskirtacitataDiagrama" w:customStyle="1">
    <w:name w:val="Išskirta citata Diagrama"/>
    <w:basedOn w:val="DefaultParagraphFont"/>
    <w:link w:val="IntenseQuote"/>
    <w:uiPriority w:val="30"/>
    <w:qFormat/>
    <w:rsid w:val="009f2b98"/>
    <w:rPr>
      <w:i/>
      <w:iCs/>
      <w:color w:themeColor="accent1" w:themeShade="bf" w:val="2F5496"/>
      <w:lang w:val="lt-LT"/>
    </w:rPr>
  </w:style>
  <w:style w:type="character" w:styleId="IntenseReference">
    <w:name w:val="Intense Reference"/>
    <w:basedOn w:val="DefaultParagraphFont"/>
    <w:uiPriority w:val="32"/>
    <w:qFormat/>
    <w:rsid w:val="009f2b98"/>
    <w:rPr>
      <w:b/>
      <w:bCs/>
      <w:smallCaps/>
      <w:color w:themeColor="accent1" w:themeShade="bf" w:val="2F5496"/>
      <w:spacing w:val="5"/>
    </w:rPr>
  </w:style>
  <w:style w:type="character" w:styleId="PoratDiagrama" w:customStyle="1">
    <w:name w:val="Poraštė Diagrama"/>
    <w:basedOn w:val="DefaultParagraphFont"/>
    <w:link w:val="Footer"/>
    <w:qFormat/>
    <w:rsid w:val="00505d26"/>
    <w:rPr>
      <w:rFonts w:ascii="Times New Roman" w:hAnsi="Times New Roman" w:eastAsia="Times New Roman" w:cs="Times New Roman"/>
      <w:kern w:val="0"/>
      <w:sz w:val="24"/>
      <w:szCs w:val="24"/>
      <w:lang w:val="lt-LT"/>
      <w14:ligatures w14:val="none"/>
    </w:rPr>
  </w:style>
  <w:style w:type="character" w:styleId="SraopastraipaDiagrama" w:customStyle="1">
    <w:name w:val="Sąrašo pastraipa Diagrama"/>
    <w:link w:val="Sraopastraipa1"/>
    <w:uiPriority w:val="34"/>
    <w:qFormat/>
    <w:locked/>
    <w:rsid w:val="00505d26"/>
    <w:rPr>
      <w:rFonts w:ascii="Times New Roman" w:hAnsi="Times New Roman" w:eastAsia="Times New Roman" w:cs="Times New Roman"/>
      <w:kern w:val="0"/>
      <w:sz w:val="24"/>
      <w:szCs w:val="24"/>
      <w:lang w:val="lt-LT" w:eastAsia="lt-LT"/>
      <w14:ligatures w14:val="none"/>
    </w:rPr>
  </w:style>
  <w:style w:type="character" w:styleId="TableChar" w:customStyle="1">
    <w:name w:val="Table Char"/>
    <w:link w:val="Table"/>
    <w:qFormat/>
    <w:rsid w:val="00505d26"/>
    <w:rPr>
      <w:rFonts w:ascii="Arial" w:hAnsi="Arial" w:eastAsia="Arial Unicode MS" w:cs="Arial"/>
      <w:kern w:val="0"/>
      <w:sz w:val="20"/>
      <w:szCs w:val="20"/>
      <w:lang w:val="lt-LT"/>
      <w14:ligatures w14:val="none"/>
    </w:rPr>
  </w:style>
  <w:style w:type="character" w:styleId="AntratDiagrama" w:customStyle="1">
    <w:name w:val="Antraštė Diagrama"/>
    <w:link w:val="Caption1"/>
    <w:qFormat/>
    <w:rsid w:val="00505d26"/>
    <w:rPr>
      <w:rFonts w:ascii="Cambria" w:hAnsi="Cambria" w:eastAsia="Calibri" w:cs="DokChampa"/>
      <w:caps/>
      <w:spacing w:val="10"/>
      <w:kern w:val="0"/>
      <w:sz w:val="18"/>
      <w:szCs w:val="18"/>
      <w:lang w:bidi="en-US"/>
      <w14:ligatures w14:val="none"/>
    </w:rPr>
  </w:style>
  <w:style w:type="character" w:styleId="Annotationreference">
    <w:name w:val="annotation reference"/>
    <w:basedOn w:val="DefaultParagraphFont"/>
    <w:uiPriority w:val="99"/>
    <w:semiHidden/>
    <w:unhideWhenUsed/>
    <w:qFormat/>
    <w:rsid w:val="00363f1d"/>
    <w:rPr>
      <w:sz w:val="16"/>
      <w:szCs w:val="16"/>
    </w:rPr>
  </w:style>
  <w:style w:type="character" w:styleId="KomentarotekstasDiagrama" w:customStyle="1">
    <w:name w:val="Komentaro tekstas Diagrama"/>
    <w:basedOn w:val="DefaultParagraphFont"/>
    <w:link w:val="Annotationtext"/>
    <w:uiPriority w:val="99"/>
    <w:qFormat/>
    <w:rsid w:val="00363f1d"/>
    <w:rPr>
      <w:rFonts w:ascii="Times New Roman" w:hAnsi="Times New Roman" w:eastAsia="Calibri" w:cs="Times New Roman"/>
      <w:kern w:val="0"/>
      <w:sz w:val="20"/>
      <w:szCs w:val="20"/>
      <w:lang w:val="lt-LT"/>
      <w14:ligatures w14:val="none"/>
    </w:rPr>
  </w:style>
  <w:style w:type="character" w:styleId="KomentarotemaDiagrama" w:customStyle="1">
    <w:name w:val="Komentaro tema Diagrama"/>
    <w:basedOn w:val="KomentarotekstasDiagrama"/>
    <w:link w:val="Annotationsubject"/>
    <w:uiPriority w:val="99"/>
    <w:semiHidden/>
    <w:qFormat/>
    <w:rsid w:val="00363f1d"/>
    <w:rPr>
      <w:rFonts w:ascii="Times New Roman" w:hAnsi="Times New Roman" w:eastAsia="Calibri" w:cs="Times New Roman"/>
      <w:b/>
      <w:bCs/>
      <w:kern w:val="0"/>
      <w:sz w:val="20"/>
      <w:szCs w:val="20"/>
      <w:lang w:val="lt-LT"/>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9f2b98"/>
    <w:pPr>
      <w:spacing w:lineRule="auto" w:line="240"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9f2b98"/>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9f2b98"/>
    <w:pPr>
      <w:spacing w:before="160" w:after="200"/>
      <w:jc w:val="center"/>
    </w:pPr>
    <w:rPr>
      <w:i/>
      <w:iCs/>
      <w:color w:themeColor="text1" w:themeTint="bf" w:val="404040"/>
    </w:rPr>
  </w:style>
  <w:style w:type="paragraph" w:styleId="ListParagraph">
    <w:name w:val="List Paragraph"/>
    <w:basedOn w:val="Normal"/>
    <w:uiPriority w:val="34"/>
    <w:qFormat/>
    <w:rsid w:val="009f2b98"/>
    <w:pPr>
      <w:spacing w:before="0" w:after="200"/>
      <w:ind w:left="720"/>
      <w:contextualSpacing/>
    </w:pPr>
    <w:rPr/>
  </w:style>
  <w:style w:type="paragraph" w:styleId="IntenseQuote">
    <w:name w:val="Intense Quote"/>
    <w:basedOn w:val="Normal"/>
    <w:next w:val="Normal"/>
    <w:link w:val="IskirtacitataDiagrama"/>
    <w:uiPriority w:val="30"/>
    <w:qFormat/>
    <w:rsid w:val="009f2b98"/>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Footer">
    <w:name w:val="Footer"/>
    <w:basedOn w:val="Normal"/>
    <w:link w:val="PoratDiagrama"/>
    <w:rsid w:val="00505d26"/>
    <w:pPr>
      <w:tabs>
        <w:tab w:val="clear" w:pos="720"/>
        <w:tab w:val="center" w:pos="4153" w:leader="none"/>
        <w:tab w:val="right" w:pos="8306" w:leader="none"/>
      </w:tabs>
      <w:spacing w:lineRule="auto" w:line="240" w:before="0" w:after="0"/>
    </w:pPr>
    <w:rPr>
      <w:rFonts w:eastAsia="Times New Roman"/>
      <w:szCs w:val="24"/>
    </w:rPr>
  </w:style>
  <w:style w:type="paragraph" w:styleId="Sraopastraipa1" w:customStyle="1">
    <w:name w:val="Sąrašo pastraipa1"/>
    <w:basedOn w:val="Normal"/>
    <w:link w:val="SraopastraipaDiagrama"/>
    <w:uiPriority w:val="34"/>
    <w:qFormat/>
    <w:rsid w:val="00505d26"/>
    <w:pPr>
      <w:spacing w:lineRule="auto" w:line="240" w:before="0" w:after="0"/>
      <w:ind w:left="720"/>
      <w:contextualSpacing/>
    </w:pPr>
    <w:rPr>
      <w:rFonts w:eastAsia="Times New Roman"/>
      <w:szCs w:val="24"/>
      <w:lang w:eastAsia="lt-LT"/>
    </w:rPr>
  </w:style>
  <w:style w:type="paragraph" w:styleId="Table" w:customStyle="1">
    <w:name w:val="Table"/>
    <w:basedOn w:val="Normal"/>
    <w:link w:val="TableChar"/>
    <w:qFormat/>
    <w:rsid w:val="00505d26"/>
    <w:pPr>
      <w:spacing w:lineRule="auto" w:line="240" w:before="40" w:after="40"/>
    </w:pPr>
    <w:rPr>
      <w:rFonts w:ascii="Arial" w:hAnsi="Arial" w:eastAsia="Arial Unicode MS" w:cs="Arial"/>
      <w:sz w:val="20"/>
      <w:szCs w:val="20"/>
    </w:rPr>
  </w:style>
  <w:style w:type="paragraph" w:styleId="TableTitle" w:customStyle="1">
    <w:name w:val="Table Title"/>
    <w:basedOn w:val="Table"/>
    <w:qFormat/>
    <w:rsid w:val="00505d26"/>
    <w:pPr>
      <w:keepNext w:val="true"/>
      <w:spacing w:before="80" w:after="80"/>
      <w:jc w:val="center"/>
    </w:pPr>
    <w:rPr>
      <w:b/>
    </w:rPr>
  </w:style>
  <w:style w:type="paragraph" w:styleId="Normalnumbered4" w:customStyle="1">
    <w:name w:val="Normal numbered 4"/>
    <w:basedOn w:val="Normalnumbered3"/>
    <w:qFormat/>
    <w:rsid w:val="00505d26"/>
    <w:pPr/>
    <w:rPr/>
  </w:style>
  <w:style w:type="paragraph" w:styleId="Normalnumbered1" w:customStyle="1">
    <w:name w:val="Normal numbered 1"/>
    <w:basedOn w:val="Normal"/>
    <w:qFormat/>
    <w:rsid w:val="00505d26"/>
    <w:pPr>
      <w:numPr>
        <w:ilvl w:val="0"/>
        <w:numId w:val="1"/>
      </w:numPr>
      <w:spacing w:lineRule="auto" w:line="240" w:before="120" w:after="0"/>
      <w:jc w:val="both"/>
    </w:pPr>
    <w:rPr>
      <w:rFonts w:ascii="Arial" w:hAnsi="Arial" w:eastAsia="Arial Unicode MS" w:cs="Arial"/>
      <w:sz w:val="20"/>
      <w:szCs w:val="20"/>
    </w:rPr>
  </w:style>
  <w:style w:type="paragraph" w:styleId="Normalnumbered3" w:customStyle="1">
    <w:name w:val="Normal numbered 3"/>
    <w:basedOn w:val="Normalnumbered2"/>
    <w:qFormat/>
    <w:rsid w:val="00505d26"/>
    <w:pPr/>
    <w:rPr/>
  </w:style>
  <w:style w:type="paragraph" w:styleId="Normalnumbered2" w:customStyle="1">
    <w:name w:val="Normal numbered 2"/>
    <w:basedOn w:val="Normalnumbered1"/>
    <w:qFormat/>
    <w:rsid w:val="00505d26"/>
    <w:pPr/>
    <w:rPr/>
  </w:style>
  <w:style w:type="paragraph" w:styleId="TaBult1" w:customStyle="1">
    <w:name w:val="TaBult 1"/>
    <w:basedOn w:val="Table"/>
    <w:qFormat/>
    <w:rsid w:val="00505d26"/>
    <w:pPr>
      <w:numPr>
        <w:ilvl w:val="0"/>
        <w:numId w:val="2"/>
      </w:numPr>
      <w:tabs>
        <w:tab w:val="clear" w:pos="720"/>
        <w:tab w:val="left" w:pos="360" w:leader="none"/>
      </w:tabs>
      <w:ind w:hanging="360" w:left="360"/>
    </w:pPr>
    <w:rPr/>
  </w:style>
  <w:style w:type="paragraph" w:styleId="Caption1">
    <w:name w:val="caption1"/>
    <w:basedOn w:val="Normal"/>
    <w:next w:val="Normal"/>
    <w:link w:val="AntratDiagrama"/>
    <w:qFormat/>
    <w:rsid w:val="00505d26"/>
    <w:pPr>
      <w:spacing w:lineRule="auto" w:line="252" w:beforeAutospacing="1" w:afterAutospacing="1"/>
      <w:ind w:right="68"/>
      <w:jc w:val="both"/>
    </w:pPr>
    <w:rPr>
      <w:rFonts w:ascii="Cambria" w:hAnsi="Cambria" w:cs="DokChampa"/>
      <w:caps/>
      <w:spacing w:val="10"/>
      <w:sz w:val="18"/>
      <w:szCs w:val="18"/>
      <w:lang w:val="en-US" w:bidi="en-US"/>
    </w:rPr>
  </w:style>
  <w:style w:type="paragraph" w:styleId="NormalWeb">
    <w:name w:val="Normal (Web)"/>
    <w:basedOn w:val="Normal"/>
    <w:uiPriority w:val="99"/>
    <w:unhideWhenUsed/>
    <w:qFormat/>
    <w:rsid w:val="00443630"/>
    <w:pPr>
      <w:spacing w:lineRule="auto" w:line="240" w:beforeAutospacing="1" w:afterAutospacing="1"/>
    </w:pPr>
    <w:rPr>
      <w:rFonts w:eastAsia="" w:eastAsiaTheme="minorEastAsia"/>
      <w:szCs w:val="24"/>
      <w:lang w:eastAsia="lt-LT"/>
    </w:rPr>
  </w:style>
  <w:style w:type="paragraph" w:styleId="Revision">
    <w:name w:val="Revision"/>
    <w:uiPriority w:val="99"/>
    <w:semiHidden/>
    <w:qFormat/>
    <w:rsid w:val="00363f1d"/>
    <w:pPr>
      <w:widowControl/>
      <w:bidi w:val="0"/>
      <w:spacing w:lineRule="auto" w:line="240" w:before="0" w:after="0"/>
      <w:jc w:val="left"/>
    </w:pPr>
    <w:rPr>
      <w:rFonts w:ascii="Times New Roman" w:hAnsi="Times New Roman" w:eastAsia="Calibri" w:cs="Times New Roman"/>
      <w:color w:val="auto"/>
      <w:kern w:val="0"/>
      <w:sz w:val="24"/>
      <w:szCs w:val="22"/>
      <w:lang w:val="lt-LT" w:eastAsia="en-US" w:bidi="ar-SA"/>
      <w14:ligatures w14:val="none"/>
    </w:rPr>
  </w:style>
  <w:style w:type="paragraph" w:styleId="Annotationtext">
    <w:name w:val="annotation text"/>
    <w:basedOn w:val="Normal"/>
    <w:link w:val="KomentarotekstasDiagrama"/>
    <w:uiPriority w:val="99"/>
    <w:unhideWhenUsed/>
    <w:qFormat/>
    <w:rsid w:val="00363f1d"/>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363f1d"/>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18BB-659A-4E93-B75A-0877A46E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LibreOffice/7.6.4.1$Windows_X86_64 LibreOffice_project/e19e193f88cd6c0525a17fb7a176ed8e6a3e2aa1</Application>
  <AppVersion>15.0000</AppVersion>
  <Pages>7</Pages>
  <Words>2045</Words>
  <Characters>15073</Characters>
  <CharactersWithSpaces>16924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2025-02-21T08:44:00Z</dcterms:created>
  <dc:creator>Juratė Miceikienė</dc:creator>
  <dc:description/>
  <dc:language>en-US</dc:language>
  <cp:lastModifiedBy>Juratė Miceikienė</cp:lastModifiedBy>
  <cp:lastPrinted>2025-01-30T12:10:00Z</cp:lastPrinted>
  <dcterms:modified xsi:type="dcterms:W3CDTF">2025-02-26T14:22:00Z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