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90358" w14:textId="77777777" w:rsidR="00DD2B98" w:rsidRPr="00472E9A" w:rsidRDefault="00A67C1F">
      <w:pPr>
        <w:pStyle w:val="Antrats"/>
        <w:tabs>
          <w:tab w:val="left" w:pos="1296"/>
        </w:tabs>
        <w:rPr>
          <w:sz w:val="22"/>
          <w:szCs w:val="22"/>
        </w:rPr>
      </w:pPr>
      <w:r w:rsidRPr="00472E9A">
        <w:rPr>
          <w:noProof/>
          <w:sz w:val="22"/>
          <w:szCs w:val="22"/>
        </w:rPr>
        <mc:AlternateContent>
          <mc:Choice Requires="wps">
            <w:drawing>
              <wp:anchor distT="0" distB="0" distL="114300" distR="114300" simplePos="0" relativeHeight="251657728" behindDoc="0" locked="0" layoutInCell="1" allowOverlap="1" wp14:anchorId="3AE9FD6E" wp14:editId="3DAC3163">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DF59D" w14:textId="77777777" w:rsidR="00DD2B98" w:rsidRDefault="00DD2B98">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9FD6E"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646DF59D" w14:textId="77777777" w:rsidR="00DD2B98" w:rsidRDefault="00DD2B98">
                      <w:pPr>
                        <w:pStyle w:val="Antrat1"/>
                        <w:rPr>
                          <w:color w:val="671527"/>
                          <w:sz w:val="26"/>
                        </w:rPr>
                      </w:pPr>
                      <w:r>
                        <w:rPr>
                          <w:color w:val="671527"/>
                          <w:sz w:val="26"/>
                        </w:rPr>
                        <w:t>VALSTYBĖS ĮMONĖ TURTO BANKAS</w:t>
                      </w:r>
                    </w:p>
                  </w:txbxContent>
                </v:textbox>
              </v:shape>
            </w:pict>
          </mc:Fallback>
        </mc:AlternateContent>
      </w:r>
      <w:r w:rsidRPr="00472E9A">
        <w:rPr>
          <w:noProof/>
          <w:sz w:val="22"/>
          <w:szCs w:val="22"/>
        </w:rPr>
        <w:drawing>
          <wp:inline distT="0" distB="0" distL="0" distR="0" wp14:anchorId="11EF874C" wp14:editId="2D262A67">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5802200F" w14:textId="77777777" w:rsidR="00DD2B98" w:rsidRPr="00472E9A" w:rsidRDefault="00DD2B98">
      <w:pPr>
        <w:pStyle w:val="Antrats"/>
        <w:tabs>
          <w:tab w:val="left" w:pos="1296"/>
        </w:tabs>
        <w:rPr>
          <w:sz w:val="22"/>
          <w:szCs w:val="22"/>
        </w:rPr>
      </w:pPr>
    </w:p>
    <w:p w14:paraId="6494B82A" w14:textId="77777777" w:rsidR="00DD2B98" w:rsidRPr="00472E9A" w:rsidRDefault="00DD2B98">
      <w:pPr>
        <w:rPr>
          <w:sz w:val="22"/>
          <w:szCs w:val="22"/>
        </w:rPr>
        <w:sectPr w:rsidR="00DD2B98" w:rsidRPr="00472E9A" w:rsidSect="00880FD3">
          <w:headerReference w:type="default" r:id="rId13"/>
          <w:footerReference w:type="default" r:id="rId14"/>
          <w:pgSz w:w="11906" w:h="16838"/>
          <w:pgMar w:top="1134" w:right="567" w:bottom="1134" w:left="1701" w:header="567" w:footer="142" w:gutter="0"/>
          <w:cols w:space="708"/>
          <w:docGrid w:linePitch="360"/>
        </w:sectPr>
      </w:pPr>
    </w:p>
    <w:p w14:paraId="27EC254B" w14:textId="77777777" w:rsidR="00A96388" w:rsidRDefault="00A96388" w:rsidP="00BB38AB">
      <w:pPr>
        <w:rPr>
          <w:sz w:val="22"/>
          <w:szCs w:val="22"/>
        </w:rPr>
      </w:pPr>
    </w:p>
    <w:p w14:paraId="7C8A99B4" w14:textId="77777777" w:rsidR="00A96388" w:rsidRDefault="00694B1B" w:rsidP="00BB38AB">
      <w:r w:rsidRPr="00A96388">
        <w:t>Tiekėjams</w:t>
      </w:r>
    </w:p>
    <w:p w14:paraId="3869FF7F" w14:textId="3B7116F5" w:rsidR="00BB38AB" w:rsidRPr="00A96388" w:rsidRDefault="00694B1B" w:rsidP="00BB38AB">
      <w:r w:rsidRPr="00A96388">
        <w:tab/>
      </w:r>
      <w:r w:rsidR="005B1BA2" w:rsidRPr="00A96388">
        <w:tab/>
      </w:r>
      <w:r w:rsidR="005B1BA2" w:rsidRPr="00A96388">
        <w:tab/>
      </w:r>
      <w:r w:rsidR="005B1BA2" w:rsidRPr="00A96388">
        <w:tab/>
      </w:r>
      <w:r w:rsidR="005B1BA2" w:rsidRPr="00A96388">
        <w:tab/>
      </w:r>
      <w:r w:rsidR="005B1BA2" w:rsidRPr="00A96388">
        <w:tab/>
      </w:r>
    </w:p>
    <w:p w14:paraId="7C5BF700" w14:textId="77777777" w:rsidR="00BB38AB" w:rsidRPr="00472E9A" w:rsidRDefault="00BB38AB" w:rsidP="00BB38AB">
      <w:pPr>
        <w:rPr>
          <w:sz w:val="22"/>
          <w:szCs w:val="22"/>
        </w:rPr>
      </w:pPr>
      <w:r w:rsidRPr="00A96388">
        <w:t>Siunčiama CVP IS priemonėmis</w:t>
      </w:r>
    </w:p>
    <w:p w14:paraId="3DF5D7FC" w14:textId="745621D4" w:rsidR="0063541A" w:rsidRPr="00472E9A" w:rsidRDefault="0063541A" w:rsidP="00BB38AB">
      <w:pPr>
        <w:rPr>
          <w:sz w:val="22"/>
          <w:szCs w:val="22"/>
        </w:rPr>
      </w:pPr>
    </w:p>
    <w:p w14:paraId="275CC7FD" w14:textId="77777777" w:rsidR="008062FE" w:rsidRPr="00472E9A" w:rsidRDefault="008062FE" w:rsidP="00BB38AB">
      <w:pPr>
        <w:rPr>
          <w:sz w:val="22"/>
          <w:szCs w:val="22"/>
        </w:rPr>
      </w:pPr>
    </w:p>
    <w:p w14:paraId="2C797B7F" w14:textId="1ABD9017" w:rsidR="001A783D" w:rsidRPr="00A96388" w:rsidRDefault="00EC033B" w:rsidP="6A14EBDF">
      <w:pPr>
        <w:jc w:val="both"/>
        <w:rPr>
          <w:b/>
          <w:bCs/>
        </w:rPr>
      </w:pPr>
      <w:r w:rsidRPr="00A96388">
        <w:rPr>
          <w:b/>
          <w:bCs/>
        </w:rPr>
        <w:t>DĖL ATSAKYMŲ Į KLAUSIMUS</w:t>
      </w:r>
      <w:r w:rsidR="00BD5B25">
        <w:rPr>
          <w:b/>
          <w:bCs/>
        </w:rPr>
        <w:t xml:space="preserve"> IR TERMINO NUKĖLIMO</w:t>
      </w:r>
    </w:p>
    <w:p w14:paraId="198032CF" w14:textId="77777777" w:rsidR="005E1FD1" w:rsidRPr="00A96388" w:rsidRDefault="005E1FD1" w:rsidP="6A14EBDF">
      <w:pPr>
        <w:jc w:val="both"/>
        <w:rPr>
          <w:b/>
          <w:bCs/>
        </w:rPr>
      </w:pPr>
    </w:p>
    <w:p w14:paraId="0E3E7C73" w14:textId="77777777" w:rsidR="001A783D" w:rsidRPr="00A96388" w:rsidRDefault="001A783D" w:rsidP="001A783D">
      <w:pPr>
        <w:jc w:val="both"/>
      </w:pPr>
    </w:p>
    <w:p w14:paraId="5060B05A" w14:textId="5468AC23" w:rsidR="006F4DA1" w:rsidRDefault="001A783D" w:rsidP="00A96388">
      <w:pPr>
        <w:tabs>
          <w:tab w:val="left" w:pos="567"/>
          <w:tab w:val="left" w:pos="2268"/>
        </w:tabs>
        <w:spacing w:before="240" w:after="240"/>
        <w:ind w:firstLine="567"/>
        <w:contextualSpacing/>
        <w:jc w:val="both"/>
        <w:rPr>
          <w:lang w:eastAsia="en-US"/>
        </w:rPr>
      </w:pPr>
      <w:r w:rsidRPr="00A96388">
        <w:t>Valstybės įmonės Turto banko</w:t>
      </w:r>
      <w:r w:rsidR="006C0FBB" w:rsidRPr="00A96388">
        <w:t xml:space="preserve"> (toliau – Perkančioji organizacija)</w:t>
      </w:r>
      <w:r w:rsidR="0069799C" w:rsidRPr="00A96388">
        <w:t xml:space="preserve"> </w:t>
      </w:r>
      <w:r w:rsidRPr="00A96388">
        <w:t>viešojo pirkimo komisija</w:t>
      </w:r>
      <w:r w:rsidR="00D84AD1">
        <w:t xml:space="preserve"> (toliai – Komisija)</w:t>
      </w:r>
      <w:r w:rsidRPr="00A96388">
        <w:t>, vykdydama</w:t>
      </w:r>
      <w:r w:rsidR="00694B1B" w:rsidRPr="00A96388">
        <w:t xml:space="preserve"> </w:t>
      </w:r>
      <w:r w:rsidR="00A6593F" w:rsidRPr="00A96388">
        <w:t xml:space="preserve">viešojo pirkimo </w:t>
      </w:r>
      <w:r w:rsidR="005C6165" w:rsidRPr="00A96388">
        <w:t>atviro konkurso</w:t>
      </w:r>
      <w:r w:rsidR="00FE3F18" w:rsidRPr="00A96388">
        <w:t xml:space="preserve"> </w:t>
      </w:r>
      <w:r w:rsidR="00A6593F" w:rsidRPr="00A96388">
        <w:t xml:space="preserve">būdu </w:t>
      </w:r>
      <w:r w:rsidR="008062FE" w:rsidRPr="00A96388">
        <w:rPr>
          <w:b/>
          <w:bCs/>
        </w:rPr>
        <w:t>„</w:t>
      </w:r>
      <w:r w:rsidR="005C6165" w:rsidRPr="00A96388">
        <w:rPr>
          <w:b/>
          <w:bCs/>
        </w:rPr>
        <w:t>Dvejopo reikšmingumo vertinimo atlikimo ir tvarumo ataskaitos šablono (pagal CSRD ir ES taksonomijos reikalavimus) parengimo paslaugos pirkimas</w:t>
      </w:r>
      <w:r w:rsidR="008062FE" w:rsidRPr="00A96388">
        <w:rPr>
          <w:b/>
          <w:bCs/>
        </w:rPr>
        <w:t>“</w:t>
      </w:r>
      <w:r w:rsidR="008062FE" w:rsidRPr="00A96388">
        <w:t xml:space="preserve"> (pirkimo Nr. </w:t>
      </w:r>
      <w:r w:rsidR="00664BD0" w:rsidRPr="00A96388">
        <w:t>1435439</w:t>
      </w:r>
      <w:r w:rsidR="008062FE" w:rsidRPr="00A96388">
        <w:t>)</w:t>
      </w:r>
      <w:r w:rsidR="00214F12" w:rsidRPr="00A96388">
        <w:t xml:space="preserve"> </w:t>
      </w:r>
      <w:r w:rsidR="00ED2E91" w:rsidRPr="00A96388">
        <w:t xml:space="preserve">procedūras, </w:t>
      </w:r>
      <w:r w:rsidR="00EC033B" w:rsidRPr="00A96388">
        <w:rPr>
          <w:lang w:eastAsia="en-US"/>
        </w:rPr>
        <w:t xml:space="preserve">atsako į gautus </w:t>
      </w:r>
      <w:r w:rsidR="00664BD0" w:rsidRPr="00A96388">
        <w:rPr>
          <w:lang w:eastAsia="en-US"/>
        </w:rPr>
        <w:t xml:space="preserve">tiekėjų </w:t>
      </w:r>
      <w:r w:rsidR="00EC033B" w:rsidRPr="00A96388">
        <w:rPr>
          <w:lang w:eastAsia="en-US"/>
        </w:rPr>
        <w:t>klausimus</w:t>
      </w:r>
      <w:r w:rsidR="006F4DA1" w:rsidRPr="00A96388">
        <w:rPr>
          <w:lang w:eastAsia="en-US"/>
        </w:rPr>
        <w:t>:</w:t>
      </w:r>
    </w:p>
    <w:p w14:paraId="454ACAFA" w14:textId="77777777" w:rsidR="00A96388" w:rsidRPr="00A96388" w:rsidRDefault="00A96388" w:rsidP="00A96388">
      <w:pPr>
        <w:tabs>
          <w:tab w:val="left" w:pos="567"/>
          <w:tab w:val="left" w:pos="2268"/>
        </w:tabs>
        <w:spacing w:before="240" w:after="240"/>
        <w:ind w:firstLine="567"/>
        <w:contextualSpacing/>
        <w:jc w:val="both"/>
        <w:rPr>
          <w:lang w:eastAsia="en-US"/>
        </w:rPr>
      </w:pPr>
    </w:p>
    <w:tbl>
      <w:tblPr>
        <w:tblStyle w:val="Lentelstinklelis"/>
        <w:tblW w:w="9918" w:type="dxa"/>
        <w:tblLook w:val="04A0" w:firstRow="1" w:lastRow="0" w:firstColumn="1" w:lastColumn="0" w:noHBand="0" w:noVBand="1"/>
      </w:tblPr>
      <w:tblGrid>
        <w:gridCol w:w="540"/>
        <w:gridCol w:w="4564"/>
        <w:gridCol w:w="4814"/>
      </w:tblGrid>
      <w:tr w:rsidR="006F4DA1" w:rsidRPr="00A96388" w14:paraId="0DB095DF" w14:textId="77777777" w:rsidTr="00FC5BFC">
        <w:tc>
          <w:tcPr>
            <w:tcW w:w="528" w:type="dxa"/>
          </w:tcPr>
          <w:p w14:paraId="2A6AA647" w14:textId="77777777" w:rsidR="006F4DA1" w:rsidRPr="00A96388" w:rsidRDefault="006F4DA1" w:rsidP="00A96388">
            <w:pPr>
              <w:jc w:val="center"/>
              <w:rPr>
                <w:rFonts w:ascii="Times New Roman" w:hAnsi="Times New Roman"/>
                <w:b/>
                <w:bCs/>
                <w:sz w:val="22"/>
                <w:szCs w:val="22"/>
              </w:rPr>
            </w:pPr>
            <w:r w:rsidRPr="00A96388">
              <w:rPr>
                <w:rFonts w:ascii="Times New Roman" w:hAnsi="Times New Roman"/>
                <w:b/>
                <w:bCs/>
                <w:sz w:val="22"/>
                <w:szCs w:val="22"/>
              </w:rPr>
              <w:t>Eil. Nr.</w:t>
            </w:r>
          </w:p>
        </w:tc>
        <w:tc>
          <w:tcPr>
            <w:tcW w:w="4570" w:type="dxa"/>
            <w:vAlign w:val="center"/>
          </w:tcPr>
          <w:p w14:paraId="5879CC74" w14:textId="5AC0AD0C" w:rsidR="006F4DA1" w:rsidRPr="00A96388" w:rsidRDefault="00EC033B" w:rsidP="00A96388">
            <w:pPr>
              <w:jc w:val="center"/>
              <w:rPr>
                <w:rFonts w:ascii="Times New Roman" w:hAnsi="Times New Roman"/>
                <w:b/>
                <w:bCs/>
                <w:sz w:val="22"/>
                <w:szCs w:val="22"/>
              </w:rPr>
            </w:pPr>
            <w:r w:rsidRPr="00A96388">
              <w:rPr>
                <w:rFonts w:ascii="Times New Roman" w:hAnsi="Times New Roman"/>
                <w:b/>
                <w:bCs/>
                <w:sz w:val="22"/>
                <w:szCs w:val="22"/>
              </w:rPr>
              <w:t>Klausimas*</w:t>
            </w:r>
          </w:p>
        </w:tc>
        <w:tc>
          <w:tcPr>
            <w:tcW w:w="4820" w:type="dxa"/>
            <w:vAlign w:val="center"/>
          </w:tcPr>
          <w:p w14:paraId="53A5761A" w14:textId="77777777" w:rsidR="006F4DA1" w:rsidRPr="00A96388" w:rsidRDefault="006F4DA1" w:rsidP="00A96388">
            <w:pPr>
              <w:jc w:val="center"/>
              <w:rPr>
                <w:rFonts w:ascii="Times New Roman" w:hAnsi="Times New Roman"/>
                <w:b/>
                <w:bCs/>
                <w:sz w:val="22"/>
                <w:szCs w:val="22"/>
              </w:rPr>
            </w:pPr>
            <w:r w:rsidRPr="00A96388">
              <w:rPr>
                <w:rFonts w:ascii="Times New Roman" w:hAnsi="Times New Roman"/>
                <w:b/>
                <w:bCs/>
                <w:sz w:val="22"/>
                <w:szCs w:val="22"/>
              </w:rPr>
              <w:t>Atsakymas</w:t>
            </w:r>
          </w:p>
        </w:tc>
      </w:tr>
      <w:tr w:rsidR="006F4DA1" w:rsidRPr="00A96388" w14:paraId="2E714DDA" w14:textId="77777777" w:rsidTr="00FC5BFC">
        <w:tc>
          <w:tcPr>
            <w:tcW w:w="528" w:type="dxa"/>
          </w:tcPr>
          <w:p w14:paraId="4A7237FF" w14:textId="77777777" w:rsidR="006F4DA1" w:rsidRPr="00A96388" w:rsidRDefault="006F4DA1" w:rsidP="00A96388">
            <w:pPr>
              <w:pStyle w:val="Sraopastraipa"/>
              <w:numPr>
                <w:ilvl w:val="0"/>
                <w:numId w:val="9"/>
              </w:numPr>
              <w:ind w:hanging="720"/>
              <w:jc w:val="both"/>
              <w:rPr>
                <w:rFonts w:ascii="Times New Roman" w:hAnsi="Times New Roman" w:cs="Times New Roman"/>
              </w:rPr>
            </w:pPr>
          </w:p>
        </w:tc>
        <w:tc>
          <w:tcPr>
            <w:tcW w:w="4570" w:type="dxa"/>
          </w:tcPr>
          <w:p w14:paraId="1ADAFD04" w14:textId="2CFD2162" w:rsidR="006F4DA1" w:rsidRPr="00A96388" w:rsidRDefault="005C6165" w:rsidP="00A96388">
            <w:pPr>
              <w:shd w:val="clear" w:color="auto" w:fill="FFFFFF"/>
              <w:jc w:val="both"/>
              <w:rPr>
                <w:rFonts w:ascii="Times New Roman" w:hAnsi="Times New Roman"/>
                <w:sz w:val="22"/>
                <w:szCs w:val="22"/>
              </w:rPr>
            </w:pPr>
            <w:r w:rsidRPr="00A96388">
              <w:rPr>
                <w:rFonts w:ascii="Times New Roman" w:hAnsi="Times New Roman"/>
                <w:sz w:val="22"/>
                <w:szCs w:val="22"/>
              </w:rPr>
              <w:t>Dėl organizacijos dydžio ir susijusių įmonių. Ar galite patikslinti, ar Turto bankas šiuo metu turi veikiančių dukterinių įmonių, kurias reikėtų įtraukti į dvejopo reikšmingumo vertinimo procesą</w:t>
            </w:r>
            <w:r w:rsidR="008D3738" w:rsidRPr="00A96388">
              <w:rPr>
                <w:rFonts w:ascii="Times New Roman" w:hAnsi="Times New Roman"/>
                <w:sz w:val="22"/>
                <w:szCs w:val="22"/>
              </w:rPr>
              <w:t>?</w:t>
            </w:r>
          </w:p>
        </w:tc>
        <w:tc>
          <w:tcPr>
            <w:tcW w:w="4820" w:type="dxa"/>
          </w:tcPr>
          <w:p w14:paraId="7239CCC3" w14:textId="5AE80EA3" w:rsidR="00FB7E44" w:rsidRPr="00A96388" w:rsidRDefault="005C6165" w:rsidP="00A96388">
            <w:pPr>
              <w:jc w:val="both"/>
              <w:rPr>
                <w:rFonts w:ascii="Times New Roman" w:hAnsi="Times New Roman"/>
                <w:sz w:val="22"/>
                <w:szCs w:val="22"/>
              </w:rPr>
            </w:pPr>
            <w:r w:rsidRPr="00A96388">
              <w:rPr>
                <w:rFonts w:ascii="Times New Roman" w:hAnsi="Times New Roman"/>
                <w:sz w:val="22"/>
                <w:szCs w:val="22"/>
              </w:rPr>
              <w:t xml:space="preserve">Ne, </w:t>
            </w:r>
            <w:r w:rsidR="00A96388" w:rsidRPr="00A96388">
              <w:rPr>
                <w:rFonts w:ascii="Times New Roman" w:hAnsi="Times New Roman"/>
                <w:sz w:val="22"/>
                <w:szCs w:val="22"/>
              </w:rPr>
              <w:t xml:space="preserve">VĮ </w:t>
            </w:r>
            <w:r w:rsidRPr="00A96388">
              <w:rPr>
                <w:rFonts w:ascii="Times New Roman" w:hAnsi="Times New Roman"/>
                <w:sz w:val="22"/>
                <w:szCs w:val="22"/>
              </w:rPr>
              <w:t>Turto bankas neturi veikiančių dukterinių įmonių. Turto bankas tik vykdo Valstybės pavestą funkciją administruoti privatizuojamų įmonių procesą, tačiau šios įmonės nėra Turto banko balanse.</w:t>
            </w:r>
          </w:p>
        </w:tc>
      </w:tr>
      <w:tr w:rsidR="00A87265" w:rsidRPr="00A96388" w14:paraId="583FA28E" w14:textId="77777777" w:rsidTr="00FC5BFC">
        <w:tc>
          <w:tcPr>
            <w:tcW w:w="528" w:type="dxa"/>
          </w:tcPr>
          <w:p w14:paraId="0AAD5AB3" w14:textId="77777777" w:rsidR="00A87265" w:rsidRPr="00A96388" w:rsidRDefault="00A87265" w:rsidP="00A96388">
            <w:pPr>
              <w:pStyle w:val="Sraopastraipa"/>
              <w:numPr>
                <w:ilvl w:val="0"/>
                <w:numId w:val="9"/>
              </w:numPr>
              <w:ind w:hanging="720"/>
              <w:jc w:val="both"/>
              <w:rPr>
                <w:rFonts w:ascii="Times New Roman" w:hAnsi="Times New Roman" w:cs="Times New Roman"/>
              </w:rPr>
            </w:pPr>
          </w:p>
        </w:tc>
        <w:tc>
          <w:tcPr>
            <w:tcW w:w="4570" w:type="dxa"/>
          </w:tcPr>
          <w:p w14:paraId="377D2878" w14:textId="04C69B65" w:rsidR="00A87265" w:rsidRPr="00A96388" w:rsidRDefault="005C6165" w:rsidP="00A96388">
            <w:pPr>
              <w:spacing w:after="160"/>
              <w:contextualSpacing/>
              <w:jc w:val="both"/>
              <w:rPr>
                <w:rFonts w:ascii="Times New Roman" w:hAnsi="Times New Roman"/>
                <w:sz w:val="22"/>
                <w:szCs w:val="22"/>
              </w:rPr>
            </w:pPr>
            <w:r w:rsidRPr="00A96388">
              <w:rPr>
                <w:rFonts w:ascii="Times New Roman" w:hAnsi="Times New Roman"/>
                <w:sz w:val="22"/>
                <w:szCs w:val="22"/>
              </w:rPr>
              <w:t xml:space="preserve">Tiekėjų kvalifikacijos reikalavimai – reikalaujama, kad tiekėjas turėtų ne mažiau kaip du specialistus, kurie turi sukaupę ne mažesnę nei dviejų metų patirtį &lt;...&gt;. Nurodoma, kad turėtų būti pateikti specialistų patirtį įrodantys dokumentai. Kas perkančiosios organizacijos būtų laikoma patirtį įrodančiais dokumentais? Ar tinkamu dokumentu būtų laikomas specialisto gyvenimo aprašymas (CV)? </w:t>
            </w:r>
          </w:p>
        </w:tc>
        <w:tc>
          <w:tcPr>
            <w:tcW w:w="4820" w:type="dxa"/>
          </w:tcPr>
          <w:p w14:paraId="7B708FB6" w14:textId="77777777" w:rsidR="005C6165" w:rsidRPr="00A96388" w:rsidRDefault="005C6165" w:rsidP="00A96388">
            <w:pPr>
              <w:jc w:val="both"/>
              <w:rPr>
                <w:rFonts w:ascii="Times New Roman" w:hAnsi="Times New Roman"/>
                <w:sz w:val="22"/>
                <w:szCs w:val="22"/>
              </w:rPr>
            </w:pPr>
            <w:r w:rsidRPr="00A96388">
              <w:rPr>
                <w:rFonts w:ascii="Times New Roman" w:hAnsi="Times New Roman"/>
                <w:sz w:val="22"/>
                <w:szCs w:val="22"/>
              </w:rPr>
              <w:t>Tinkamiausias dokumentas būtų perkančiųjų organizacijų atsiliepimas apie suteiktas paslaugas dvejopo reikšmingumo vertinimo ir taksonomijos srityje bei tiekėjo patvirtinimas, kad ekspertas sutarties vykdymo laikotarpiu dirbo tiekėjo įmonėje.</w:t>
            </w:r>
          </w:p>
          <w:p w14:paraId="57865A36" w14:textId="63D19C93" w:rsidR="00A87265" w:rsidRPr="00A96388" w:rsidRDefault="00A87265" w:rsidP="00A96388">
            <w:pPr>
              <w:jc w:val="both"/>
              <w:rPr>
                <w:rFonts w:ascii="Times New Roman" w:hAnsi="Times New Roman"/>
                <w:sz w:val="22"/>
                <w:szCs w:val="22"/>
              </w:rPr>
            </w:pPr>
          </w:p>
        </w:tc>
      </w:tr>
      <w:tr w:rsidR="005C6165" w:rsidRPr="00A96388" w14:paraId="118753B8" w14:textId="77777777" w:rsidTr="00FC5BFC">
        <w:tc>
          <w:tcPr>
            <w:tcW w:w="528" w:type="dxa"/>
          </w:tcPr>
          <w:p w14:paraId="12320511" w14:textId="77777777" w:rsidR="005C6165" w:rsidRPr="00A96388" w:rsidRDefault="005C6165" w:rsidP="00A96388">
            <w:pPr>
              <w:pStyle w:val="Sraopastraipa"/>
              <w:numPr>
                <w:ilvl w:val="0"/>
                <w:numId w:val="9"/>
              </w:numPr>
              <w:ind w:hanging="720"/>
              <w:jc w:val="both"/>
              <w:rPr>
                <w:rFonts w:ascii="Times New Roman" w:hAnsi="Times New Roman" w:cs="Times New Roman"/>
              </w:rPr>
            </w:pPr>
          </w:p>
        </w:tc>
        <w:tc>
          <w:tcPr>
            <w:tcW w:w="4570" w:type="dxa"/>
          </w:tcPr>
          <w:p w14:paraId="23F912E7" w14:textId="4DEC51F4" w:rsidR="005C6165" w:rsidRPr="00A96388" w:rsidRDefault="005C6165" w:rsidP="00A96388">
            <w:pPr>
              <w:spacing w:after="160"/>
              <w:contextualSpacing/>
              <w:jc w:val="both"/>
              <w:rPr>
                <w:rFonts w:ascii="Times New Roman" w:hAnsi="Times New Roman"/>
                <w:sz w:val="22"/>
                <w:szCs w:val="22"/>
              </w:rPr>
            </w:pPr>
            <w:r w:rsidRPr="00A96388">
              <w:rPr>
                <w:rFonts w:ascii="Times New Roman" w:hAnsi="Times New Roman"/>
                <w:sz w:val="22"/>
                <w:szCs w:val="22"/>
              </w:rPr>
              <w:t>Dėl suinteresuotųjų šalių įtraukimo (Techninė specifikacija 2.2.2. punktas). Viešai prieinamojoje komunikacijoje (jūsų internetinis puslapis), nurodoma, kad šiuo metu esate išsigryninę 5 pagrindines suinteresuotąsias šalis. Ar planuojate įtraukti daugiau nei 5 suinteresuotąsias šalis ir ar turite konkretų pageidavimą dėl interviu ar apklausų apimties (pvz., norimų apklausti atstovų skaičiaus)?</w:t>
            </w:r>
          </w:p>
        </w:tc>
        <w:tc>
          <w:tcPr>
            <w:tcW w:w="4820" w:type="dxa"/>
          </w:tcPr>
          <w:p w14:paraId="2556E476" w14:textId="54637F87" w:rsidR="0072674A" w:rsidRPr="00A96388" w:rsidRDefault="0072674A" w:rsidP="00A96388">
            <w:pPr>
              <w:jc w:val="both"/>
              <w:rPr>
                <w:rFonts w:ascii="Times New Roman" w:hAnsi="Times New Roman"/>
                <w:sz w:val="22"/>
                <w:szCs w:val="22"/>
              </w:rPr>
            </w:pPr>
            <w:r w:rsidRPr="00A96388">
              <w:rPr>
                <w:rFonts w:ascii="Times New Roman" w:hAnsi="Times New Roman"/>
                <w:sz w:val="22"/>
                <w:szCs w:val="22"/>
              </w:rPr>
              <w:t xml:space="preserve">Atliekant dvejopo reikšmingumo vertinimą </w:t>
            </w:r>
            <w:r w:rsidR="00D84AD1">
              <w:rPr>
                <w:rFonts w:ascii="Times New Roman" w:hAnsi="Times New Roman"/>
                <w:sz w:val="22"/>
                <w:szCs w:val="22"/>
              </w:rPr>
              <w:t xml:space="preserve">reikės </w:t>
            </w:r>
            <w:r w:rsidRPr="00A96388">
              <w:rPr>
                <w:rFonts w:ascii="Times New Roman" w:hAnsi="Times New Roman"/>
                <w:sz w:val="22"/>
                <w:szCs w:val="22"/>
              </w:rPr>
              <w:t>naujai įvertinti Užsakovo suinteresuotas šalis ir priklausomai nuo gautų rezultatų nustatyti interviu/ apklausos imtis.</w:t>
            </w:r>
          </w:p>
        </w:tc>
      </w:tr>
      <w:tr w:rsidR="005C6165" w:rsidRPr="00A96388" w14:paraId="37CD947B" w14:textId="77777777" w:rsidTr="00FC5BFC">
        <w:tc>
          <w:tcPr>
            <w:tcW w:w="528" w:type="dxa"/>
          </w:tcPr>
          <w:p w14:paraId="33DEDD30" w14:textId="77777777" w:rsidR="005C6165" w:rsidRPr="00A96388" w:rsidRDefault="005C6165" w:rsidP="00A96388">
            <w:pPr>
              <w:pStyle w:val="Sraopastraipa"/>
              <w:numPr>
                <w:ilvl w:val="0"/>
                <w:numId w:val="9"/>
              </w:numPr>
              <w:ind w:hanging="720"/>
              <w:jc w:val="both"/>
              <w:rPr>
                <w:rFonts w:ascii="Times New Roman" w:hAnsi="Times New Roman" w:cs="Times New Roman"/>
              </w:rPr>
            </w:pPr>
          </w:p>
        </w:tc>
        <w:tc>
          <w:tcPr>
            <w:tcW w:w="4570" w:type="dxa"/>
          </w:tcPr>
          <w:p w14:paraId="07D857CD" w14:textId="40856934" w:rsidR="005C6165" w:rsidRPr="00A96388" w:rsidRDefault="005C6165" w:rsidP="00D84AD1">
            <w:pPr>
              <w:spacing w:after="160"/>
              <w:contextualSpacing/>
              <w:jc w:val="both"/>
              <w:rPr>
                <w:rFonts w:ascii="Times New Roman" w:hAnsi="Times New Roman"/>
                <w:sz w:val="22"/>
                <w:szCs w:val="22"/>
              </w:rPr>
            </w:pPr>
            <w:r w:rsidRPr="00A96388">
              <w:rPr>
                <w:rFonts w:ascii="Times New Roman" w:hAnsi="Times New Roman"/>
                <w:sz w:val="22"/>
                <w:szCs w:val="22"/>
              </w:rPr>
              <w:t>Dėl finansinio reikšmingumo vertinimo (Techninė specifikacija 2.2.6. punktas) </w:t>
            </w:r>
            <w:r w:rsidRPr="00A96388">
              <w:rPr>
                <w:rFonts w:ascii="Times New Roman" w:hAnsi="Times New Roman"/>
                <w:sz w:val="22"/>
                <w:szCs w:val="22"/>
              </w:rPr>
              <w:br/>
              <w:t xml:space="preserve">Pagal ETAS įmonės gali pirmaisiais metais praleisti kokybinį ir kiekybinį atskleidimo reikalavimą, o pirmus 3 metus – atskleisti tik kokybinę informaciją. Ar turite lūkestį šio vertinimo metu apsiriboti tik kokybine analize (bendras rizikų įvardijimas), ar siektumėte ir </w:t>
            </w:r>
            <w:r w:rsidRPr="00A96388">
              <w:rPr>
                <w:rFonts w:ascii="Times New Roman" w:hAnsi="Times New Roman"/>
                <w:sz w:val="22"/>
                <w:szCs w:val="22"/>
              </w:rPr>
              <w:lastRenderedPageBreak/>
              <w:t>kiekybinio vertinimo (su konkrečiomis piniginėmis reikšmėmis, pagrįstomis metodikomis, prielaidomis)?</w:t>
            </w:r>
          </w:p>
        </w:tc>
        <w:tc>
          <w:tcPr>
            <w:tcW w:w="4820" w:type="dxa"/>
          </w:tcPr>
          <w:p w14:paraId="01C32B69" w14:textId="77777777" w:rsidR="005C6165" w:rsidRPr="00A96388" w:rsidRDefault="005C6165" w:rsidP="00A96388">
            <w:pPr>
              <w:jc w:val="both"/>
              <w:rPr>
                <w:rFonts w:ascii="Times New Roman" w:hAnsi="Times New Roman"/>
                <w:sz w:val="22"/>
                <w:szCs w:val="22"/>
              </w:rPr>
            </w:pPr>
            <w:r w:rsidRPr="00A96388">
              <w:rPr>
                <w:rFonts w:ascii="Times New Roman" w:hAnsi="Times New Roman"/>
                <w:sz w:val="22"/>
                <w:szCs w:val="22"/>
              </w:rPr>
              <w:lastRenderedPageBreak/>
              <w:t>Turėtų būti atliktas tiek kokybinis, tiek kiekybinis vertinimas.</w:t>
            </w:r>
          </w:p>
          <w:p w14:paraId="11AD1364" w14:textId="77777777" w:rsidR="005C6165" w:rsidRPr="00A96388" w:rsidRDefault="005C6165" w:rsidP="00A96388">
            <w:pPr>
              <w:jc w:val="both"/>
              <w:rPr>
                <w:rFonts w:ascii="Times New Roman" w:hAnsi="Times New Roman"/>
                <w:sz w:val="22"/>
                <w:szCs w:val="22"/>
              </w:rPr>
            </w:pPr>
          </w:p>
        </w:tc>
      </w:tr>
      <w:tr w:rsidR="005C6165" w:rsidRPr="00A96388" w14:paraId="2D712DB1" w14:textId="77777777" w:rsidTr="00FC5BFC">
        <w:tc>
          <w:tcPr>
            <w:tcW w:w="528" w:type="dxa"/>
          </w:tcPr>
          <w:p w14:paraId="2A1F3A71" w14:textId="77777777" w:rsidR="005C6165" w:rsidRPr="00A96388" w:rsidRDefault="005C6165" w:rsidP="00A96388">
            <w:pPr>
              <w:pStyle w:val="Sraopastraipa"/>
              <w:numPr>
                <w:ilvl w:val="0"/>
                <w:numId w:val="9"/>
              </w:numPr>
              <w:ind w:hanging="720"/>
              <w:jc w:val="both"/>
              <w:rPr>
                <w:rFonts w:ascii="Times New Roman" w:hAnsi="Times New Roman" w:cs="Times New Roman"/>
                <w:lang w:eastAsia="lt-LT"/>
              </w:rPr>
            </w:pPr>
          </w:p>
        </w:tc>
        <w:tc>
          <w:tcPr>
            <w:tcW w:w="4570" w:type="dxa"/>
          </w:tcPr>
          <w:p w14:paraId="0B11BF9F" w14:textId="68D30900" w:rsidR="005C6165" w:rsidRPr="00A96388" w:rsidRDefault="005C6165" w:rsidP="00D84AD1">
            <w:pPr>
              <w:spacing w:after="160"/>
              <w:contextualSpacing/>
              <w:jc w:val="both"/>
              <w:rPr>
                <w:rFonts w:ascii="Times New Roman" w:hAnsi="Times New Roman"/>
                <w:sz w:val="22"/>
                <w:szCs w:val="22"/>
              </w:rPr>
            </w:pPr>
            <w:r w:rsidRPr="00A96388">
              <w:rPr>
                <w:rFonts w:ascii="Times New Roman" w:hAnsi="Times New Roman"/>
                <w:sz w:val="22"/>
                <w:szCs w:val="22"/>
              </w:rPr>
              <w:t xml:space="preserve">Dėl strateginių tvarumo krypčių nustatymo (Techninė specifikacija 2.2.8 punktas). Prašome patikslinti pageidaujamą apimtį. </w:t>
            </w:r>
          </w:p>
        </w:tc>
        <w:tc>
          <w:tcPr>
            <w:tcW w:w="4820" w:type="dxa"/>
          </w:tcPr>
          <w:p w14:paraId="42F0DD93" w14:textId="1A342134" w:rsidR="005C6165" w:rsidRPr="00A96388" w:rsidRDefault="00474F5D" w:rsidP="00A96388">
            <w:pPr>
              <w:jc w:val="both"/>
              <w:rPr>
                <w:rFonts w:ascii="Times New Roman" w:hAnsi="Times New Roman"/>
                <w:sz w:val="22"/>
                <w:szCs w:val="22"/>
              </w:rPr>
            </w:pPr>
            <w:r w:rsidRPr="00A96388">
              <w:rPr>
                <w:rFonts w:ascii="Times New Roman" w:hAnsi="Times New Roman"/>
                <w:sz w:val="22"/>
                <w:szCs w:val="22"/>
              </w:rPr>
              <w:t>Įvertinus Užsakovo esamą tvarumo srities dokumentaciją bei remiantis dvejopo reikšmingumo vertinimo rezultatais, pasiūlyti ne daugiau nei 3-5 strategines tvarumo kryptis ir jas apib</w:t>
            </w:r>
            <w:r w:rsidR="00D201DA" w:rsidRPr="00A96388">
              <w:rPr>
                <w:rFonts w:ascii="Times New Roman" w:hAnsi="Times New Roman"/>
                <w:sz w:val="22"/>
                <w:szCs w:val="22"/>
              </w:rPr>
              <w:t xml:space="preserve">rėžti </w:t>
            </w:r>
            <w:r w:rsidRPr="00A96388">
              <w:rPr>
                <w:rFonts w:ascii="Times New Roman" w:hAnsi="Times New Roman"/>
                <w:sz w:val="22"/>
                <w:szCs w:val="22"/>
              </w:rPr>
              <w:t>tiksl</w:t>
            </w:r>
            <w:r w:rsidR="00D201DA" w:rsidRPr="00A96388">
              <w:rPr>
                <w:rFonts w:ascii="Times New Roman" w:hAnsi="Times New Roman"/>
                <w:sz w:val="22"/>
                <w:szCs w:val="22"/>
              </w:rPr>
              <w:t>ai</w:t>
            </w:r>
            <w:r w:rsidRPr="00A96388">
              <w:rPr>
                <w:rFonts w:ascii="Times New Roman" w:hAnsi="Times New Roman"/>
                <w:sz w:val="22"/>
                <w:szCs w:val="22"/>
              </w:rPr>
              <w:t>s</w:t>
            </w:r>
            <w:r w:rsidR="0086276B" w:rsidRPr="00A96388">
              <w:rPr>
                <w:rFonts w:ascii="Times New Roman" w:hAnsi="Times New Roman"/>
                <w:sz w:val="22"/>
                <w:szCs w:val="22"/>
              </w:rPr>
              <w:t xml:space="preserve"> ir jų matavimo </w:t>
            </w:r>
            <w:r w:rsidRPr="00A96388">
              <w:rPr>
                <w:rFonts w:ascii="Times New Roman" w:hAnsi="Times New Roman"/>
                <w:sz w:val="22"/>
                <w:szCs w:val="22"/>
              </w:rPr>
              <w:t>rodikli</w:t>
            </w:r>
            <w:r w:rsidR="0086276B" w:rsidRPr="00A96388">
              <w:rPr>
                <w:rFonts w:ascii="Times New Roman" w:hAnsi="Times New Roman"/>
                <w:sz w:val="22"/>
                <w:szCs w:val="22"/>
              </w:rPr>
              <w:t>ai</w:t>
            </w:r>
            <w:r w:rsidRPr="00A96388">
              <w:rPr>
                <w:rFonts w:ascii="Times New Roman" w:hAnsi="Times New Roman"/>
                <w:sz w:val="22"/>
                <w:szCs w:val="22"/>
              </w:rPr>
              <w:t xml:space="preserve">s. </w:t>
            </w:r>
          </w:p>
        </w:tc>
      </w:tr>
      <w:tr w:rsidR="005C6165" w:rsidRPr="00A96388" w14:paraId="12273966" w14:textId="77777777" w:rsidTr="00FC5BFC">
        <w:tc>
          <w:tcPr>
            <w:tcW w:w="528" w:type="dxa"/>
          </w:tcPr>
          <w:p w14:paraId="5DCDCFEA" w14:textId="77777777" w:rsidR="005C6165" w:rsidRPr="00A96388" w:rsidRDefault="005C6165" w:rsidP="00A96388">
            <w:pPr>
              <w:pStyle w:val="Sraopastraipa"/>
              <w:numPr>
                <w:ilvl w:val="0"/>
                <w:numId w:val="9"/>
              </w:numPr>
              <w:ind w:hanging="720"/>
              <w:jc w:val="both"/>
              <w:rPr>
                <w:rFonts w:ascii="Times New Roman" w:hAnsi="Times New Roman" w:cs="Times New Roman"/>
              </w:rPr>
            </w:pPr>
          </w:p>
        </w:tc>
        <w:tc>
          <w:tcPr>
            <w:tcW w:w="4570" w:type="dxa"/>
          </w:tcPr>
          <w:p w14:paraId="3BAE1F1F" w14:textId="6C4ED458" w:rsidR="005C6165" w:rsidRPr="00A96388" w:rsidRDefault="005C6165" w:rsidP="00D84AD1">
            <w:pPr>
              <w:spacing w:after="160"/>
              <w:contextualSpacing/>
              <w:jc w:val="both"/>
              <w:rPr>
                <w:rFonts w:ascii="Times New Roman" w:hAnsi="Times New Roman"/>
                <w:sz w:val="22"/>
                <w:szCs w:val="22"/>
              </w:rPr>
            </w:pPr>
            <w:r w:rsidRPr="00A96388">
              <w:rPr>
                <w:rFonts w:ascii="Times New Roman" w:hAnsi="Times New Roman"/>
                <w:sz w:val="22"/>
                <w:szCs w:val="22"/>
              </w:rPr>
              <w:t xml:space="preserve">Dėl galutinės ataskaitos pateikimo (Techninė specifikacija 2.2.9 punktas). Ar ataskaita galės būti laisvos formos (atitinkanti reikalavimus) ar ji turės atitikti perkančiosios organizacijos vizualinį identitetą? </w:t>
            </w:r>
          </w:p>
        </w:tc>
        <w:tc>
          <w:tcPr>
            <w:tcW w:w="4820" w:type="dxa"/>
          </w:tcPr>
          <w:p w14:paraId="3DCC1CFE" w14:textId="77777777" w:rsidR="005C6165" w:rsidRPr="00A96388" w:rsidRDefault="005C6165" w:rsidP="00A96388">
            <w:pPr>
              <w:jc w:val="both"/>
              <w:rPr>
                <w:rFonts w:ascii="Times New Roman" w:hAnsi="Times New Roman"/>
                <w:sz w:val="22"/>
                <w:szCs w:val="22"/>
              </w:rPr>
            </w:pPr>
            <w:r w:rsidRPr="00A96388">
              <w:rPr>
                <w:rFonts w:ascii="Times New Roman" w:hAnsi="Times New Roman"/>
                <w:sz w:val="22"/>
                <w:szCs w:val="22"/>
              </w:rPr>
              <w:t>Turi būti atlikta pagal Turto banko vizualinį stilių (stiliaus knyga pridedama).</w:t>
            </w:r>
          </w:p>
          <w:p w14:paraId="21ECBD4F" w14:textId="77777777" w:rsidR="005C6165" w:rsidRPr="00A96388" w:rsidRDefault="005C6165" w:rsidP="00A96388">
            <w:pPr>
              <w:jc w:val="both"/>
              <w:rPr>
                <w:rFonts w:ascii="Times New Roman" w:hAnsi="Times New Roman"/>
                <w:sz w:val="22"/>
                <w:szCs w:val="22"/>
              </w:rPr>
            </w:pPr>
          </w:p>
        </w:tc>
      </w:tr>
      <w:tr w:rsidR="005C6165" w:rsidRPr="00A96388" w14:paraId="2547CBD0" w14:textId="77777777" w:rsidTr="00FC5BFC">
        <w:tc>
          <w:tcPr>
            <w:tcW w:w="528" w:type="dxa"/>
          </w:tcPr>
          <w:p w14:paraId="1B3F8B57" w14:textId="77777777" w:rsidR="005C6165" w:rsidRPr="00A96388" w:rsidRDefault="005C6165" w:rsidP="00A96388">
            <w:pPr>
              <w:pStyle w:val="Sraopastraipa"/>
              <w:numPr>
                <w:ilvl w:val="0"/>
                <w:numId w:val="9"/>
              </w:numPr>
              <w:ind w:hanging="720"/>
              <w:jc w:val="both"/>
              <w:rPr>
                <w:rFonts w:ascii="Times New Roman" w:hAnsi="Times New Roman" w:cs="Times New Roman"/>
              </w:rPr>
            </w:pPr>
          </w:p>
        </w:tc>
        <w:tc>
          <w:tcPr>
            <w:tcW w:w="4570" w:type="dxa"/>
          </w:tcPr>
          <w:p w14:paraId="6FD1552E" w14:textId="10BC69E1" w:rsidR="005C6165" w:rsidRPr="00A96388" w:rsidRDefault="005C6165" w:rsidP="00D84AD1">
            <w:pPr>
              <w:spacing w:after="160"/>
              <w:contextualSpacing/>
              <w:jc w:val="both"/>
              <w:rPr>
                <w:rFonts w:ascii="Times New Roman" w:hAnsi="Times New Roman"/>
                <w:sz w:val="22"/>
                <w:szCs w:val="22"/>
              </w:rPr>
            </w:pPr>
            <w:r w:rsidRPr="00A96388">
              <w:rPr>
                <w:rFonts w:ascii="Times New Roman" w:hAnsi="Times New Roman"/>
                <w:sz w:val="22"/>
                <w:szCs w:val="22"/>
              </w:rPr>
              <w:t xml:space="preserve">Dėl ES taksonomijos informacijos perkėlimo į e-įrankį (Techninė specifikacija 2.2.9 punktas). Ar esate numatę, kokį e-įrankį naudosite? </w:t>
            </w:r>
          </w:p>
        </w:tc>
        <w:tc>
          <w:tcPr>
            <w:tcW w:w="4820" w:type="dxa"/>
          </w:tcPr>
          <w:p w14:paraId="71E5CF8F" w14:textId="05C6CC21" w:rsidR="005C6165" w:rsidRPr="00A96388" w:rsidRDefault="005C6165" w:rsidP="00A96388">
            <w:pPr>
              <w:jc w:val="both"/>
              <w:rPr>
                <w:rFonts w:ascii="Times New Roman" w:hAnsi="Times New Roman"/>
                <w:sz w:val="22"/>
                <w:szCs w:val="22"/>
              </w:rPr>
            </w:pPr>
            <w:r w:rsidRPr="00A96388">
              <w:rPr>
                <w:rFonts w:ascii="Times New Roman" w:hAnsi="Times New Roman"/>
                <w:sz w:val="22"/>
                <w:szCs w:val="22"/>
              </w:rPr>
              <w:t>Šiuo metu e-įrankio nenaudojame</w:t>
            </w:r>
            <w:r w:rsidR="00184583" w:rsidRPr="00A96388">
              <w:rPr>
                <w:rFonts w:ascii="Times New Roman" w:hAnsi="Times New Roman"/>
                <w:sz w:val="22"/>
                <w:szCs w:val="22"/>
              </w:rPr>
              <w:t>.</w:t>
            </w:r>
            <w:r w:rsidRPr="00A96388">
              <w:rPr>
                <w:rFonts w:ascii="Times New Roman" w:hAnsi="Times New Roman"/>
                <w:sz w:val="22"/>
                <w:szCs w:val="22"/>
              </w:rPr>
              <w:t xml:space="preserve"> </w:t>
            </w:r>
            <w:r w:rsidR="00184583" w:rsidRPr="00A96388">
              <w:rPr>
                <w:rFonts w:ascii="Times New Roman" w:hAnsi="Times New Roman"/>
                <w:sz w:val="22"/>
                <w:szCs w:val="22"/>
              </w:rPr>
              <w:t>T</w:t>
            </w:r>
            <w:r w:rsidRPr="00A96388">
              <w:rPr>
                <w:rFonts w:ascii="Times New Roman" w:hAnsi="Times New Roman"/>
                <w:sz w:val="22"/>
                <w:szCs w:val="22"/>
              </w:rPr>
              <w:t xml:space="preserve">ikimės, kad tiekėjas pateiks pasiūlymą, kuris e-įrankis būtų tinkamiausias duomenų rinkimui ir atskaitomybės pateikimui pagal ES reikalavimus. </w:t>
            </w:r>
          </w:p>
          <w:p w14:paraId="4CBDB7FA" w14:textId="77777777" w:rsidR="005C6165" w:rsidRPr="00A96388" w:rsidRDefault="005C6165" w:rsidP="00A96388">
            <w:pPr>
              <w:jc w:val="both"/>
              <w:rPr>
                <w:sz w:val="22"/>
                <w:szCs w:val="22"/>
                <w:lang w:eastAsia="en-US"/>
              </w:rPr>
            </w:pPr>
          </w:p>
        </w:tc>
      </w:tr>
      <w:tr w:rsidR="000D000A" w:rsidRPr="00A96388" w14:paraId="3109DE54" w14:textId="77777777" w:rsidTr="00FC5BFC">
        <w:tc>
          <w:tcPr>
            <w:tcW w:w="528" w:type="dxa"/>
          </w:tcPr>
          <w:p w14:paraId="58D2C01D" w14:textId="77777777" w:rsidR="000D000A" w:rsidRPr="00A96388" w:rsidRDefault="000D000A" w:rsidP="00A96388">
            <w:pPr>
              <w:pStyle w:val="Sraopastraipa"/>
              <w:numPr>
                <w:ilvl w:val="0"/>
                <w:numId w:val="9"/>
              </w:numPr>
              <w:ind w:hanging="720"/>
              <w:jc w:val="both"/>
              <w:rPr>
                <w:rFonts w:ascii="Times New Roman" w:hAnsi="Times New Roman" w:cs="Times New Roman"/>
              </w:rPr>
            </w:pPr>
          </w:p>
        </w:tc>
        <w:tc>
          <w:tcPr>
            <w:tcW w:w="4570" w:type="dxa"/>
          </w:tcPr>
          <w:p w14:paraId="7383E0A8" w14:textId="478E7520" w:rsidR="000D000A" w:rsidRPr="00A96388" w:rsidRDefault="00ED7BDF" w:rsidP="00D84AD1">
            <w:pPr>
              <w:shd w:val="clear" w:color="auto" w:fill="FFFFFF"/>
              <w:jc w:val="both"/>
              <w:rPr>
                <w:rFonts w:ascii="Times New Roman" w:hAnsi="Times New Roman"/>
                <w:sz w:val="22"/>
                <w:szCs w:val="22"/>
              </w:rPr>
            </w:pPr>
            <w:r w:rsidRPr="00A96388">
              <w:rPr>
                <w:rFonts w:ascii="Times New Roman" w:hAnsi="Times New Roman"/>
                <w:sz w:val="22"/>
                <w:szCs w:val="22"/>
              </w:rPr>
              <w:t>Tiekėjas s</w:t>
            </w:r>
            <w:r w:rsidR="000D000A" w:rsidRPr="00A96388">
              <w:rPr>
                <w:rFonts w:ascii="Times New Roman" w:hAnsi="Times New Roman"/>
                <w:sz w:val="22"/>
                <w:szCs w:val="22"/>
              </w:rPr>
              <w:t>iūlo patikslinti specialiųjų paslaugų sutarties sąlygų 2.2.9 p. kaip nurodyta žemiau:</w:t>
            </w:r>
          </w:p>
          <w:p w14:paraId="2820F0F4" w14:textId="1E3E2BBF" w:rsidR="000D000A" w:rsidRPr="00A96388" w:rsidRDefault="000D000A" w:rsidP="00D84AD1">
            <w:pPr>
              <w:spacing w:after="160"/>
              <w:contextualSpacing/>
              <w:jc w:val="both"/>
              <w:rPr>
                <w:sz w:val="22"/>
                <w:szCs w:val="22"/>
              </w:rPr>
            </w:pPr>
            <w:r w:rsidRPr="00A96388">
              <w:rPr>
                <w:rFonts w:ascii="Times New Roman" w:hAnsi="Times New Roman"/>
                <w:sz w:val="22"/>
                <w:szCs w:val="22"/>
              </w:rPr>
              <w:t xml:space="preserve">2.2.9. atlyginti Užsakovui </w:t>
            </w:r>
            <w:r w:rsidRPr="00A96388">
              <w:rPr>
                <w:rFonts w:ascii="Times New Roman" w:hAnsi="Times New Roman"/>
                <w:strike/>
                <w:color w:val="FF0000"/>
                <w:sz w:val="22"/>
                <w:szCs w:val="22"/>
              </w:rPr>
              <w:t>ir (ar) tretiesiems asmenims</w:t>
            </w:r>
            <w:r w:rsidRPr="00A96388">
              <w:rPr>
                <w:rFonts w:ascii="Times New Roman" w:hAnsi="Times New Roman"/>
                <w:color w:val="FF0000"/>
                <w:sz w:val="22"/>
                <w:szCs w:val="22"/>
              </w:rPr>
              <w:t xml:space="preserve"> </w:t>
            </w:r>
            <w:r w:rsidRPr="00A96388">
              <w:rPr>
                <w:rFonts w:ascii="Times New Roman" w:hAnsi="Times New Roman"/>
                <w:sz w:val="22"/>
                <w:szCs w:val="22"/>
              </w:rPr>
              <w:t xml:space="preserve">dėl Paslaugų trūkumų </w:t>
            </w:r>
            <w:r w:rsidRPr="00A96388">
              <w:rPr>
                <w:rFonts w:ascii="Times New Roman" w:hAnsi="Times New Roman"/>
                <w:strike/>
                <w:color w:val="FF0000"/>
                <w:sz w:val="22"/>
                <w:szCs w:val="22"/>
              </w:rPr>
              <w:t>visus</w:t>
            </w:r>
            <w:r w:rsidRPr="00A96388">
              <w:rPr>
                <w:rFonts w:ascii="Times New Roman" w:hAnsi="Times New Roman"/>
                <w:sz w:val="22"/>
                <w:szCs w:val="22"/>
              </w:rPr>
              <w:t xml:space="preserve"> patirtus nuostolius</w:t>
            </w:r>
            <w:r w:rsidR="00664BD0" w:rsidRPr="00A96388">
              <w:rPr>
                <w:rFonts w:ascii="Times New Roman" w:hAnsi="Times New Roman"/>
                <w:sz w:val="22"/>
                <w:szCs w:val="22"/>
              </w:rPr>
              <w:t>,</w:t>
            </w:r>
          </w:p>
        </w:tc>
        <w:tc>
          <w:tcPr>
            <w:tcW w:w="4820" w:type="dxa"/>
          </w:tcPr>
          <w:p w14:paraId="1772CA84" w14:textId="7DBF4004" w:rsidR="00664BD0" w:rsidRPr="00A96388" w:rsidRDefault="00664BD0" w:rsidP="00A96388">
            <w:pPr>
              <w:jc w:val="both"/>
              <w:rPr>
                <w:rFonts w:ascii="Times New Roman" w:hAnsi="Times New Roman"/>
                <w:sz w:val="22"/>
                <w:szCs w:val="22"/>
              </w:rPr>
            </w:pPr>
            <w:r w:rsidRPr="00A96388">
              <w:rPr>
                <w:rFonts w:ascii="Times New Roman" w:hAnsi="Times New Roman"/>
                <w:sz w:val="22"/>
                <w:szCs w:val="22"/>
              </w:rPr>
              <w:t>N</w:t>
            </w:r>
            <w:r w:rsidR="000D000A" w:rsidRPr="00A96388">
              <w:rPr>
                <w:rFonts w:ascii="Times New Roman" w:hAnsi="Times New Roman"/>
                <w:sz w:val="22"/>
                <w:szCs w:val="22"/>
              </w:rPr>
              <w:t>esutinka</w:t>
            </w:r>
            <w:r w:rsidRPr="00A96388">
              <w:rPr>
                <w:rFonts w:ascii="Times New Roman" w:hAnsi="Times New Roman"/>
                <w:sz w:val="22"/>
                <w:szCs w:val="22"/>
              </w:rPr>
              <w:t>me</w:t>
            </w:r>
            <w:r w:rsidR="000D000A" w:rsidRPr="00A96388">
              <w:rPr>
                <w:rFonts w:ascii="Times New Roman" w:hAnsi="Times New Roman"/>
                <w:sz w:val="22"/>
                <w:szCs w:val="22"/>
              </w:rPr>
              <w:t xml:space="preserve"> patikslinti sutarties 2.2.9 punkto, kadangi </w:t>
            </w:r>
            <w:r w:rsidRPr="00A96388">
              <w:rPr>
                <w:rFonts w:ascii="Times New Roman" w:hAnsi="Times New Roman"/>
                <w:sz w:val="22"/>
                <w:szCs w:val="22"/>
              </w:rPr>
              <w:t>Perkančiajai organizacijai</w:t>
            </w:r>
            <w:r w:rsidR="000D000A" w:rsidRPr="00A96388">
              <w:rPr>
                <w:rFonts w:ascii="Times New Roman" w:hAnsi="Times New Roman"/>
                <w:sz w:val="22"/>
                <w:szCs w:val="22"/>
              </w:rPr>
              <w:t xml:space="preserve"> yra svarbu užtikrinti dėl paslaugų teikėjo netinkamai suteiktų paslaugų </w:t>
            </w:r>
            <w:r w:rsidR="005325D6" w:rsidRPr="00A96388">
              <w:rPr>
                <w:rFonts w:ascii="Times New Roman" w:hAnsi="Times New Roman"/>
                <w:sz w:val="22"/>
                <w:szCs w:val="22"/>
              </w:rPr>
              <w:t xml:space="preserve">visų </w:t>
            </w:r>
            <w:r w:rsidR="000D000A" w:rsidRPr="00A96388">
              <w:rPr>
                <w:rFonts w:ascii="Times New Roman" w:hAnsi="Times New Roman"/>
                <w:sz w:val="22"/>
                <w:szCs w:val="22"/>
              </w:rPr>
              <w:t>patirtų nuostolių</w:t>
            </w:r>
            <w:r w:rsidRPr="00A96388">
              <w:rPr>
                <w:rFonts w:ascii="Times New Roman" w:hAnsi="Times New Roman"/>
                <w:sz w:val="22"/>
                <w:szCs w:val="22"/>
              </w:rPr>
              <w:t xml:space="preserve"> atlyginimą tiek Užsakovui, tiek tretiesiems asmenims.</w:t>
            </w:r>
          </w:p>
          <w:p w14:paraId="12C88102" w14:textId="34F9624D" w:rsidR="000D000A" w:rsidRPr="00A96388" w:rsidRDefault="000D000A" w:rsidP="00A96388">
            <w:pPr>
              <w:jc w:val="both"/>
              <w:rPr>
                <w:sz w:val="22"/>
                <w:szCs w:val="22"/>
              </w:rPr>
            </w:pPr>
          </w:p>
        </w:tc>
      </w:tr>
      <w:tr w:rsidR="000D000A" w:rsidRPr="00A96388" w14:paraId="61700AD3" w14:textId="77777777" w:rsidTr="00FC5BFC">
        <w:tc>
          <w:tcPr>
            <w:tcW w:w="528" w:type="dxa"/>
          </w:tcPr>
          <w:p w14:paraId="6D296F95" w14:textId="77777777" w:rsidR="000D000A" w:rsidRPr="00A96388" w:rsidRDefault="000D000A" w:rsidP="00A96388">
            <w:pPr>
              <w:pStyle w:val="Sraopastraipa"/>
              <w:numPr>
                <w:ilvl w:val="0"/>
                <w:numId w:val="9"/>
              </w:numPr>
              <w:ind w:hanging="720"/>
              <w:jc w:val="both"/>
              <w:rPr>
                <w:rFonts w:ascii="Times New Roman" w:hAnsi="Times New Roman" w:cs="Times New Roman"/>
              </w:rPr>
            </w:pPr>
          </w:p>
        </w:tc>
        <w:tc>
          <w:tcPr>
            <w:tcW w:w="4570" w:type="dxa"/>
          </w:tcPr>
          <w:p w14:paraId="7B7E3360" w14:textId="61120D0A" w:rsidR="000D000A" w:rsidRPr="00A96388" w:rsidRDefault="00ED7BDF" w:rsidP="00A96388">
            <w:pPr>
              <w:shd w:val="clear" w:color="auto" w:fill="FFFFFF"/>
              <w:jc w:val="both"/>
              <w:rPr>
                <w:rFonts w:ascii="Times New Roman" w:hAnsi="Times New Roman"/>
                <w:sz w:val="22"/>
                <w:szCs w:val="22"/>
              </w:rPr>
            </w:pPr>
            <w:r w:rsidRPr="00A96388">
              <w:rPr>
                <w:rFonts w:ascii="Times New Roman" w:hAnsi="Times New Roman"/>
                <w:sz w:val="22"/>
                <w:szCs w:val="22"/>
              </w:rPr>
              <w:t>Tiekėjas s</w:t>
            </w:r>
            <w:r w:rsidR="000D000A" w:rsidRPr="00A96388">
              <w:rPr>
                <w:rFonts w:ascii="Times New Roman" w:hAnsi="Times New Roman"/>
                <w:sz w:val="22"/>
                <w:szCs w:val="22"/>
              </w:rPr>
              <w:t>iūlo patikslinti specialiųjų paslaugų sutarties sąlygų 7.5 p. papildant jį žemiau esančiu sakiniu:</w:t>
            </w:r>
          </w:p>
          <w:p w14:paraId="3385F013" w14:textId="77777777" w:rsidR="000D000A" w:rsidRPr="00A96388" w:rsidRDefault="000D000A" w:rsidP="00A96388">
            <w:pPr>
              <w:numPr>
                <w:ilvl w:val="1"/>
                <w:numId w:val="0"/>
              </w:numPr>
              <w:tabs>
                <w:tab w:val="left" w:pos="426"/>
              </w:tabs>
              <w:jc w:val="both"/>
              <w:rPr>
                <w:rFonts w:ascii="Times New Roman" w:hAnsi="Times New Roman"/>
                <w:sz w:val="22"/>
                <w:szCs w:val="22"/>
              </w:rPr>
            </w:pPr>
            <w:r w:rsidRPr="00A96388">
              <w:rPr>
                <w:rFonts w:ascii="Times New Roman" w:hAnsi="Times New Roman"/>
                <w:sz w:val="22"/>
                <w:szCs w:val="22"/>
              </w:rPr>
              <w:t>„Tačiau šiuo atveju Užsakovas privalo sumokėti Tiekėjui kainos dalį, proporcingą suteiktoms Paslaugoms iki pranešimo apie Sutarties nutraukimą gavimo iš Užsakovo momento.“</w:t>
            </w:r>
          </w:p>
          <w:p w14:paraId="69AAA7C7" w14:textId="77777777" w:rsidR="000D000A" w:rsidRPr="00A96388" w:rsidRDefault="000D000A" w:rsidP="00A96388">
            <w:pPr>
              <w:shd w:val="clear" w:color="auto" w:fill="FFFFFF"/>
              <w:jc w:val="both"/>
              <w:rPr>
                <w:sz w:val="22"/>
                <w:szCs w:val="22"/>
              </w:rPr>
            </w:pPr>
          </w:p>
        </w:tc>
        <w:tc>
          <w:tcPr>
            <w:tcW w:w="4820" w:type="dxa"/>
          </w:tcPr>
          <w:p w14:paraId="2A9ADC6B" w14:textId="6D5622F0" w:rsidR="000D000A" w:rsidRPr="00A96388" w:rsidRDefault="000D000A" w:rsidP="00A96388">
            <w:pPr>
              <w:jc w:val="both"/>
              <w:rPr>
                <w:rFonts w:ascii="Times New Roman" w:hAnsi="Times New Roman"/>
                <w:sz w:val="22"/>
                <w:szCs w:val="22"/>
                <w:lang w:eastAsia="en-US"/>
              </w:rPr>
            </w:pPr>
            <w:r w:rsidRPr="00A96388">
              <w:rPr>
                <w:rFonts w:ascii="Times New Roman" w:hAnsi="Times New Roman"/>
                <w:sz w:val="22"/>
                <w:szCs w:val="22"/>
                <w:lang w:eastAsia="en-US"/>
              </w:rPr>
              <w:t xml:space="preserve">Sutarties Bendrųjų </w:t>
            </w:r>
            <w:r w:rsidR="005325D6" w:rsidRPr="00A96388">
              <w:rPr>
                <w:rFonts w:ascii="Times New Roman" w:hAnsi="Times New Roman"/>
                <w:sz w:val="22"/>
                <w:szCs w:val="22"/>
                <w:lang w:eastAsia="en-US"/>
              </w:rPr>
              <w:t xml:space="preserve">paslaugų </w:t>
            </w:r>
            <w:r w:rsidRPr="00A96388">
              <w:rPr>
                <w:rFonts w:ascii="Times New Roman" w:hAnsi="Times New Roman"/>
                <w:sz w:val="22"/>
                <w:szCs w:val="22"/>
                <w:lang w:eastAsia="en-US"/>
              </w:rPr>
              <w:t xml:space="preserve">sutarties sąlygų 15.8 ir 15.10 p. yra numatyta tiekėjo siūloma nuostata. </w:t>
            </w:r>
          </w:p>
          <w:p w14:paraId="52F378D9" w14:textId="5E8CC158" w:rsidR="000D000A" w:rsidRPr="00A96388" w:rsidRDefault="000D000A" w:rsidP="00A96388">
            <w:pPr>
              <w:jc w:val="both"/>
              <w:rPr>
                <w:sz w:val="22"/>
                <w:szCs w:val="22"/>
              </w:rPr>
            </w:pPr>
            <w:r w:rsidRPr="00A96388">
              <w:rPr>
                <w:rFonts w:ascii="Times New Roman" w:hAnsi="Times New Roman"/>
                <w:sz w:val="22"/>
                <w:szCs w:val="22"/>
                <w:lang w:eastAsia="en-US"/>
              </w:rPr>
              <w:t>Primename, kad</w:t>
            </w:r>
            <w:r w:rsidR="005325D6" w:rsidRPr="00A96388">
              <w:rPr>
                <w:rFonts w:ascii="Times New Roman" w:hAnsi="Times New Roman"/>
                <w:sz w:val="22"/>
                <w:szCs w:val="22"/>
                <w:lang w:eastAsia="en-US"/>
              </w:rPr>
              <w:t xml:space="preserve"> </w:t>
            </w:r>
            <w:r w:rsidRPr="00A96388">
              <w:rPr>
                <w:rFonts w:ascii="Times New Roman" w:hAnsi="Times New Roman"/>
                <w:sz w:val="22"/>
                <w:szCs w:val="22"/>
                <w:lang w:eastAsia="en-US"/>
              </w:rPr>
              <w:t xml:space="preserve">Bendrosios </w:t>
            </w:r>
            <w:r w:rsidR="005325D6" w:rsidRPr="00A96388">
              <w:rPr>
                <w:rFonts w:ascii="Times New Roman" w:hAnsi="Times New Roman"/>
                <w:sz w:val="22"/>
                <w:szCs w:val="22"/>
                <w:lang w:eastAsia="en-US"/>
              </w:rPr>
              <w:t xml:space="preserve">paslaugų sutarties </w:t>
            </w:r>
            <w:r w:rsidRPr="00A96388">
              <w:rPr>
                <w:rFonts w:ascii="Times New Roman" w:hAnsi="Times New Roman"/>
                <w:sz w:val="22"/>
                <w:szCs w:val="22"/>
                <w:lang w:eastAsia="en-US"/>
              </w:rPr>
              <w:t>sąlygos yra neatskiriama sutarties dalis ir jos taikomos kartu su specialiosiomis paslaugų sutarties sąlygomis.</w:t>
            </w:r>
          </w:p>
        </w:tc>
      </w:tr>
      <w:tr w:rsidR="000D000A" w:rsidRPr="00A96388" w14:paraId="4846ABE9" w14:textId="77777777" w:rsidTr="00FC5BFC">
        <w:tc>
          <w:tcPr>
            <w:tcW w:w="528" w:type="dxa"/>
          </w:tcPr>
          <w:p w14:paraId="6DAB4EB3" w14:textId="77777777" w:rsidR="000D000A" w:rsidRPr="00A96388" w:rsidRDefault="000D000A" w:rsidP="00A96388">
            <w:pPr>
              <w:pStyle w:val="Sraopastraipa"/>
              <w:numPr>
                <w:ilvl w:val="0"/>
                <w:numId w:val="9"/>
              </w:numPr>
              <w:ind w:hanging="720"/>
              <w:jc w:val="both"/>
              <w:rPr>
                <w:rFonts w:ascii="Times New Roman" w:hAnsi="Times New Roman" w:cs="Times New Roman"/>
              </w:rPr>
            </w:pPr>
          </w:p>
        </w:tc>
        <w:tc>
          <w:tcPr>
            <w:tcW w:w="4570" w:type="dxa"/>
          </w:tcPr>
          <w:p w14:paraId="4A88CDC6" w14:textId="6A440A43" w:rsidR="000D000A" w:rsidRPr="00A96388" w:rsidRDefault="00BE2EBA" w:rsidP="00A96388">
            <w:pPr>
              <w:shd w:val="clear" w:color="auto" w:fill="FFFFFF"/>
              <w:jc w:val="both"/>
              <w:rPr>
                <w:rFonts w:ascii="Times New Roman" w:hAnsi="Times New Roman"/>
                <w:sz w:val="22"/>
                <w:szCs w:val="22"/>
              </w:rPr>
            </w:pPr>
            <w:r w:rsidRPr="00A96388">
              <w:rPr>
                <w:rFonts w:ascii="Times New Roman" w:hAnsi="Times New Roman"/>
                <w:sz w:val="22"/>
                <w:szCs w:val="22"/>
              </w:rPr>
              <w:t>Tiekėjas s</w:t>
            </w:r>
            <w:r w:rsidR="00664BD0" w:rsidRPr="00A96388">
              <w:rPr>
                <w:rFonts w:ascii="Times New Roman" w:hAnsi="Times New Roman"/>
                <w:sz w:val="22"/>
                <w:szCs w:val="22"/>
              </w:rPr>
              <w:t>iūlo p</w:t>
            </w:r>
            <w:r w:rsidR="000D000A" w:rsidRPr="00A96388">
              <w:rPr>
                <w:rFonts w:ascii="Times New Roman" w:hAnsi="Times New Roman"/>
                <w:sz w:val="22"/>
                <w:szCs w:val="22"/>
              </w:rPr>
              <w:t xml:space="preserve">apildyti </w:t>
            </w:r>
            <w:r w:rsidR="00664BD0" w:rsidRPr="00A96388">
              <w:rPr>
                <w:rFonts w:ascii="Times New Roman" w:hAnsi="Times New Roman"/>
                <w:sz w:val="22"/>
                <w:szCs w:val="22"/>
              </w:rPr>
              <w:t>specialiąsias</w:t>
            </w:r>
            <w:r w:rsidR="000D000A" w:rsidRPr="00A96388">
              <w:rPr>
                <w:rFonts w:ascii="Times New Roman" w:hAnsi="Times New Roman"/>
                <w:sz w:val="22"/>
                <w:szCs w:val="22"/>
              </w:rPr>
              <w:t xml:space="preserve"> paslaugų sutarties sąlygas papildomais punktais:</w:t>
            </w:r>
          </w:p>
          <w:p w14:paraId="7D4B0DD3" w14:textId="77777777" w:rsidR="000D000A" w:rsidRPr="00A96388" w:rsidRDefault="000D000A" w:rsidP="00A96388">
            <w:pPr>
              <w:shd w:val="clear" w:color="auto" w:fill="FFFFFF"/>
              <w:jc w:val="both"/>
              <w:rPr>
                <w:rFonts w:ascii="Times New Roman" w:hAnsi="Times New Roman"/>
                <w:sz w:val="22"/>
                <w:szCs w:val="22"/>
              </w:rPr>
            </w:pPr>
          </w:p>
          <w:p w14:paraId="3DF0CF04" w14:textId="77777777" w:rsidR="000D000A" w:rsidRPr="00A96388" w:rsidRDefault="000D000A" w:rsidP="00A96388">
            <w:pPr>
              <w:numPr>
                <w:ilvl w:val="1"/>
                <w:numId w:val="0"/>
              </w:numPr>
              <w:tabs>
                <w:tab w:val="left" w:pos="567"/>
              </w:tabs>
              <w:jc w:val="both"/>
              <w:rPr>
                <w:rFonts w:ascii="Times New Roman" w:hAnsi="Times New Roman"/>
                <w:sz w:val="22"/>
                <w:szCs w:val="22"/>
                <w:lang w:bidi="lt-LT"/>
              </w:rPr>
            </w:pPr>
            <w:r w:rsidRPr="00A96388">
              <w:rPr>
                <w:rFonts w:ascii="Times New Roman" w:hAnsi="Times New Roman"/>
                <w:sz w:val="22"/>
                <w:szCs w:val="22"/>
                <w:lang w:bidi="lt-LT"/>
              </w:rPr>
              <w:t>7.15. Užsakovas sutinka, kad Tiekėjas Sutarties vykdymo tikslu turės teisę perduoti su šia Sutartimi susijusią dokumentaciją (įskaitant ir joje esančią Užsakovo konfidencialią informaciją) Sutarčiai vykdyti pasitelktai Tiekėjo grupės įmonei (subrangovui) (jei taikoma), o taip pat - saugoti į Tiekėjo regioninį serverį kitoje ES valstybėje, prižiūrimą Tiekėjo grupės įmonės ar jos subrangovo, su sąlyga, kad bus laikomasi to paties lygio techninių, organizacinių ir asmeninių informacijos saugumo priemonių, kurie keliami Tiekėjui. Su šia Sutartimi ir jos vykdymu susijusi dokumentacija Tiekėjo bus saugomi 10 metų nuo sutartinių santykių pasibaigimo arba kiek to yra reikalaujama pagal taikytinus Lietuvos Respublikos įstatymus.</w:t>
            </w:r>
          </w:p>
          <w:p w14:paraId="5A42A71D" w14:textId="77777777" w:rsidR="000D000A" w:rsidRPr="00A96388" w:rsidRDefault="000D000A" w:rsidP="00A96388">
            <w:pPr>
              <w:numPr>
                <w:ilvl w:val="1"/>
                <w:numId w:val="0"/>
              </w:numPr>
              <w:tabs>
                <w:tab w:val="left" w:pos="567"/>
              </w:tabs>
              <w:jc w:val="both"/>
              <w:rPr>
                <w:rFonts w:ascii="Times New Roman" w:hAnsi="Times New Roman"/>
                <w:sz w:val="22"/>
                <w:szCs w:val="22"/>
                <w:lang w:bidi="lt-LT"/>
              </w:rPr>
            </w:pPr>
            <w:r w:rsidRPr="00A96388">
              <w:rPr>
                <w:rFonts w:ascii="Times New Roman" w:hAnsi="Times New Roman"/>
                <w:sz w:val="22"/>
                <w:szCs w:val="22"/>
                <w:lang w:bidi="lt-LT"/>
              </w:rPr>
              <w:t>7.16. Tiekėjo bendra atsakomybės suma (visiems atvejams sumoje) pagal šią Sutartį už bet kokią žalą, nuostolius, išlaidas ar netesybas (baudas, delspinigius) bus ribojama bendra šios Sutarties kainos (su PVM) suma, išskyrus atvejus, kai įstatymai draudžia riboti šalių atsakomybę.</w:t>
            </w:r>
          </w:p>
          <w:p w14:paraId="5FF70BC8" w14:textId="67AC493F" w:rsidR="000D000A" w:rsidRPr="00A96388" w:rsidRDefault="000D000A" w:rsidP="00A96388">
            <w:pPr>
              <w:numPr>
                <w:ilvl w:val="1"/>
                <w:numId w:val="0"/>
              </w:numPr>
              <w:tabs>
                <w:tab w:val="left" w:pos="567"/>
              </w:tabs>
              <w:jc w:val="both"/>
              <w:rPr>
                <w:rFonts w:ascii="Times New Roman" w:hAnsi="Times New Roman"/>
                <w:sz w:val="22"/>
                <w:szCs w:val="22"/>
                <w:lang w:val="en-US" w:bidi="lt-LT"/>
              </w:rPr>
            </w:pPr>
            <w:r w:rsidRPr="00A96388">
              <w:rPr>
                <w:rFonts w:ascii="Times New Roman" w:hAnsi="Times New Roman"/>
                <w:sz w:val="22"/>
                <w:szCs w:val="22"/>
                <w:lang w:bidi="lt-LT"/>
              </w:rPr>
              <w:t>7.17. Šalys patvirtina, kad teikiant Paslaugas pagal (vykdant) šią Sutartį Užsakovas neperduos Tiekėjui asmens duomenų ir, atitinkamai, Tiekėjas netvarkys Užsakovo asmens duomenų.</w:t>
            </w:r>
          </w:p>
        </w:tc>
        <w:tc>
          <w:tcPr>
            <w:tcW w:w="4820" w:type="dxa"/>
          </w:tcPr>
          <w:p w14:paraId="7A9A3802" w14:textId="77777777" w:rsidR="008C0633" w:rsidRPr="00A96388" w:rsidRDefault="000D000A" w:rsidP="00A96388">
            <w:pPr>
              <w:jc w:val="both"/>
              <w:rPr>
                <w:rFonts w:ascii="Times New Roman" w:hAnsi="Times New Roman"/>
                <w:sz w:val="22"/>
                <w:szCs w:val="22"/>
                <w:lang w:eastAsia="en-US"/>
              </w:rPr>
            </w:pPr>
            <w:r w:rsidRPr="00A96388">
              <w:rPr>
                <w:rFonts w:ascii="Times New Roman" w:hAnsi="Times New Roman"/>
                <w:sz w:val="22"/>
                <w:szCs w:val="22"/>
                <w:lang w:eastAsia="en-US"/>
              </w:rPr>
              <w:t xml:space="preserve">Perkančioji organizacija sutinka papildyti </w:t>
            </w:r>
            <w:r w:rsidR="00F226D5" w:rsidRPr="00A96388">
              <w:rPr>
                <w:rFonts w:ascii="Times New Roman" w:hAnsi="Times New Roman"/>
                <w:sz w:val="22"/>
                <w:szCs w:val="22"/>
                <w:lang w:eastAsia="en-US"/>
              </w:rPr>
              <w:t xml:space="preserve">specialiosios paslaugų </w:t>
            </w:r>
            <w:r w:rsidRPr="00A96388">
              <w:rPr>
                <w:rFonts w:ascii="Times New Roman" w:hAnsi="Times New Roman"/>
                <w:sz w:val="22"/>
                <w:szCs w:val="22"/>
                <w:lang w:eastAsia="en-US"/>
              </w:rPr>
              <w:t>sutart</w:t>
            </w:r>
            <w:r w:rsidR="00F226D5" w:rsidRPr="00A96388">
              <w:rPr>
                <w:rFonts w:ascii="Times New Roman" w:hAnsi="Times New Roman"/>
                <w:sz w:val="22"/>
                <w:szCs w:val="22"/>
                <w:lang w:eastAsia="en-US"/>
              </w:rPr>
              <w:t>ies sąlygas tiekėjo siūloma 7.15 p. nuostata</w:t>
            </w:r>
            <w:r w:rsidR="008C0633" w:rsidRPr="00A96388">
              <w:rPr>
                <w:rFonts w:ascii="Times New Roman" w:hAnsi="Times New Roman"/>
                <w:sz w:val="22"/>
                <w:szCs w:val="22"/>
                <w:lang w:eastAsia="en-US"/>
              </w:rPr>
              <w:t xml:space="preserve">. </w:t>
            </w:r>
          </w:p>
          <w:p w14:paraId="2FC80D27" w14:textId="4B335FBD" w:rsidR="00F226D5" w:rsidRPr="00A96388" w:rsidRDefault="008C0633" w:rsidP="00A96388">
            <w:pPr>
              <w:jc w:val="both"/>
              <w:rPr>
                <w:rFonts w:ascii="Times New Roman" w:hAnsi="Times New Roman"/>
                <w:b/>
                <w:bCs/>
                <w:sz w:val="22"/>
                <w:szCs w:val="22"/>
                <w:lang w:eastAsia="en-US"/>
              </w:rPr>
            </w:pPr>
            <w:r w:rsidRPr="00A96388">
              <w:rPr>
                <w:rFonts w:ascii="Times New Roman" w:hAnsi="Times New Roman"/>
                <w:b/>
                <w:bCs/>
                <w:sz w:val="22"/>
                <w:szCs w:val="22"/>
                <w:lang w:eastAsia="en-US"/>
              </w:rPr>
              <w:t xml:space="preserve">Tiekėjams bus pateikta atnaujinta, aktuali specialiųjų </w:t>
            </w:r>
            <w:r w:rsidR="005325D6" w:rsidRPr="00A96388">
              <w:rPr>
                <w:rFonts w:ascii="Times New Roman" w:hAnsi="Times New Roman"/>
                <w:b/>
                <w:bCs/>
                <w:sz w:val="22"/>
                <w:szCs w:val="22"/>
                <w:lang w:eastAsia="en-US"/>
              </w:rPr>
              <w:t xml:space="preserve">paslaugų </w:t>
            </w:r>
            <w:r w:rsidRPr="00A96388">
              <w:rPr>
                <w:rFonts w:ascii="Times New Roman" w:hAnsi="Times New Roman"/>
                <w:b/>
                <w:bCs/>
                <w:sz w:val="22"/>
                <w:szCs w:val="22"/>
                <w:lang w:eastAsia="en-US"/>
              </w:rPr>
              <w:t>sutarties sąlygų versija.</w:t>
            </w:r>
          </w:p>
          <w:p w14:paraId="3C93DA42" w14:textId="77777777" w:rsidR="008C0633" w:rsidRPr="00A96388" w:rsidRDefault="008C0633" w:rsidP="00A96388">
            <w:pPr>
              <w:jc w:val="both"/>
              <w:rPr>
                <w:rFonts w:ascii="Times New Roman" w:hAnsi="Times New Roman"/>
                <w:sz w:val="22"/>
                <w:szCs w:val="22"/>
                <w:lang w:eastAsia="en-US"/>
              </w:rPr>
            </w:pPr>
          </w:p>
          <w:p w14:paraId="5FA38DFC" w14:textId="02938D6E" w:rsidR="00F226D5" w:rsidRPr="00A96388" w:rsidRDefault="00F226D5" w:rsidP="00A96388">
            <w:pPr>
              <w:jc w:val="both"/>
              <w:rPr>
                <w:rFonts w:ascii="Times New Roman" w:hAnsi="Times New Roman"/>
                <w:sz w:val="22"/>
                <w:szCs w:val="22"/>
                <w:lang w:eastAsia="en-US"/>
              </w:rPr>
            </w:pPr>
            <w:r w:rsidRPr="00A96388">
              <w:rPr>
                <w:rFonts w:ascii="Times New Roman" w:hAnsi="Times New Roman"/>
                <w:sz w:val="22"/>
                <w:szCs w:val="22"/>
                <w:lang w:eastAsia="en-US"/>
              </w:rPr>
              <w:t>Perkančioji organizacija nesutinka papildyti specialiųjų sutarties sąlygų 7.16 p. nuostata, nes įtraukus tiekėjo siūlomą nuostatą nebūtų užtikrinta Perkančiosios organizacijos teisė į visų nuostolių atlyginimą</w:t>
            </w:r>
            <w:r w:rsidRPr="00A96388">
              <w:rPr>
                <w:rFonts w:ascii="Times New Roman" w:hAnsi="Times New Roman"/>
                <w:sz w:val="22"/>
                <w:szCs w:val="22"/>
              </w:rPr>
              <w:t xml:space="preserve"> dėl paslaugų teikėjo netinkamai suteiktų paslaugų.</w:t>
            </w:r>
          </w:p>
          <w:p w14:paraId="21CCE0B1" w14:textId="77777777" w:rsidR="000D000A" w:rsidRPr="00A96388" w:rsidRDefault="000D000A" w:rsidP="00A96388">
            <w:pPr>
              <w:jc w:val="both"/>
              <w:rPr>
                <w:rFonts w:ascii="Times New Roman" w:hAnsi="Times New Roman"/>
                <w:sz w:val="22"/>
                <w:szCs w:val="22"/>
                <w:lang w:eastAsia="en-US" w:bidi="lt-LT"/>
              </w:rPr>
            </w:pPr>
          </w:p>
          <w:p w14:paraId="08B4BCB0" w14:textId="632FA1A0" w:rsidR="00F226D5" w:rsidRPr="00A96388" w:rsidRDefault="00F226D5" w:rsidP="00A96388">
            <w:pPr>
              <w:jc w:val="both"/>
              <w:rPr>
                <w:rFonts w:ascii="Times New Roman" w:hAnsi="Times New Roman"/>
                <w:sz w:val="22"/>
                <w:szCs w:val="22"/>
                <w:lang w:eastAsia="en-US" w:bidi="lt-LT"/>
              </w:rPr>
            </w:pPr>
            <w:r w:rsidRPr="00A96388">
              <w:rPr>
                <w:rFonts w:ascii="Times New Roman" w:hAnsi="Times New Roman"/>
                <w:sz w:val="22"/>
                <w:szCs w:val="22"/>
                <w:lang w:eastAsia="en-US" w:bidi="lt-LT"/>
              </w:rPr>
              <w:t xml:space="preserve">Perkančioji organizacija nesutinka specialiąsias </w:t>
            </w:r>
            <w:r w:rsidR="005325D6" w:rsidRPr="00A96388">
              <w:rPr>
                <w:rFonts w:ascii="Times New Roman" w:hAnsi="Times New Roman"/>
                <w:sz w:val="22"/>
                <w:szCs w:val="22"/>
                <w:lang w:eastAsia="en-US" w:bidi="lt-LT"/>
              </w:rPr>
              <w:t xml:space="preserve">paslaugų </w:t>
            </w:r>
            <w:r w:rsidRPr="00A96388">
              <w:rPr>
                <w:rFonts w:ascii="Times New Roman" w:hAnsi="Times New Roman"/>
                <w:sz w:val="22"/>
                <w:szCs w:val="22"/>
                <w:lang w:eastAsia="en-US" w:bidi="lt-LT"/>
              </w:rPr>
              <w:t xml:space="preserve">sutarties sąlygas papildyti 7.17 p., nes </w:t>
            </w:r>
            <w:r w:rsidR="007B0151" w:rsidRPr="00A96388">
              <w:rPr>
                <w:rFonts w:ascii="Times New Roman" w:hAnsi="Times New Roman"/>
                <w:sz w:val="22"/>
                <w:szCs w:val="22"/>
                <w:lang w:eastAsia="en-US" w:bidi="lt-LT"/>
              </w:rPr>
              <w:t>vadovaujantis ES Bendrųjų duomenų apsaugos reglamentu asmens duomenimis yra laikoma bet kokia informacija, susijusi su asmeniu, kurio tapatybė nustatyta arba kurio tapatybę galima nustatyti, t. y. tiek asmens vardas, pavardė, kontaktiniai duomenys</w:t>
            </w:r>
            <w:r w:rsidR="00664BD0" w:rsidRPr="00A96388">
              <w:rPr>
                <w:rFonts w:ascii="Times New Roman" w:hAnsi="Times New Roman"/>
                <w:sz w:val="22"/>
                <w:szCs w:val="22"/>
                <w:lang w:eastAsia="en-US" w:bidi="lt-LT"/>
              </w:rPr>
              <w:t xml:space="preserve"> (telefono Nr., el. paštas)</w:t>
            </w:r>
            <w:r w:rsidR="007B0151" w:rsidRPr="00A96388">
              <w:rPr>
                <w:rFonts w:ascii="Times New Roman" w:hAnsi="Times New Roman"/>
                <w:sz w:val="22"/>
                <w:szCs w:val="22"/>
                <w:lang w:eastAsia="en-US" w:bidi="lt-LT"/>
              </w:rPr>
              <w:t>, kurie bus perduoti tiekėjams</w:t>
            </w:r>
            <w:r w:rsidR="005325D6" w:rsidRPr="00A96388">
              <w:rPr>
                <w:rFonts w:ascii="Times New Roman" w:hAnsi="Times New Roman"/>
                <w:sz w:val="22"/>
                <w:szCs w:val="22"/>
                <w:lang w:eastAsia="en-US" w:bidi="lt-LT"/>
              </w:rPr>
              <w:t xml:space="preserve"> sutarties vykdymo metu</w:t>
            </w:r>
            <w:r w:rsidR="007B0151" w:rsidRPr="00A96388">
              <w:rPr>
                <w:rFonts w:ascii="Times New Roman" w:hAnsi="Times New Roman"/>
                <w:sz w:val="22"/>
                <w:szCs w:val="22"/>
                <w:lang w:eastAsia="en-US" w:bidi="lt-LT"/>
              </w:rPr>
              <w:t>.</w:t>
            </w:r>
          </w:p>
          <w:p w14:paraId="238BE115" w14:textId="3BB6BB7F" w:rsidR="007B0151" w:rsidRPr="00A96388" w:rsidRDefault="007B0151" w:rsidP="00A96388">
            <w:pPr>
              <w:rPr>
                <w:rFonts w:ascii="Times New Roman" w:hAnsi="Times New Roman"/>
                <w:sz w:val="22"/>
                <w:szCs w:val="22"/>
                <w:lang w:eastAsia="en-US"/>
              </w:rPr>
            </w:pPr>
            <w:r w:rsidRPr="00A96388">
              <w:rPr>
                <w:rFonts w:ascii="Times New Roman" w:hAnsi="Times New Roman"/>
                <w:sz w:val="22"/>
                <w:szCs w:val="22"/>
                <w:lang w:eastAsia="en-US"/>
              </w:rPr>
              <w:t>Atkreipiame dėmesį, kad Bendrųjų sutarties sąlygų 16 punkte yra nurodyti reikalavimai taikomi asmens duomenų apsaugai ir tvarkymui, kurių įsipareigoja laikyti paslaugų teikėjas</w:t>
            </w:r>
            <w:r w:rsidR="008C0633" w:rsidRPr="00A96388">
              <w:rPr>
                <w:rFonts w:ascii="Times New Roman" w:hAnsi="Times New Roman"/>
                <w:sz w:val="22"/>
                <w:szCs w:val="22"/>
                <w:lang w:eastAsia="en-US"/>
              </w:rPr>
              <w:t>, pasirašęs sutartį.</w:t>
            </w:r>
          </w:p>
        </w:tc>
      </w:tr>
      <w:tr w:rsidR="000D000A" w:rsidRPr="00A96388" w14:paraId="4F71D50D" w14:textId="77777777" w:rsidTr="00FC5BFC">
        <w:tc>
          <w:tcPr>
            <w:tcW w:w="528" w:type="dxa"/>
          </w:tcPr>
          <w:p w14:paraId="10F94547" w14:textId="77777777" w:rsidR="000D000A" w:rsidRPr="00A96388" w:rsidRDefault="000D000A" w:rsidP="00A96388">
            <w:pPr>
              <w:pStyle w:val="Sraopastraipa"/>
              <w:numPr>
                <w:ilvl w:val="0"/>
                <w:numId w:val="9"/>
              </w:numPr>
              <w:ind w:hanging="720"/>
              <w:jc w:val="both"/>
              <w:rPr>
                <w:rFonts w:ascii="Times New Roman" w:hAnsi="Times New Roman" w:cs="Times New Roman"/>
              </w:rPr>
            </w:pPr>
          </w:p>
        </w:tc>
        <w:tc>
          <w:tcPr>
            <w:tcW w:w="4570" w:type="dxa"/>
          </w:tcPr>
          <w:p w14:paraId="45E36D10" w14:textId="2AACBF5A" w:rsidR="000D000A" w:rsidRPr="00A96388" w:rsidRDefault="000D000A" w:rsidP="00A96388">
            <w:pPr>
              <w:shd w:val="clear" w:color="auto" w:fill="FFFFFF"/>
              <w:jc w:val="both"/>
              <w:rPr>
                <w:rFonts w:ascii="Times New Roman" w:hAnsi="Times New Roman"/>
                <w:sz w:val="22"/>
                <w:szCs w:val="22"/>
              </w:rPr>
            </w:pPr>
            <w:r w:rsidRPr="00A96388">
              <w:rPr>
                <w:rFonts w:ascii="Times New Roman" w:hAnsi="Times New Roman"/>
                <w:sz w:val="22"/>
                <w:szCs w:val="22"/>
              </w:rPr>
              <w:t xml:space="preserve">Prašome papildyti </w:t>
            </w:r>
            <w:r w:rsidR="00664BD0" w:rsidRPr="00A96388">
              <w:rPr>
                <w:rFonts w:ascii="Times New Roman" w:hAnsi="Times New Roman"/>
                <w:sz w:val="22"/>
                <w:szCs w:val="22"/>
              </w:rPr>
              <w:t>specialiąsias</w:t>
            </w:r>
            <w:r w:rsidRPr="00A96388">
              <w:rPr>
                <w:rFonts w:ascii="Times New Roman" w:hAnsi="Times New Roman"/>
                <w:sz w:val="22"/>
                <w:szCs w:val="22"/>
              </w:rPr>
              <w:t xml:space="preserve"> paslaugų sutarties sąlygas 3.8 punktu: „Teikėjo atsakomybė už Pirkėjo patirtus nuostolius, kylančius iš ar susijusius su šios Sutarties nevykdymu ar netinkamu vykdymu, išskyrus jei nuostoliai kyla dėl paslaugų Teikėjo tyčinio Sutarties sąlygų nevykdymo ar dėl didelio neatsargumo, bus apribota ir neviršys Sutarties kainos dydžio.</w:t>
            </w:r>
            <w:r w:rsidR="00A96388" w:rsidRPr="00A96388">
              <w:rPr>
                <w:rFonts w:ascii="Times New Roman" w:hAnsi="Times New Roman"/>
                <w:sz w:val="22"/>
                <w:szCs w:val="22"/>
              </w:rPr>
              <w:t>“</w:t>
            </w:r>
          </w:p>
        </w:tc>
        <w:tc>
          <w:tcPr>
            <w:tcW w:w="4820" w:type="dxa"/>
          </w:tcPr>
          <w:p w14:paraId="40DBE876" w14:textId="45A59F0E" w:rsidR="000D000A" w:rsidRPr="00A96388" w:rsidRDefault="000D000A" w:rsidP="00A96388">
            <w:pPr>
              <w:jc w:val="both"/>
              <w:rPr>
                <w:rFonts w:ascii="Times New Roman" w:hAnsi="Times New Roman"/>
                <w:sz w:val="22"/>
                <w:szCs w:val="22"/>
                <w:lang w:eastAsia="en-US"/>
              </w:rPr>
            </w:pPr>
            <w:r w:rsidRPr="00A96388">
              <w:rPr>
                <w:rFonts w:ascii="Times New Roman" w:hAnsi="Times New Roman"/>
                <w:sz w:val="22"/>
                <w:szCs w:val="22"/>
                <w:lang w:eastAsia="en-US"/>
              </w:rPr>
              <w:t xml:space="preserve">Perkančioji organizacija nesutinka su Tiekėjo siūlomu sutarties punkto papildymu, </w:t>
            </w:r>
            <w:r w:rsidR="008C0633" w:rsidRPr="00A96388">
              <w:rPr>
                <w:rFonts w:ascii="Times New Roman" w:hAnsi="Times New Roman"/>
                <w:sz w:val="22"/>
                <w:szCs w:val="22"/>
                <w:lang w:eastAsia="en-US"/>
              </w:rPr>
              <w:t>nes įtraukus tiekėjo siūlomą nuostatą</w:t>
            </w:r>
            <w:r w:rsidR="005325D6" w:rsidRPr="00A96388">
              <w:rPr>
                <w:rFonts w:ascii="Times New Roman" w:hAnsi="Times New Roman"/>
                <w:sz w:val="22"/>
                <w:szCs w:val="22"/>
                <w:lang w:eastAsia="en-US"/>
              </w:rPr>
              <w:t>,</w:t>
            </w:r>
            <w:r w:rsidR="008C0633" w:rsidRPr="00A96388">
              <w:rPr>
                <w:rFonts w:ascii="Times New Roman" w:hAnsi="Times New Roman"/>
                <w:sz w:val="22"/>
                <w:szCs w:val="22"/>
                <w:lang w:eastAsia="en-US"/>
              </w:rPr>
              <w:t xml:space="preserve"> nebūtų užtikrinta Perkančiosios organizacijos teisė į visų nuostolių atlyginimą</w:t>
            </w:r>
            <w:r w:rsidR="005325D6" w:rsidRPr="00A96388">
              <w:rPr>
                <w:rFonts w:ascii="Times New Roman" w:hAnsi="Times New Roman"/>
                <w:sz w:val="22"/>
                <w:szCs w:val="22"/>
                <w:lang w:eastAsia="en-US"/>
              </w:rPr>
              <w:t>,</w:t>
            </w:r>
            <w:r w:rsidR="008C0633" w:rsidRPr="00A96388">
              <w:rPr>
                <w:rFonts w:ascii="Times New Roman" w:hAnsi="Times New Roman"/>
                <w:sz w:val="22"/>
                <w:szCs w:val="22"/>
              </w:rPr>
              <w:t xml:space="preserve"> dėl paslaugų teikėjo netinkamai suteiktų paslaugų.</w:t>
            </w:r>
          </w:p>
        </w:tc>
      </w:tr>
    </w:tbl>
    <w:p w14:paraId="52802635" w14:textId="77777777" w:rsidR="00EC033B" w:rsidRPr="00FF7432" w:rsidRDefault="00EC033B" w:rsidP="00EC033B">
      <w:pPr>
        <w:jc w:val="both"/>
        <w:rPr>
          <w:sz w:val="22"/>
          <w:szCs w:val="22"/>
        </w:rPr>
      </w:pPr>
      <w:r w:rsidRPr="00FF7432">
        <w:rPr>
          <w:sz w:val="22"/>
          <w:szCs w:val="22"/>
        </w:rPr>
        <w:t>* tekstas neredaguotas</w:t>
      </w:r>
    </w:p>
    <w:p w14:paraId="1D4634D6" w14:textId="77777777" w:rsidR="000F0210" w:rsidRPr="00472E9A" w:rsidRDefault="000F0210" w:rsidP="001501E8">
      <w:pPr>
        <w:tabs>
          <w:tab w:val="left" w:pos="567"/>
          <w:tab w:val="left" w:pos="2268"/>
        </w:tabs>
        <w:ind w:firstLine="567"/>
        <w:contextualSpacing/>
        <w:jc w:val="both"/>
        <w:rPr>
          <w:sz w:val="22"/>
          <w:szCs w:val="22"/>
          <w:lang w:eastAsia="en-US"/>
        </w:rPr>
      </w:pPr>
    </w:p>
    <w:p w14:paraId="4657C17B" w14:textId="6710742F" w:rsidR="00AA4290" w:rsidRPr="00C210A5" w:rsidRDefault="00C210A5" w:rsidP="001501E8">
      <w:pPr>
        <w:tabs>
          <w:tab w:val="left" w:pos="567"/>
          <w:tab w:val="left" w:pos="2268"/>
        </w:tabs>
        <w:ind w:firstLine="567"/>
        <w:contextualSpacing/>
        <w:jc w:val="both"/>
        <w:rPr>
          <w:lang w:eastAsia="en-US"/>
        </w:rPr>
      </w:pPr>
      <w:r>
        <w:rPr>
          <w:lang w:eastAsia="en-US"/>
        </w:rPr>
        <w:t>Komisija</w:t>
      </w:r>
      <w:r w:rsidRPr="00C210A5">
        <w:rPr>
          <w:lang w:eastAsia="en-US"/>
        </w:rPr>
        <w:t xml:space="preserve"> informuoja, kad vadovaujantis Pirkimo sąlygų nuostatomis, pasiūlymų pateikimo terminą nukelia iki 2025 m. </w:t>
      </w:r>
      <w:r w:rsidR="00F61184">
        <w:rPr>
          <w:lang w:eastAsia="en-US"/>
        </w:rPr>
        <w:t>kovo</w:t>
      </w:r>
      <w:r w:rsidRPr="00C210A5">
        <w:rPr>
          <w:lang w:eastAsia="en-US"/>
        </w:rPr>
        <w:t xml:space="preserve"> 1</w:t>
      </w:r>
      <w:r w:rsidR="00F61184">
        <w:rPr>
          <w:lang w:eastAsia="en-US"/>
        </w:rPr>
        <w:t>8</w:t>
      </w:r>
      <w:r w:rsidRPr="00C210A5">
        <w:rPr>
          <w:lang w:eastAsia="en-US"/>
        </w:rPr>
        <w:t xml:space="preserve"> d., 10:00 val.</w:t>
      </w:r>
    </w:p>
    <w:p w14:paraId="705D1D25" w14:textId="77777777" w:rsidR="00C210A5" w:rsidRDefault="00C210A5" w:rsidP="001501E8">
      <w:pPr>
        <w:tabs>
          <w:tab w:val="left" w:pos="567"/>
          <w:tab w:val="left" w:pos="2268"/>
        </w:tabs>
        <w:ind w:firstLine="567"/>
        <w:contextualSpacing/>
        <w:jc w:val="both"/>
        <w:rPr>
          <w:sz w:val="22"/>
          <w:szCs w:val="22"/>
          <w:lang w:eastAsia="en-US"/>
        </w:rPr>
      </w:pPr>
    </w:p>
    <w:p w14:paraId="27E2F959" w14:textId="77777777" w:rsidR="00C638F0" w:rsidRPr="000561F6" w:rsidRDefault="008C0633" w:rsidP="00664BD0">
      <w:pPr>
        <w:tabs>
          <w:tab w:val="left" w:pos="567"/>
          <w:tab w:val="left" w:pos="2268"/>
        </w:tabs>
        <w:ind w:firstLine="567"/>
        <w:contextualSpacing/>
        <w:jc w:val="both"/>
        <w:rPr>
          <w:lang w:eastAsia="en-US"/>
        </w:rPr>
      </w:pPr>
      <w:r w:rsidRPr="000561F6">
        <w:rPr>
          <w:lang w:eastAsia="en-US"/>
        </w:rPr>
        <w:t>PRIDEDAMA:</w:t>
      </w:r>
    </w:p>
    <w:p w14:paraId="32B354C5" w14:textId="10B4BA03" w:rsidR="00FB7E44" w:rsidRPr="000561F6" w:rsidRDefault="000561F6" w:rsidP="00664BD0">
      <w:pPr>
        <w:tabs>
          <w:tab w:val="left" w:pos="567"/>
          <w:tab w:val="left" w:pos="2268"/>
        </w:tabs>
        <w:ind w:firstLine="567"/>
        <w:contextualSpacing/>
        <w:jc w:val="both"/>
        <w:rPr>
          <w:lang w:eastAsia="en-US"/>
        </w:rPr>
      </w:pPr>
      <w:r>
        <w:rPr>
          <w:lang w:eastAsia="en-US"/>
        </w:rPr>
        <w:t>1. 4 priedas. Specialiosios sutarties sąlygos 03-10</w:t>
      </w:r>
      <w:r w:rsidR="00664BD0" w:rsidRPr="000561F6">
        <w:rPr>
          <w:lang w:eastAsia="en-US"/>
        </w:rPr>
        <w:t xml:space="preserve"> (aktuali redakcija);</w:t>
      </w:r>
    </w:p>
    <w:p w14:paraId="7BC7E960" w14:textId="09F9701F" w:rsidR="00C638F0" w:rsidRDefault="000561F6" w:rsidP="00664BD0">
      <w:pPr>
        <w:tabs>
          <w:tab w:val="left" w:pos="567"/>
          <w:tab w:val="left" w:pos="2268"/>
        </w:tabs>
        <w:ind w:firstLine="567"/>
        <w:contextualSpacing/>
        <w:jc w:val="both"/>
        <w:rPr>
          <w:sz w:val="22"/>
          <w:szCs w:val="22"/>
          <w:lang w:eastAsia="en-US"/>
        </w:rPr>
      </w:pPr>
      <w:r>
        <w:rPr>
          <w:lang w:eastAsia="en-US"/>
        </w:rPr>
        <w:t xml:space="preserve">2. </w:t>
      </w:r>
      <w:r w:rsidR="00C638F0" w:rsidRPr="000561F6">
        <w:rPr>
          <w:lang w:eastAsia="en-US"/>
        </w:rPr>
        <w:t>Valstybės įmonės Turto banko Stiliaus vadovas</w:t>
      </w:r>
      <w:r w:rsidR="00C638F0">
        <w:rPr>
          <w:sz w:val="22"/>
          <w:szCs w:val="22"/>
          <w:lang w:eastAsia="en-US"/>
        </w:rPr>
        <w:t xml:space="preserve">. </w:t>
      </w:r>
    </w:p>
    <w:p w14:paraId="47048DD9" w14:textId="77777777" w:rsidR="00807A27" w:rsidRDefault="00807A27" w:rsidP="00664BD0">
      <w:pPr>
        <w:tabs>
          <w:tab w:val="left" w:pos="567"/>
          <w:tab w:val="left" w:pos="2268"/>
        </w:tabs>
        <w:ind w:firstLine="567"/>
        <w:contextualSpacing/>
        <w:jc w:val="both"/>
        <w:rPr>
          <w:sz w:val="22"/>
          <w:szCs w:val="22"/>
          <w:lang w:eastAsia="en-US"/>
        </w:rPr>
      </w:pPr>
    </w:p>
    <w:p w14:paraId="2482B1E9" w14:textId="77777777" w:rsidR="00FB7E44" w:rsidRDefault="00FB7E44" w:rsidP="001501E8">
      <w:pPr>
        <w:tabs>
          <w:tab w:val="left" w:pos="567"/>
          <w:tab w:val="left" w:pos="2268"/>
        </w:tabs>
        <w:ind w:firstLine="567"/>
        <w:contextualSpacing/>
        <w:jc w:val="both"/>
        <w:rPr>
          <w:sz w:val="22"/>
          <w:szCs w:val="22"/>
          <w:lang w:eastAsia="en-US"/>
        </w:rPr>
      </w:pPr>
    </w:p>
    <w:p w14:paraId="531E3F2D" w14:textId="77777777" w:rsidR="00664BD0" w:rsidRDefault="00664BD0" w:rsidP="001501E8">
      <w:pPr>
        <w:tabs>
          <w:tab w:val="left" w:pos="567"/>
          <w:tab w:val="left" w:pos="2268"/>
        </w:tabs>
        <w:ind w:firstLine="567"/>
        <w:contextualSpacing/>
        <w:jc w:val="both"/>
        <w:rPr>
          <w:sz w:val="22"/>
          <w:szCs w:val="22"/>
          <w:lang w:eastAsia="en-US"/>
        </w:rPr>
      </w:pPr>
    </w:p>
    <w:p w14:paraId="719A56E4" w14:textId="77777777" w:rsidR="00664BD0" w:rsidRPr="00472E9A" w:rsidRDefault="00664BD0" w:rsidP="001501E8">
      <w:pPr>
        <w:tabs>
          <w:tab w:val="left" w:pos="567"/>
          <w:tab w:val="left" w:pos="2268"/>
        </w:tabs>
        <w:ind w:firstLine="567"/>
        <w:contextualSpacing/>
        <w:jc w:val="both"/>
        <w:rPr>
          <w:sz w:val="22"/>
          <w:szCs w:val="22"/>
          <w:lang w:eastAsia="en-US"/>
        </w:rPr>
      </w:pPr>
    </w:p>
    <w:p w14:paraId="15F4DCD0" w14:textId="77777777" w:rsidR="00AA1EBB" w:rsidRPr="000561F6" w:rsidRDefault="00BB38AB" w:rsidP="00C3270A">
      <w:pPr>
        <w:tabs>
          <w:tab w:val="left" w:pos="1560"/>
        </w:tabs>
        <w:jc w:val="both"/>
      </w:pPr>
      <w:r w:rsidRPr="000561F6">
        <w:t xml:space="preserve">Valstybės įmonės Turto banko </w:t>
      </w:r>
    </w:p>
    <w:p w14:paraId="059B892C" w14:textId="118E2A2E" w:rsidR="00217A70" w:rsidRPr="000561F6" w:rsidRDefault="00BB38AB" w:rsidP="00C3270A">
      <w:pPr>
        <w:tabs>
          <w:tab w:val="left" w:pos="1560"/>
        </w:tabs>
        <w:jc w:val="both"/>
      </w:pPr>
      <w:r w:rsidRPr="000561F6">
        <w:t>Viešųjų pirkimų komisija</w:t>
      </w:r>
    </w:p>
    <w:p w14:paraId="0F830315" w14:textId="77777777" w:rsidR="00F21BDE" w:rsidRPr="00472E9A" w:rsidRDefault="00F21BDE" w:rsidP="00C3270A">
      <w:pPr>
        <w:tabs>
          <w:tab w:val="left" w:pos="1560"/>
        </w:tabs>
        <w:jc w:val="both"/>
        <w:rPr>
          <w:b/>
          <w:sz w:val="22"/>
          <w:szCs w:val="22"/>
        </w:rPr>
      </w:pPr>
    </w:p>
    <w:sectPr w:rsidR="00F21BDE" w:rsidRPr="00472E9A" w:rsidSect="00880FD3">
      <w:type w:val="continuous"/>
      <w:pgSz w:w="11906" w:h="16838"/>
      <w:pgMar w:top="1134" w:right="567" w:bottom="1134" w:left="1418" w:header="567" w:footer="142"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FCE00" w14:textId="77777777" w:rsidR="00177068" w:rsidRDefault="00177068">
      <w:r>
        <w:separator/>
      </w:r>
    </w:p>
  </w:endnote>
  <w:endnote w:type="continuationSeparator" w:id="0">
    <w:p w14:paraId="1FE17891" w14:textId="77777777" w:rsidR="00177068" w:rsidRDefault="00177068">
      <w:r>
        <w:continuationSeparator/>
      </w:r>
    </w:p>
  </w:endnote>
  <w:endnote w:type="continuationNotice" w:id="1">
    <w:p w14:paraId="1DC35B94" w14:textId="77777777" w:rsidR="00177068" w:rsidRDefault="00177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04"/>
      <w:gridCol w:w="3226"/>
      <w:gridCol w:w="3208"/>
    </w:tblGrid>
    <w:tr w:rsidR="00DD2B98" w14:paraId="1C8061E3" w14:textId="77777777">
      <w:tc>
        <w:tcPr>
          <w:tcW w:w="3284" w:type="dxa"/>
          <w:tcBorders>
            <w:top w:val="single" w:sz="4" w:space="0" w:color="671527"/>
            <w:left w:val="nil"/>
            <w:bottom w:val="nil"/>
            <w:right w:val="nil"/>
          </w:tcBorders>
        </w:tcPr>
        <w:p w14:paraId="09FB7F49" w14:textId="77777777" w:rsidR="00DD2B98" w:rsidRDefault="00DD2B98">
          <w:pPr>
            <w:pStyle w:val="Porat"/>
            <w:rPr>
              <w:color w:val="671527"/>
              <w:sz w:val="16"/>
            </w:rPr>
          </w:pPr>
          <w:r>
            <w:rPr>
              <w:color w:val="671527"/>
              <w:sz w:val="8"/>
            </w:rPr>
            <w:br/>
          </w:r>
          <w:r>
            <w:rPr>
              <w:color w:val="671527"/>
              <w:sz w:val="16"/>
            </w:rPr>
            <w:t>Valstybės įmonė</w:t>
          </w:r>
        </w:p>
        <w:p w14:paraId="104ED888" w14:textId="77777777" w:rsidR="00DD2B98" w:rsidRDefault="00DD2B98">
          <w:pPr>
            <w:pStyle w:val="Porat"/>
            <w:rPr>
              <w:color w:val="671527"/>
              <w:sz w:val="16"/>
            </w:rPr>
          </w:pPr>
          <w:r>
            <w:rPr>
              <w:color w:val="671527"/>
              <w:sz w:val="16"/>
            </w:rPr>
            <w:t>Kęstučio g. 45</w:t>
          </w:r>
        </w:p>
        <w:p w14:paraId="3BD5980C" w14:textId="77777777" w:rsidR="00DD2B98" w:rsidRDefault="00DD2B98">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0C36D882" w14:textId="77777777" w:rsidR="00DD2B98" w:rsidRDefault="00DD2B98">
          <w:pPr>
            <w:pStyle w:val="Porat"/>
            <w:rPr>
              <w:color w:val="671527"/>
              <w:sz w:val="16"/>
            </w:rPr>
          </w:pPr>
          <w:r>
            <w:rPr>
              <w:color w:val="671527"/>
              <w:sz w:val="8"/>
            </w:rPr>
            <w:br/>
          </w:r>
          <w:r>
            <w:rPr>
              <w:color w:val="671527"/>
              <w:sz w:val="16"/>
            </w:rPr>
            <w:t>Tel.: (8-5) 278 0900, 278 0909</w:t>
          </w:r>
        </w:p>
        <w:p w14:paraId="2F1CA608" w14:textId="77777777" w:rsidR="00DD2B98" w:rsidRDefault="00DD2B98">
          <w:pPr>
            <w:pStyle w:val="Porat"/>
            <w:rPr>
              <w:color w:val="671527"/>
              <w:sz w:val="16"/>
            </w:rPr>
          </w:pPr>
          <w:proofErr w:type="spellStart"/>
          <w:r>
            <w:rPr>
              <w:color w:val="671527"/>
              <w:sz w:val="16"/>
            </w:rPr>
            <w:t>Faks</w:t>
          </w:r>
          <w:proofErr w:type="spellEnd"/>
          <w:r>
            <w:rPr>
              <w:color w:val="671527"/>
              <w:sz w:val="16"/>
            </w:rPr>
            <w:t xml:space="preserve"> (8 5) 275 1155</w:t>
          </w:r>
        </w:p>
        <w:p w14:paraId="791A3A39" w14:textId="77777777" w:rsidR="00DD2B98" w:rsidRDefault="00DD2B98">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7E389B2F" w14:textId="77777777" w:rsidR="00DD2B98" w:rsidRDefault="00DD2B98">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5CA64B4A" w14:textId="77777777" w:rsidR="00DD2B98" w:rsidRDefault="00DD2B98">
          <w:pPr>
            <w:pStyle w:val="Porat"/>
            <w:rPr>
              <w:color w:val="671527"/>
              <w:sz w:val="16"/>
            </w:rPr>
          </w:pPr>
          <w:r>
            <w:rPr>
              <w:color w:val="671527"/>
              <w:sz w:val="8"/>
            </w:rPr>
            <w:br/>
          </w:r>
          <w:r>
            <w:rPr>
              <w:color w:val="671527"/>
              <w:sz w:val="16"/>
            </w:rPr>
            <w:t>Duomenys kaupiami ir saugomi</w:t>
          </w:r>
        </w:p>
        <w:p w14:paraId="72A34167" w14:textId="77777777" w:rsidR="00DD2B98" w:rsidRDefault="00DD2B98">
          <w:pPr>
            <w:pStyle w:val="Porat"/>
            <w:rPr>
              <w:color w:val="671527"/>
              <w:sz w:val="16"/>
            </w:rPr>
          </w:pPr>
          <w:r>
            <w:rPr>
              <w:color w:val="671527"/>
              <w:sz w:val="16"/>
            </w:rPr>
            <w:t>Juridinių asmenų registre</w:t>
          </w:r>
        </w:p>
        <w:p w14:paraId="7C10FF5B" w14:textId="77777777" w:rsidR="00DD2B98" w:rsidRDefault="00DD2B98">
          <w:pPr>
            <w:pStyle w:val="Porat"/>
            <w:rPr>
              <w:color w:val="671527"/>
              <w:sz w:val="16"/>
            </w:rPr>
          </w:pPr>
          <w:r>
            <w:rPr>
              <w:color w:val="671527"/>
              <w:sz w:val="16"/>
            </w:rPr>
            <w:t>Kodas 112021042</w:t>
          </w:r>
        </w:p>
        <w:p w14:paraId="3321387A" w14:textId="77777777" w:rsidR="00DD2B98" w:rsidRDefault="00DD2B98">
          <w:pPr>
            <w:pStyle w:val="Porat"/>
            <w:rPr>
              <w:color w:val="671527"/>
              <w:sz w:val="16"/>
            </w:rPr>
          </w:pPr>
          <w:r>
            <w:rPr>
              <w:color w:val="671527"/>
              <w:sz w:val="16"/>
            </w:rPr>
            <w:t>PVM mokėtojo kodas LT 120210411</w:t>
          </w:r>
        </w:p>
      </w:tc>
    </w:tr>
  </w:tbl>
  <w:p w14:paraId="0437F279" w14:textId="77777777" w:rsidR="00DD2B98" w:rsidRDefault="00DD2B98">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CD2D7" w14:textId="77777777" w:rsidR="00177068" w:rsidRDefault="00177068">
      <w:r>
        <w:separator/>
      </w:r>
    </w:p>
  </w:footnote>
  <w:footnote w:type="continuationSeparator" w:id="0">
    <w:p w14:paraId="7A82CB61" w14:textId="77777777" w:rsidR="00177068" w:rsidRDefault="00177068">
      <w:r>
        <w:continuationSeparator/>
      </w:r>
    </w:p>
  </w:footnote>
  <w:footnote w:type="continuationNotice" w:id="1">
    <w:p w14:paraId="41411A92" w14:textId="77777777" w:rsidR="00177068" w:rsidRDefault="001770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5D52" w14:textId="77777777" w:rsidR="00A71194" w:rsidRDefault="00A711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F764B"/>
    <w:multiLevelType w:val="hybridMultilevel"/>
    <w:tmpl w:val="EFBA3C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397405B"/>
    <w:multiLevelType w:val="multilevel"/>
    <w:tmpl w:val="50DE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D7414BF"/>
    <w:multiLevelType w:val="hybridMultilevel"/>
    <w:tmpl w:val="50E010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0AF0C9B"/>
    <w:multiLevelType w:val="hybridMultilevel"/>
    <w:tmpl w:val="EE12A914"/>
    <w:lvl w:ilvl="0" w:tplc="51A220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2E01388"/>
    <w:multiLevelType w:val="hybridMultilevel"/>
    <w:tmpl w:val="DBF002A4"/>
    <w:lvl w:ilvl="0" w:tplc="C4683EBA">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D4445FA"/>
    <w:multiLevelType w:val="multilevel"/>
    <w:tmpl w:val="AE269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3B31918"/>
    <w:multiLevelType w:val="hybridMultilevel"/>
    <w:tmpl w:val="FB6850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E924A5"/>
    <w:multiLevelType w:val="hybridMultilevel"/>
    <w:tmpl w:val="4AB8EBB6"/>
    <w:lvl w:ilvl="0" w:tplc="B6905326">
      <w:start w:val="3"/>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8" w15:restartNumberingAfterBreak="0">
    <w:nsid w:val="70D56AA7"/>
    <w:multiLevelType w:val="multilevel"/>
    <w:tmpl w:val="B6D47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1DB2A0A"/>
    <w:multiLevelType w:val="hybridMultilevel"/>
    <w:tmpl w:val="7DB2AD3C"/>
    <w:lvl w:ilvl="0" w:tplc="14928FD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15:restartNumberingAfterBreak="0">
    <w:nsid w:val="788443CC"/>
    <w:multiLevelType w:val="hybridMultilevel"/>
    <w:tmpl w:val="31921F66"/>
    <w:lvl w:ilvl="0" w:tplc="BD506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00573777">
    <w:abstractNumId w:val="3"/>
  </w:num>
  <w:num w:numId="2" w16cid:durableId="1083721925">
    <w:abstractNumId w:val="9"/>
  </w:num>
  <w:num w:numId="3" w16cid:durableId="2138836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1326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054434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9067276">
    <w:abstractNumId w:val="10"/>
  </w:num>
  <w:num w:numId="7" w16cid:durableId="378481615">
    <w:abstractNumId w:val="2"/>
  </w:num>
  <w:num w:numId="8" w16cid:durableId="826555060">
    <w:abstractNumId w:val="7"/>
  </w:num>
  <w:num w:numId="9" w16cid:durableId="1163349990">
    <w:abstractNumId w:val="4"/>
  </w:num>
  <w:num w:numId="10" w16cid:durableId="1952589809">
    <w:abstractNumId w:val="6"/>
  </w:num>
  <w:num w:numId="11" w16cid:durableId="19878600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80"/>
  <w:drawingGridHorizontalSpacing w:val="12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3292"/>
    <w:rsid w:val="000038A8"/>
    <w:rsid w:val="00013A92"/>
    <w:rsid w:val="000176A0"/>
    <w:rsid w:val="00020D43"/>
    <w:rsid w:val="000327DF"/>
    <w:rsid w:val="00034213"/>
    <w:rsid w:val="00035790"/>
    <w:rsid w:val="00036A63"/>
    <w:rsid w:val="00045D14"/>
    <w:rsid w:val="00045DEF"/>
    <w:rsid w:val="00053592"/>
    <w:rsid w:val="000561F6"/>
    <w:rsid w:val="00065155"/>
    <w:rsid w:val="00065F74"/>
    <w:rsid w:val="000674E9"/>
    <w:rsid w:val="000764EF"/>
    <w:rsid w:val="00081F10"/>
    <w:rsid w:val="00086791"/>
    <w:rsid w:val="00086B69"/>
    <w:rsid w:val="00087CE8"/>
    <w:rsid w:val="000920E7"/>
    <w:rsid w:val="000925F0"/>
    <w:rsid w:val="000A03A5"/>
    <w:rsid w:val="000A1FEF"/>
    <w:rsid w:val="000B4EBE"/>
    <w:rsid w:val="000D000A"/>
    <w:rsid w:val="000D4999"/>
    <w:rsid w:val="000D5DB2"/>
    <w:rsid w:val="000D6553"/>
    <w:rsid w:val="000E3B41"/>
    <w:rsid w:val="000E6B4F"/>
    <w:rsid w:val="000E74B4"/>
    <w:rsid w:val="000F0210"/>
    <w:rsid w:val="000F0F8B"/>
    <w:rsid w:val="000F38B0"/>
    <w:rsid w:val="001005E8"/>
    <w:rsid w:val="00102451"/>
    <w:rsid w:val="00110140"/>
    <w:rsid w:val="00113220"/>
    <w:rsid w:val="001148C5"/>
    <w:rsid w:val="00124780"/>
    <w:rsid w:val="00126285"/>
    <w:rsid w:val="00132DE5"/>
    <w:rsid w:val="00142261"/>
    <w:rsid w:val="001501E8"/>
    <w:rsid w:val="0015654C"/>
    <w:rsid w:val="001565F7"/>
    <w:rsid w:val="00164304"/>
    <w:rsid w:val="00166982"/>
    <w:rsid w:val="00170684"/>
    <w:rsid w:val="00171B72"/>
    <w:rsid w:val="00177068"/>
    <w:rsid w:val="00184583"/>
    <w:rsid w:val="001911EB"/>
    <w:rsid w:val="001A0EBE"/>
    <w:rsid w:val="001A1C0D"/>
    <w:rsid w:val="001A2093"/>
    <w:rsid w:val="001A2AE4"/>
    <w:rsid w:val="001A783D"/>
    <w:rsid w:val="001B2C32"/>
    <w:rsid w:val="001B68E8"/>
    <w:rsid w:val="001C0014"/>
    <w:rsid w:val="001C135E"/>
    <w:rsid w:val="001C7889"/>
    <w:rsid w:val="001D53C4"/>
    <w:rsid w:val="001D6CCA"/>
    <w:rsid w:val="001E0335"/>
    <w:rsid w:val="001E037D"/>
    <w:rsid w:val="001E04CF"/>
    <w:rsid w:val="001E3CF1"/>
    <w:rsid w:val="001E79CD"/>
    <w:rsid w:val="001F4806"/>
    <w:rsid w:val="001F4998"/>
    <w:rsid w:val="00203EC9"/>
    <w:rsid w:val="0020528E"/>
    <w:rsid w:val="0020616D"/>
    <w:rsid w:val="00214F12"/>
    <w:rsid w:val="00217A70"/>
    <w:rsid w:val="00241EB0"/>
    <w:rsid w:val="00243D73"/>
    <w:rsid w:val="002461DD"/>
    <w:rsid w:val="002467CC"/>
    <w:rsid w:val="00253DCA"/>
    <w:rsid w:val="00257807"/>
    <w:rsid w:val="00257B92"/>
    <w:rsid w:val="00265040"/>
    <w:rsid w:val="00267192"/>
    <w:rsid w:val="00270D0F"/>
    <w:rsid w:val="00271562"/>
    <w:rsid w:val="00275B90"/>
    <w:rsid w:val="002843A5"/>
    <w:rsid w:val="002952B5"/>
    <w:rsid w:val="002A07EF"/>
    <w:rsid w:val="002A1FB2"/>
    <w:rsid w:val="002A4179"/>
    <w:rsid w:val="002B395C"/>
    <w:rsid w:val="002B3C39"/>
    <w:rsid w:val="002B54DB"/>
    <w:rsid w:val="002B79EB"/>
    <w:rsid w:val="002C0A45"/>
    <w:rsid w:val="002C2B85"/>
    <w:rsid w:val="002C359B"/>
    <w:rsid w:val="002C4E49"/>
    <w:rsid w:val="002C57EE"/>
    <w:rsid w:val="002D4D92"/>
    <w:rsid w:val="002D692B"/>
    <w:rsid w:val="002D7DA0"/>
    <w:rsid w:val="002E24A6"/>
    <w:rsid w:val="002F03BA"/>
    <w:rsid w:val="002F07DB"/>
    <w:rsid w:val="002F1727"/>
    <w:rsid w:val="002F23AD"/>
    <w:rsid w:val="002F2A54"/>
    <w:rsid w:val="003003EF"/>
    <w:rsid w:val="00302722"/>
    <w:rsid w:val="00303AB2"/>
    <w:rsid w:val="00304CA8"/>
    <w:rsid w:val="00304DF2"/>
    <w:rsid w:val="003056D1"/>
    <w:rsid w:val="00306490"/>
    <w:rsid w:val="00313457"/>
    <w:rsid w:val="00323C9F"/>
    <w:rsid w:val="003279BA"/>
    <w:rsid w:val="003317F7"/>
    <w:rsid w:val="00337B43"/>
    <w:rsid w:val="003411FE"/>
    <w:rsid w:val="003437E0"/>
    <w:rsid w:val="00346845"/>
    <w:rsid w:val="00350BCF"/>
    <w:rsid w:val="00360B62"/>
    <w:rsid w:val="00367C6A"/>
    <w:rsid w:val="0037010F"/>
    <w:rsid w:val="00376893"/>
    <w:rsid w:val="003841FF"/>
    <w:rsid w:val="00384BE5"/>
    <w:rsid w:val="00393B72"/>
    <w:rsid w:val="003948AD"/>
    <w:rsid w:val="003956FA"/>
    <w:rsid w:val="003960CF"/>
    <w:rsid w:val="003A0212"/>
    <w:rsid w:val="003A250E"/>
    <w:rsid w:val="003A77CD"/>
    <w:rsid w:val="003B12BB"/>
    <w:rsid w:val="003B4261"/>
    <w:rsid w:val="003B5FF4"/>
    <w:rsid w:val="003B6F44"/>
    <w:rsid w:val="003C24CC"/>
    <w:rsid w:val="003C4B40"/>
    <w:rsid w:val="003D0544"/>
    <w:rsid w:val="003D28AF"/>
    <w:rsid w:val="003D2C66"/>
    <w:rsid w:val="003D7DB3"/>
    <w:rsid w:val="003E350D"/>
    <w:rsid w:val="003E5C4A"/>
    <w:rsid w:val="003F0B1E"/>
    <w:rsid w:val="003F2269"/>
    <w:rsid w:val="003F4C04"/>
    <w:rsid w:val="003F614A"/>
    <w:rsid w:val="003F6A08"/>
    <w:rsid w:val="003F7F0E"/>
    <w:rsid w:val="00400735"/>
    <w:rsid w:val="004025CD"/>
    <w:rsid w:val="00404B0C"/>
    <w:rsid w:val="00406E3F"/>
    <w:rsid w:val="00413B64"/>
    <w:rsid w:val="004148A7"/>
    <w:rsid w:val="00417FBC"/>
    <w:rsid w:val="0042526E"/>
    <w:rsid w:val="004272DC"/>
    <w:rsid w:val="00432F32"/>
    <w:rsid w:val="0044166E"/>
    <w:rsid w:val="004438B4"/>
    <w:rsid w:val="00446F7C"/>
    <w:rsid w:val="00452B61"/>
    <w:rsid w:val="00465D03"/>
    <w:rsid w:val="00472982"/>
    <w:rsid w:val="00472E9A"/>
    <w:rsid w:val="00474970"/>
    <w:rsid w:val="00474F5D"/>
    <w:rsid w:val="004811E1"/>
    <w:rsid w:val="00491089"/>
    <w:rsid w:val="00493BA2"/>
    <w:rsid w:val="0049551A"/>
    <w:rsid w:val="004A28E5"/>
    <w:rsid w:val="004C0468"/>
    <w:rsid w:val="004C114D"/>
    <w:rsid w:val="004C46D7"/>
    <w:rsid w:val="004D652A"/>
    <w:rsid w:val="004E26C6"/>
    <w:rsid w:val="004E4C61"/>
    <w:rsid w:val="004E7A72"/>
    <w:rsid w:val="004F2B85"/>
    <w:rsid w:val="004F4B3D"/>
    <w:rsid w:val="004F657E"/>
    <w:rsid w:val="00501EA1"/>
    <w:rsid w:val="00504A2C"/>
    <w:rsid w:val="00507E82"/>
    <w:rsid w:val="00507E95"/>
    <w:rsid w:val="00510C59"/>
    <w:rsid w:val="0052071F"/>
    <w:rsid w:val="00523E2B"/>
    <w:rsid w:val="005248C3"/>
    <w:rsid w:val="00526384"/>
    <w:rsid w:val="005311C6"/>
    <w:rsid w:val="005325D6"/>
    <w:rsid w:val="005333E3"/>
    <w:rsid w:val="0054395A"/>
    <w:rsid w:val="0054522E"/>
    <w:rsid w:val="00545C87"/>
    <w:rsid w:val="00560380"/>
    <w:rsid w:val="00560FC0"/>
    <w:rsid w:val="00561A7E"/>
    <w:rsid w:val="00564CE8"/>
    <w:rsid w:val="00566BA5"/>
    <w:rsid w:val="00566EBB"/>
    <w:rsid w:val="00572FAF"/>
    <w:rsid w:val="00574CE6"/>
    <w:rsid w:val="00577565"/>
    <w:rsid w:val="005840DF"/>
    <w:rsid w:val="005850B4"/>
    <w:rsid w:val="005928BC"/>
    <w:rsid w:val="005933AC"/>
    <w:rsid w:val="005A2850"/>
    <w:rsid w:val="005A57D1"/>
    <w:rsid w:val="005B0002"/>
    <w:rsid w:val="005B0C3A"/>
    <w:rsid w:val="005B1BA2"/>
    <w:rsid w:val="005B2B6E"/>
    <w:rsid w:val="005B4ED9"/>
    <w:rsid w:val="005C53C2"/>
    <w:rsid w:val="005C6165"/>
    <w:rsid w:val="005D3A0F"/>
    <w:rsid w:val="005D5557"/>
    <w:rsid w:val="005E0549"/>
    <w:rsid w:val="005E1FD1"/>
    <w:rsid w:val="005F55F6"/>
    <w:rsid w:val="005F6168"/>
    <w:rsid w:val="00603809"/>
    <w:rsid w:val="00603A46"/>
    <w:rsid w:val="00607973"/>
    <w:rsid w:val="00614257"/>
    <w:rsid w:val="00617761"/>
    <w:rsid w:val="006204DF"/>
    <w:rsid w:val="00621CE9"/>
    <w:rsid w:val="00630F29"/>
    <w:rsid w:val="006327E6"/>
    <w:rsid w:val="006336AA"/>
    <w:rsid w:val="00635214"/>
    <w:rsid w:val="0063541A"/>
    <w:rsid w:val="00637225"/>
    <w:rsid w:val="00644952"/>
    <w:rsid w:val="00644C0D"/>
    <w:rsid w:val="00650EDA"/>
    <w:rsid w:val="00663B13"/>
    <w:rsid w:val="00664BD0"/>
    <w:rsid w:val="00676407"/>
    <w:rsid w:val="006809C4"/>
    <w:rsid w:val="00680F35"/>
    <w:rsid w:val="00682536"/>
    <w:rsid w:val="00682BF9"/>
    <w:rsid w:val="00684558"/>
    <w:rsid w:val="006860EE"/>
    <w:rsid w:val="0068666D"/>
    <w:rsid w:val="0069274F"/>
    <w:rsid w:val="00694B1B"/>
    <w:rsid w:val="0069799C"/>
    <w:rsid w:val="006A6D36"/>
    <w:rsid w:val="006A749B"/>
    <w:rsid w:val="006B3653"/>
    <w:rsid w:val="006C01B3"/>
    <w:rsid w:val="006C0FBB"/>
    <w:rsid w:val="006C4174"/>
    <w:rsid w:val="006D117D"/>
    <w:rsid w:val="006D35EA"/>
    <w:rsid w:val="006D55E6"/>
    <w:rsid w:val="006D7540"/>
    <w:rsid w:val="006D7FE3"/>
    <w:rsid w:val="006E1A22"/>
    <w:rsid w:val="006F08A2"/>
    <w:rsid w:val="006F2D9F"/>
    <w:rsid w:val="006F4DA1"/>
    <w:rsid w:val="006F755B"/>
    <w:rsid w:val="00700067"/>
    <w:rsid w:val="00706F32"/>
    <w:rsid w:val="0071336B"/>
    <w:rsid w:val="007147A3"/>
    <w:rsid w:val="00715001"/>
    <w:rsid w:val="0071520F"/>
    <w:rsid w:val="007209EF"/>
    <w:rsid w:val="00721DAE"/>
    <w:rsid w:val="0072674A"/>
    <w:rsid w:val="00731CF5"/>
    <w:rsid w:val="007359CC"/>
    <w:rsid w:val="00736CB2"/>
    <w:rsid w:val="0074628D"/>
    <w:rsid w:val="00747E68"/>
    <w:rsid w:val="007505AC"/>
    <w:rsid w:val="00753B05"/>
    <w:rsid w:val="00762977"/>
    <w:rsid w:val="00774EDB"/>
    <w:rsid w:val="0077647C"/>
    <w:rsid w:val="00776701"/>
    <w:rsid w:val="00776D33"/>
    <w:rsid w:val="00784802"/>
    <w:rsid w:val="00784A4D"/>
    <w:rsid w:val="0079088A"/>
    <w:rsid w:val="00795AC7"/>
    <w:rsid w:val="00796121"/>
    <w:rsid w:val="007A35A3"/>
    <w:rsid w:val="007B0151"/>
    <w:rsid w:val="007C1E69"/>
    <w:rsid w:val="007C32A8"/>
    <w:rsid w:val="007C4091"/>
    <w:rsid w:val="007C7152"/>
    <w:rsid w:val="007D2F8A"/>
    <w:rsid w:val="007D442A"/>
    <w:rsid w:val="007E0E67"/>
    <w:rsid w:val="007E3FFB"/>
    <w:rsid w:val="007E7C68"/>
    <w:rsid w:val="007E7EBC"/>
    <w:rsid w:val="007F2F99"/>
    <w:rsid w:val="008014DA"/>
    <w:rsid w:val="008062FE"/>
    <w:rsid w:val="008067D2"/>
    <w:rsid w:val="0080799E"/>
    <w:rsid w:val="00807A27"/>
    <w:rsid w:val="00822842"/>
    <w:rsid w:val="008235AE"/>
    <w:rsid w:val="0082477D"/>
    <w:rsid w:val="00825B18"/>
    <w:rsid w:val="00827702"/>
    <w:rsid w:val="00834D83"/>
    <w:rsid w:val="00835445"/>
    <w:rsid w:val="00837123"/>
    <w:rsid w:val="00837424"/>
    <w:rsid w:val="008426C9"/>
    <w:rsid w:val="008452F8"/>
    <w:rsid w:val="008528AF"/>
    <w:rsid w:val="00852981"/>
    <w:rsid w:val="00860C0A"/>
    <w:rsid w:val="0086276B"/>
    <w:rsid w:val="00864FB5"/>
    <w:rsid w:val="008653AE"/>
    <w:rsid w:val="00870879"/>
    <w:rsid w:val="008736C5"/>
    <w:rsid w:val="00880FD3"/>
    <w:rsid w:val="00881F32"/>
    <w:rsid w:val="00882C58"/>
    <w:rsid w:val="00885D39"/>
    <w:rsid w:val="008A2B02"/>
    <w:rsid w:val="008A7694"/>
    <w:rsid w:val="008B09EC"/>
    <w:rsid w:val="008B1C26"/>
    <w:rsid w:val="008B3644"/>
    <w:rsid w:val="008B3D94"/>
    <w:rsid w:val="008B7D08"/>
    <w:rsid w:val="008C0633"/>
    <w:rsid w:val="008C1332"/>
    <w:rsid w:val="008C4B8D"/>
    <w:rsid w:val="008D3738"/>
    <w:rsid w:val="008D3E5C"/>
    <w:rsid w:val="008E1535"/>
    <w:rsid w:val="008F2908"/>
    <w:rsid w:val="00901337"/>
    <w:rsid w:val="00902DB0"/>
    <w:rsid w:val="009054AD"/>
    <w:rsid w:val="009077E5"/>
    <w:rsid w:val="009217FE"/>
    <w:rsid w:val="00922B09"/>
    <w:rsid w:val="00922CEE"/>
    <w:rsid w:val="00923022"/>
    <w:rsid w:val="0092719F"/>
    <w:rsid w:val="00930844"/>
    <w:rsid w:val="00946D0D"/>
    <w:rsid w:val="00947CD0"/>
    <w:rsid w:val="00953BAB"/>
    <w:rsid w:val="009601E6"/>
    <w:rsid w:val="00961067"/>
    <w:rsid w:val="00965EEA"/>
    <w:rsid w:val="00966601"/>
    <w:rsid w:val="009666DE"/>
    <w:rsid w:val="009834B0"/>
    <w:rsid w:val="00984EEC"/>
    <w:rsid w:val="00985795"/>
    <w:rsid w:val="00990B4D"/>
    <w:rsid w:val="00992346"/>
    <w:rsid w:val="009936B1"/>
    <w:rsid w:val="009937ED"/>
    <w:rsid w:val="009A7A99"/>
    <w:rsid w:val="009B3F0B"/>
    <w:rsid w:val="009B4AC6"/>
    <w:rsid w:val="009D237E"/>
    <w:rsid w:val="009D2B65"/>
    <w:rsid w:val="009D458A"/>
    <w:rsid w:val="009D63E4"/>
    <w:rsid w:val="009D6E12"/>
    <w:rsid w:val="009E1436"/>
    <w:rsid w:val="009E25D7"/>
    <w:rsid w:val="009E3D7C"/>
    <w:rsid w:val="009F3E4C"/>
    <w:rsid w:val="009F503A"/>
    <w:rsid w:val="00A016BF"/>
    <w:rsid w:val="00A07AB2"/>
    <w:rsid w:val="00A1330D"/>
    <w:rsid w:val="00A13A28"/>
    <w:rsid w:val="00A2531C"/>
    <w:rsid w:val="00A266C6"/>
    <w:rsid w:val="00A32D96"/>
    <w:rsid w:val="00A33473"/>
    <w:rsid w:val="00A33D81"/>
    <w:rsid w:val="00A35A21"/>
    <w:rsid w:val="00A37175"/>
    <w:rsid w:val="00A4151B"/>
    <w:rsid w:val="00A4254F"/>
    <w:rsid w:val="00A42FA5"/>
    <w:rsid w:val="00A430C2"/>
    <w:rsid w:val="00A50B26"/>
    <w:rsid w:val="00A51801"/>
    <w:rsid w:val="00A51D9A"/>
    <w:rsid w:val="00A52409"/>
    <w:rsid w:val="00A531E9"/>
    <w:rsid w:val="00A60A4E"/>
    <w:rsid w:val="00A63D1F"/>
    <w:rsid w:val="00A6593F"/>
    <w:rsid w:val="00A67C1F"/>
    <w:rsid w:val="00A70F53"/>
    <w:rsid w:val="00A71194"/>
    <w:rsid w:val="00A74944"/>
    <w:rsid w:val="00A76642"/>
    <w:rsid w:val="00A81535"/>
    <w:rsid w:val="00A83F35"/>
    <w:rsid w:val="00A84069"/>
    <w:rsid w:val="00A85726"/>
    <w:rsid w:val="00A87265"/>
    <w:rsid w:val="00A87EC7"/>
    <w:rsid w:val="00A909F7"/>
    <w:rsid w:val="00A96388"/>
    <w:rsid w:val="00AA1DD2"/>
    <w:rsid w:val="00AA1EBB"/>
    <w:rsid w:val="00AA4234"/>
    <w:rsid w:val="00AA4290"/>
    <w:rsid w:val="00AC22C0"/>
    <w:rsid w:val="00AC3368"/>
    <w:rsid w:val="00AC6012"/>
    <w:rsid w:val="00AD146C"/>
    <w:rsid w:val="00AE6EAF"/>
    <w:rsid w:val="00AF1B1A"/>
    <w:rsid w:val="00B0237B"/>
    <w:rsid w:val="00B052C1"/>
    <w:rsid w:val="00B17543"/>
    <w:rsid w:val="00B27512"/>
    <w:rsid w:val="00B31254"/>
    <w:rsid w:val="00B32B8C"/>
    <w:rsid w:val="00B428B4"/>
    <w:rsid w:val="00B447F4"/>
    <w:rsid w:val="00B530AC"/>
    <w:rsid w:val="00B542D9"/>
    <w:rsid w:val="00B561B4"/>
    <w:rsid w:val="00B57BB6"/>
    <w:rsid w:val="00B829DA"/>
    <w:rsid w:val="00B920A3"/>
    <w:rsid w:val="00B937DE"/>
    <w:rsid w:val="00BA5719"/>
    <w:rsid w:val="00BA60BF"/>
    <w:rsid w:val="00BB06E0"/>
    <w:rsid w:val="00BB23F6"/>
    <w:rsid w:val="00BB38AB"/>
    <w:rsid w:val="00BB46A4"/>
    <w:rsid w:val="00BB6578"/>
    <w:rsid w:val="00BC15E0"/>
    <w:rsid w:val="00BD5B25"/>
    <w:rsid w:val="00BD73E3"/>
    <w:rsid w:val="00BE1530"/>
    <w:rsid w:val="00BE17A0"/>
    <w:rsid w:val="00BE2EBA"/>
    <w:rsid w:val="00BE5FC3"/>
    <w:rsid w:val="00C059B3"/>
    <w:rsid w:val="00C123AE"/>
    <w:rsid w:val="00C13B6D"/>
    <w:rsid w:val="00C13EFF"/>
    <w:rsid w:val="00C17ED1"/>
    <w:rsid w:val="00C210A5"/>
    <w:rsid w:val="00C26F47"/>
    <w:rsid w:val="00C3270A"/>
    <w:rsid w:val="00C430DD"/>
    <w:rsid w:val="00C51277"/>
    <w:rsid w:val="00C51A79"/>
    <w:rsid w:val="00C52CA2"/>
    <w:rsid w:val="00C53F80"/>
    <w:rsid w:val="00C638F0"/>
    <w:rsid w:val="00C74AFA"/>
    <w:rsid w:val="00C762B8"/>
    <w:rsid w:val="00C779C0"/>
    <w:rsid w:val="00C84741"/>
    <w:rsid w:val="00C848EC"/>
    <w:rsid w:val="00C922D6"/>
    <w:rsid w:val="00C95D81"/>
    <w:rsid w:val="00CA5810"/>
    <w:rsid w:val="00CB1882"/>
    <w:rsid w:val="00CB3CC0"/>
    <w:rsid w:val="00CC0316"/>
    <w:rsid w:val="00CC09E9"/>
    <w:rsid w:val="00CC2C90"/>
    <w:rsid w:val="00CD1DE6"/>
    <w:rsid w:val="00CD3C66"/>
    <w:rsid w:val="00CD6325"/>
    <w:rsid w:val="00CE2A7B"/>
    <w:rsid w:val="00CE38E3"/>
    <w:rsid w:val="00CF1DC0"/>
    <w:rsid w:val="00D01747"/>
    <w:rsid w:val="00D10C7A"/>
    <w:rsid w:val="00D1143E"/>
    <w:rsid w:val="00D174E9"/>
    <w:rsid w:val="00D201DA"/>
    <w:rsid w:val="00D2278F"/>
    <w:rsid w:val="00D23A3B"/>
    <w:rsid w:val="00D24ED4"/>
    <w:rsid w:val="00D428C1"/>
    <w:rsid w:val="00D43D92"/>
    <w:rsid w:val="00D45156"/>
    <w:rsid w:val="00D52320"/>
    <w:rsid w:val="00D56C8D"/>
    <w:rsid w:val="00D61B06"/>
    <w:rsid w:val="00D627AF"/>
    <w:rsid w:val="00D66583"/>
    <w:rsid w:val="00D71059"/>
    <w:rsid w:val="00D73CFC"/>
    <w:rsid w:val="00D81D49"/>
    <w:rsid w:val="00D839D1"/>
    <w:rsid w:val="00D84AD1"/>
    <w:rsid w:val="00D85F29"/>
    <w:rsid w:val="00D92463"/>
    <w:rsid w:val="00D93C6F"/>
    <w:rsid w:val="00DA4D58"/>
    <w:rsid w:val="00DB3944"/>
    <w:rsid w:val="00DD1DDE"/>
    <w:rsid w:val="00DD2B98"/>
    <w:rsid w:val="00DD4BFD"/>
    <w:rsid w:val="00DF4C7D"/>
    <w:rsid w:val="00DF6C4F"/>
    <w:rsid w:val="00DF7C10"/>
    <w:rsid w:val="00E0370A"/>
    <w:rsid w:val="00E13EED"/>
    <w:rsid w:val="00E151BC"/>
    <w:rsid w:val="00E16FFA"/>
    <w:rsid w:val="00E17A46"/>
    <w:rsid w:val="00E17FBF"/>
    <w:rsid w:val="00E234AA"/>
    <w:rsid w:val="00E3380C"/>
    <w:rsid w:val="00E359B7"/>
    <w:rsid w:val="00E37858"/>
    <w:rsid w:val="00E50920"/>
    <w:rsid w:val="00E528F6"/>
    <w:rsid w:val="00E535C0"/>
    <w:rsid w:val="00E5503B"/>
    <w:rsid w:val="00E644A3"/>
    <w:rsid w:val="00E645A2"/>
    <w:rsid w:val="00E653E7"/>
    <w:rsid w:val="00E70F25"/>
    <w:rsid w:val="00E73B44"/>
    <w:rsid w:val="00E844AE"/>
    <w:rsid w:val="00E91A07"/>
    <w:rsid w:val="00E97788"/>
    <w:rsid w:val="00EA2C6A"/>
    <w:rsid w:val="00EA3812"/>
    <w:rsid w:val="00EA5782"/>
    <w:rsid w:val="00EC02D4"/>
    <w:rsid w:val="00EC033B"/>
    <w:rsid w:val="00EC0E81"/>
    <w:rsid w:val="00EC4B10"/>
    <w:rsid w:val="00EC78E0"/>
    <w:rsid w:val="00ED1E05"/>
    <w:rsid w:val="00ED2855"/>
    <w:rsid w:val="00ED2E91"/>
    <w:rsid w:val="00ED7AE9"/>
    <w:rsid w:val="00ED7BDF"/>
    <w:rsid w:val="00EE108D"/>
    <w:rsid w:val="00EE43CF"/>
    <w:rsid w:val="00EE73EF"/>
    <w:rsid w:val="00EF0497"/>
    <w:rsid w:val="00EF1DA8"/>
    <w:rsid w:val="00EF23DD"/>
    <w:rsid w:val="00EF3943"/>
    <w:rsid w:val="00EF6606"/>
    <w:rsid w:val="00F0353A"/>
    <w:rsid w:val="00F05A39"/>
    <w:rsid w:val="00F16A82"/>
    <w:rsid w:val="00F1768D"/>
    <w:rsid w:val="00F21BDE"/>
    <w:rsid w:val="00F226D5"/>
    <w:rsid w:val="00F336BC"/>
    <w:rsid w:val="00F37DA6"/>
    <w:rsid w:val="00F40584"/>
    <w:rsid w:val="00F4347A"/>
    <w:rsid w:val="00F43CFD"/>
    <w:rsid w:val="00F47B7A"/>
    <w:rsid w:val="00F50CAC"/>
    <w:rsid w:val="00F544AD"/>
    <w:rsid w:val="00F60F68"/>
    <w:rsid w:val="00F61184"/>
    <w:rsid w:val="00F62662"/>
    <w:rsid w:val="00F62747"/>
    <w:rsid w:val="00F716F2"/>
    <w:rsid w:val="00F75296"/>
    <w:rsid w:val="00F75E43"/>
    <w:rsid w:val="00F760C0"/>
    <w:rsid w:val="00F76BF2"/>
    <w:rsid w:val="00F77687"/>
    <w:rsid w:val="00F800F2"/>
    <w:rsid w:val="00F80287"/>
    <w:rsid w:val="00F82C6F"/>
    <w:rsid w:val="00F84A51"/>
    <w:rsid w:val="00F90B6D"/>
    <w:rsid w:val="00F94AB2"/>
    <w:rsid w:val="00F96A10"/>
    <w:rsid w:val="00FA7467"/>
    <w:rsid w:val="00FB32CF"/>
    <w:rsid w:val="00FB7E44"/>
    <w:rsid w:val="00FC307B"/>
    <w:rsid w:val="00FC327E"/>
    <w:rsid w:val="00FC5BFC"/>
    <w:rsid w:val="00FD0153"/>
    <w:rsid w:val="00FD15DE"/>
    <w:rsid w:val="00FD417C"/>
    <w:rsid w:val="00FD58D4"/>
    <w:rsid w:val="00FD6937"/>
    <w:rsid w:val="00FE1906"/>
    <w:rsid w:val="00FE3F18"/>
    <w:rsid w:val="00FE47E0"/>
    <w:rsid w:val="00FF6076"/>
    <w:rsid w:val="0398E156"/>
    <w:rsid w:val="0DB7F789"/>
    <w:rsid w:val="0E042B2D"/>
    <w:rsid w:val="0EBC8C61"/>
    <w:rsid w:val="12D79C50"/>
    <w:rsid w:val="228B9500"/>
    <w:rsid w:val="2A379C34"/>
    <w:rsid w:val="2D6F3CF6"/>
    <w:rsid w:val="37F15BA7"/>
    <w:rsid w:val="43FC8FCA"/>
    <w:rsid w:val="4A62790C"/>
    <w:rsid w:val="56891E8B"/>
    <w:rsid w:val="690140AF"/>
    <w:rsid w:val="6A14EBDF"/>
    <w:rsid w:val="6D037BCF"/>
    <w:rsid w:val="70C938CA"/>
    <w:rsid w:val="70F34A4A"/>
    <w:rsid w:val="769640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859B6"/>
  <w15:chartTrackingRefBased/>
  <w15:docId w15:val="{FD8AD830-D537-4E33-B61C-925F560D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Debesliotekstas">
    <w:name w:val="Balloon Text"/>
    <w:basedOn w:val="prastasis"/>
    <w:link w:val="DebesliotekstasDiagrama"/>
    <w:uiPriority w:val="99"/>
    <w:semiHidden/>
    <w:unhideWhenUsed/>
    <w:rsid w:val="00CC0316"/>
    <w:rPr>
      <w:rFonts w:ascii="Tahoma" w:hAnsi="Tahoma" w:cs="Tahoma"/>
      <w:sz w:val="16"/>
      <w:szCs w:val="16"/>
    </w:rPr>
  </w:style>
  <w:style w:type="character" w:customStyle="1" w:styleId="DebesliotekstasDiagrama">
    <w:name w:val="Debesėlio tekstas Diagrama"/>
    <w:link w:val="Debesliotekstas"/>
    <w:uiPriority w:val="99"/>
    <w:semiHidden/>
    <w:rsid w:val="00CC0316"/>
    <w:rPr>
      <w:rFonts w:ascii="Tahoma" w:hAnsi="Tahoma" w:cs="Tahoma"/>
      <w:sz w:val="16"/>
      <w:szCs w:val="16"/>
    </w:rPr>
  </w:style>
  <w:style w:type="character" w:styleId="Komentaronuoroda">
    <w:name w:val="annotation reference"/>
    <w:uiPriority w:val="99"/>
    <w:semiHidden/>
    <w:unhideWhenUsed/>
    <w:rsid w:val="003317F7"/>
    <w:rPr>
      <w:sz w:val="16"/>
      <w:szCs w:val="16"/>
    </w:rPr>
  </w:style>
  <w:style w:type="paragraph" w:styleId="Komentarotekstas">
    <w:name w:val="annotation text"/>
    <w:basedOn w:val="prastasis"/>
    <w:link w:val="KomentarotekstasDiagrama"/>
    <w:uiPriority w:val="99"/>
    <w:semiHidden/>
    <w:unhideWhenUsed/>
    <w:rsid w:val="003317F7"/>
    <w:rPr>
      <w:sz w:val="20"/>
      <w:szCs w:val="20"/>
    </w:rPr>
  </w:style>
  <w:style w:type="character" w:customStyle="1" w:styleId="KomentarotekstasDiagrama">
    <w:name w:val="Komentaro tekstas Diagrama"/>
    <w:basedOn w:val="Numatytasispastraiposriftas"/>
    <w:link w:val="Komentarotekstas"/>
    <w:uiPriority w:val="99"/>
    <w:semiHidden/>
    <w:rsid w:val="003317F7"/>
  </w:style>
  <w:style w:type="paragraph" w:styleId="Komentarotema">
    <w:name w:val="annotation subject"/>
    <w:basedOn w:val="Komentarotekstas"/>
    <w:next w:val="Komentarotekstas"/>
    <w:link w:val="KomentarotemaDiagrama"/>
    <w:uiPriority w:val="99"/>
    <w:semiHidden/>
    <w:unhideWhenUsed/>
    <w:rsid w:val="003317F7"/>
    <w:rPr>
      <w:b/>
      <w:bCs/>
    </w:rPr>
  </w:style>
  <w:style w:type="character" w:customStyle="1" w:styleId="KomentarotemaDiagrama">
    <w:name w:val="Komentaro tema Diagrama"/>
    <w:link w:val="Komentarotema"/>
    <w:uiPriority w:val="99"/>
    <w:semiHidden/>
    <w:rsid w:val="003317F7"/>
    <w:rPr>
      <w:b/>
      <w:bCs/>
    </w:rPr>
  </w:style>
  <w:style w:type="paragraph" w:styleId="Sraopastraipa">
    <w:name w:val="List Paragraph"/>
    <w:aliases w:val="Bullet EY,List Paragraph Red,Numbering,ERP-List Paragraph,List Paragraph11,List Paragraph2,Buletai,List Paragraph21,lp1,Use Case List Paragraph,List Paragraph111,Lentele,Heading 10,Bullet 1,Paragraph,VARNELES,List not in Table,Bullet"/>
    <w:basedOn w:val="prastasis"/>
    <w:link w:val="SraopastraipaDiagrama"/>
    <w:uiPriority w:val="34"/>
    <w:qFormat/>
    <w:rsid w:val="00D52320"/>
    <w:pPr>
      <w:ind w:left="720"/>
    </w:pPr>
    <w:rPr>
      <w:rFonts w:ascii="Calibri" w:eastAsia="Calibri" w:hAnsi="Calibri" w:cs="Calibri"/>
      <w:sz w:val="22"/>
      <w:szCs w:val="22"/>
      <w:lang w:eastAsia="en-US"/>
    </w:rPr>
  </w:style>
  <w:style w:type="paragraph" w:styleId="Puslapioinaostekstas">
    <w:name w:val="footnote text"/>
    <w:basedOn w:val="prastasis"/>
    <w:link w:val="PuslapioinaostekstasDiagrama"/>
    <w:uiPriority w:val="99"/>
    <w:unhideWhenUsed/>
    <w:rsid w:val="005D3A0F"/>
    <w:rPr>
      <w:sz w:val="20"/>
      <w:szCs w:val="20"/>
      <w:lang w:eastAsia="en-US"/>
    </w:rPr>
  </w:style>
  <w:style w:type="character" w:customStyle="1" w:styleId="PuslapioinaostekstasDiagrama">
    <w:name w:val="Puslapio išnašos tekstas Diagrama"/>
    <w:link w:val="Puslapioinaostekstas"/>
    <w:uiPriority w:val="99"/>
    <w:rsid w:val="005D3A0F"/>
    <w:rPr>
      <w:lang w:eastAsia="en-US"/>
    </w:rPr>
  </w:style>
  <w:style w:type="character" w:styleId="Puslapioinaosnuoroda">
    <w:name w:val="footnote reference"/>
    <w:uiPriority w:val="99"/>
    <w:rsid w:val="005D3A0F"/>
    <w:rPr>
      <w:vertAlign w:val="superscript"/>
    </w:rPr>
  </w:style>
  <w:style w:type="paragraph" w:customStyle="1" w:styleId="Standard">
    <w:name w:val="Standard"/>
    <w:rsid w:val="00BB38AB"/>
    <w:pPr>
      <w:suppressAutoHyphens/>
      <w:autoSpaceDN w:val="0"/>
      <w:textAlignment w:val="baseline"/>
    </w:pPr>
    <w:rPr>
      <w:sz w:val="24"/>
      <w:szCs w:val="24"/>
      <w:lang w:eastAsia="en-US"/>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link w:val="Sraopastraipa"/>
    <w:qFormat/>
    <w:locked/>
    <w:rsid w:val="00BB38AB"/>
    <w:rPr>
      <w:rFonts w:ascii="Calibri" w:eastAsia="Calibri" w:hAnsi="Calibri" w:cs="Calibri"/>
      <w:sz w:val="22"/>
      <w:szCs w:val="22"/>
      <w:lang w:eastAsia="en-US"/>
    </w:rPr>
  </w:style>
  <w:style w:type="table" w:styleId="Lentelstinklelis">
    <w:name w:val="Table Grid"/>
    <w:basedOn w:val="prastojilentel"/>
    <w:uiPriority w:val="39"/>
    <w:rsid w:val="00BB06E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next w:val="Lentelstinklelis"/>
    <w:uiPriority w:val="39"/>
    <w:rsid w:val="00B57BB6"/>
    <w:pPr>
      <w:widowControl w:val="0"/>
      <w:autoSpaceDE w:val="0"/>
      <w:autoSpaceDN w:val="0"/>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B2C32"/>
    <w:rPr>
      <w:color w:val="605E5C"/>
      <w:shd w:val="clear" w:color="auto" w:fill="E1DFDD"/>
    </w:rPr>
  </w:style>
  <w:style w:type="paragraph" w:styleId="Pataisymai">
    <w:name w:val="Revision"/>
    <w:hidden/>
    <w:uiPriority w:val="99"/>
    <w:semiHidden/>
    <w:rsid w:val="00EA3812"/>
    <w:rPr>
      <w:sz w:val="24"/>
      <w:szCs w:val="24"/>
    </w:rPr>
  </w:style>
  <w:style w:type="character" w:styleId="Emfaz">
    <w:name w:val="Emphasis"/>
    <w:basedOn w:val="Numatytasispastraiposriftas"/>
    <w:uiPriority w:val="20"/>
    <w:qFormat/>
    <w:rsid w:val="00124780"/>
    <w:rPr>
      <w:i/>
      <w:iCs/>
    </w:rPr>
  </w:style>
  <w:style w:type="character" w:styleId="Grietas">
    <w:name w:val="Strong"/>
    <w:basedOn w:val="Numatytasispastraiposriftas"/>
    <w:uiPriority w:val="22"/>
    <w:qFormat/>
    <w:rsid w:val="001247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68767">
      <w:bodyDiv w:val="1"/>
      <w:marLeft w:val="0"/>
      <w:marRight w:val="0"/>
      <w:marTop w:val="0"/>
      <w:marBottom w:val="0"/>
      <w:divBdr>
        <w:top w:val="none" w:sz="0" w:space="0" w:color="auto"/>
        <w:left w:val="none" w:sz="0" w:space="0" w:color="auto"/>
        <w:bottom w:val="none" w:sz="0" w:space="0" w:color="auto"/>
        <w:right w:val="none" w:sz="0" w:space="0" w:color="auto"/>
      </w:divBdr>
    </w:div>
    <w:div w:id="929578338">
      <w:bodyDiv w:val="1"/>
      <w:marLeft w:val="0"/>
      <w:marRight w:val="0"/>
      <w:marTop w:val="0"/>
      <w:marBottom w:val="0"/>
      <w:divBdr>
        <w:top w:val="none" w:sz="0" w:space="0" w:color="auto"/>
        <w:left w:val="none" w:sz="0" w:space="0" w:color="auto"/>
        <w:bottom w:val="none" w:sz="0" w:space="0" w:color="auto"/>
        <w:right w:val="none" w:sz="0" w:space="0" w:color="auto"/>
      </w:divBdr>
    </w:div>
    <w:div w:id="983117514">
      <w:bodyDiv w:val="1"/>
      <w:marLeft w:val="0"/>
      <w:marRight w:val="0"/>
      <w:marTop w:val="0"/>
      <w:marBottom w:val="0"/>
      <w:divBdr>
        <w:top w:val="none" w:sz="0" w:space="0" w:color="auto"/>
        <w:left w:val="none" w:sz="0" w:space="0" w:color="auto"/>
        <w:bottom w:val="none" w:sz="0" w:space="0" w:color="auto"/>
        <w:right w:val="none" w:sz="0" w:space="0" w:color="auto"/>
      </w:divBdr>
    </w:div>
    <w:div w:id="1058674399">
      <w:bodyDiv w:val="1"/>
      <w:marLeft w:val="0"/>
      <w:marRight w:val="0"/>
      <w:marTop w:val="0"/>
      <w:marBottom w:val="0"/>
      <w:divBdr>
        <w:top w:val="none" w:sz="0" w:space="0" w:color="auto"/>
        <w:left w:val="none" w:sz="0" w:space="0" w:color="auto"/>
        <w:bottom w:val="none" w:sz="0" w:space="0" w:color="auto"/>
        <w:right w:val="none" w:sz="0" w:space="0" w:color="auto"/>
      </w:divBdr>
    </w:div>
    <w:div w:id="1078090230">
      <w:bodyDiv w:val="1"/>
      <w:marLeft w:val="0"/>
      <w:marRight w:val="0"/>
      <w:marTop w:val="0"/>
      <w:marBottom w:val="0"/>
      <w:divBdr>
        <w:top w:val="none" w:sz="0" w:space="0" w:color="auto"/>
        <w:left w:val="none" w:sz="0" w:space="0" w:color="auto"/>
        <w:bottom w:val="none" w:sz="0" w:space="0" w:color="auto"/>
        <w:right w:val="none" w:sz="0" w:space="0" w:color="auto"/>
      </w:divBdr>
    </w:div>
    <w:div w:id="1341393874">
      <w:bodyDiv w:val="1"/>
      <w:marLeft w:val="0"/>
      <w:marRight w:val="0"/>
      <w:marTop w:val="0"/>
      <w:marBottom w:val="0"/>
      <w:divBdr>
        <w:top w:val="none" w:sz="0" w:space="0" w:color="auto"/>
        <w:left w:val="none" w:sz="0" w:space="0" w:color="auto"/>
        <w:bottom w:val="none" w:sz="0" w:space="0" w:color="auto"/>
        <w:right w:val="none" w:sz="0" w:space="0" w:color="auto"/>
      </w:divBdr>
    </w:div>
    <w:div w:id="1710913740">
      <w:bodyDiv w:val="1"/>
      <w:marLeft w:val="0"/>
      <w:marRight w:val="0"/>
      <w:marTop w:val="0"/>
      <w:marBottom w:val="0"/>
      <w:divBdr>
        <w:top w:val="none" w:sz="0" w:space="0" w:color="auto"/>
        <w:left w:val="none" w:sz="0" w:space="0" w:color="auto"/>
        <w:bottom w:val="none" w:sz="0" w:space="0" w:color="auto"/>
        <w:right w:val="none" w:sz="0" w:space="0" w:color="auto"/>
      </w:divBdr>
    </w:div>
    <w:div w:id="1907064070">
      <w:bodyDiv w:val="1"/>
      <w:marLeft w:val="0"/>
      <w:marRight w:val="0"/>
      <w:marTop w:val="0"/>
      <w:marBottom w:val="0"/>
      <w:divBdr>
        <w:top w:val="none" w:sz="0" w:space="0" w:color="auto"/>
        <w:left w:val="none" w:sz="0" w:space="0" w:color="auto"/>
        <w:bottom w:val="none" w:sz="0" w:space="0" w:color="auto"/>
        <w:right w:val="none" w:sz="0" w:space="0" w:color="auto"/>
      </w:divBdr>
    </w:div>
    <w:div w:id="2041776852">
      <w:bodyDiv w:val="1"/>
      <w:marLeft w:val="0"/>
      <w:marRight w:val="0"/>
      <w:marTop w:val="0"/>
      <w:marBottom w:val="0"/>
      <w:divBdr>
        <w:top w:val="none" w:sz="0" w:space="0" w:color="auto"/>
        <w:left w:val="none" w:sz="0" w:space="0" w:color="auto"/>
        <w:bottom w:val="none" w:sz="0" w:space="0" w:color="auto"/>
        <w:right w:val="none" w:sz="0" w:space="0" w:color="auto"/>
      </w:divBdr>
    </w:div>
    <w:div w:id="2058118288">
      <w:bodyDiv w:val="1"/>
      <w:marLeft w:val="0"/>
      <w:marRight w:val="0"/>
      <w:marTop w:val="0"/>
      <w:marBottom w:val="0"/>
      <w:divBdr>
        <w:top w:val="none" w:sz="0" w:space="0" w:color="auto"/>
        <w:left w:val="none" w:sz="0" w:space="0" w:color="auto"/>
        <w:bottom w:val="none" w:sz="0" w:space="0" w:color="auto"/>
        <w:right w:val="none" w:sz="0" w:space="0" w:color="auto"/>
      </w:divBdr>
    </w:div>
    <w:div w:id="2116627827">
      <w:bodyDiv w:val="1"/>
      <w:marLeft w:val="0"/>
      <w:marRight w:val="0"/>
      <w:marTop w:val="0"/>
      <w:marBottom w:val="0"/>
      <w:divBdr>
        <w:top w:val="none" w:sz="0" w:space="0" w:color="auto"/>
        <w:left w:val="none" w:sz="0" w:space="0" w:color="auto"/>
        <w:bottom w:val="none" w:sz="0" w:space="0" w:color="auto"/>
        <w:right w:val="none" w:sz="0" w:space="0" w:color="auto"/>
      </w:divBdr>
    </w:div>
    <w:div w:id="214553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2019-%20%20%20Turto%20bankas\Teism&#371;%20praktika\TB%20lette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2A152-61B0-478D-BEE6-A199F9BB2EC0}">
  <ds:schemaRefs>
    <ds:schemaRef ds:uri="http://schemas.microsoft.com/office/2006/metadata/longProperties"/>
  </ds:schemaRefs>
</ds:datastoreItem>
</file>

<file path=customXml/itemProps2.xml><?xml version="1.0" encoding="utf-8"?>
<ds:datastoreItem xmlns:ds="http://schemas.openxmlformats.org/officeDocument/2006/customXml" ds:itemID="{2C0CDC0A-C3C8-447B-8BA1-F4A16E0776C3}">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69008FD5-DFA8-426F-9F7F-EAD563DF9888}">
  <ds:schemaRefs>
    <ds:schemaRef ds:uri="http://schemas.microsoft.com/sharepoint/v3/contenttype/forms"/>
  </ds:schemaRefs>
</ds:datastoreItem>
</file>

<file path=customXml/itemProps4.xml><?xml version="1.0" encoding="utf-8"?>
<ds:datastoreItem xmlns:ds="http://schemas.openxmlformats.org/officeDocument/2006/customXml" ds:itemID="{360A6347-2CAD-4B85-9C48-8C042F4A7E7F}">
  <ds:schemaRefs>
    <ds:schemaRef ds:uri="http://schemas.openxmlformats.org/officeDocument/2006/bibliography"/>
  </ds:schemaRefs>
</ds:datastoreItem>
</file>

<file path=customXml/itemProps5.xml><?xml version="1.0" encoding="utf-8"?>
<ds:datastoreItem xmlns:ds="http://schemas.openxmlformats.org/officeDocument/2006/customXml" ds:itemID="{C7E7C26C-2A7C-4CD1-ACF7-C91013794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TB letter</Template>
  <TotalTime>11</TotalTime>
  <Pages>3</Pages>
  <Words>5047</Words>
  <Characters>2878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TB Laiskas - Staciai (1 puslapis)</vt:lpstr>
    </vt:vector>
  </TitlesOfParts>
  <Company>VI Turto bankas</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cp:lastModifiedBy>STANKEVIČIENĖ, Sigita | Turto bankas</cp:lastModifiedBy>
  <cp:revision>5</cp:revision>
  <cp:lastPrinted>2024-07-04T06:10:00Z</cp:lastPrinted>
  <dcterms:created xsi:type="dcterms:W3CDTF">2025-03-10T13:33:00Z</dcterms:created>
  <dcterms:modified xsi:type="dcterms:W3CDTF">2025-03-12T06:46:00Z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