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67794F7E" w14:textId="00EC56CE" w:rsidR="00C6399A" w:rsidRPr="00302A53" w:rsidRDefault="00F5757C" w:rsidP="003D3B1D">
                <w:pPr>
                  <w:rPr>
                    <w:rFonts w:eastAsia="Times New Roman" w:cstheme="minorHAnsi"/>
                    <w:color w:val="000000" w:themeColor="text1"/>
                    <w:spacing w:val="-8"/>
                    <w:lang w:val="lt-LT"/>
                  </w:rPr>
                </w:pPr>
                <w:r>
                  <w:rPr>
                    <w:rFonts w:cstheme="minorHAnsi"/>
                    <w:b/>
                    <w:bCs/>
                    <w:lang w:val="lt-LT"/>
                  </w:rPr>
                  <w:t>GENERATORIAI</w:t>
                </w:r>
                <w:r w:rsidR="00540879" w:rsidRPr="00540879">
                  <w:rPr>
                    <w:rFonts w:cstheme="minorHAnsi"/>
                    <w:b/>
                    <w:bCs/>
                    <w:lang w:val="lt-LT"/>
                  </w:rPr>
                  <w:t xml:space="preserve"> BOSNIJOS IR HERCEGOVINOS GINKLUOTOSIOMS PAJĖGOMS </w:t>
                </w:r>
                <w:r w:rsidR="00C6399A"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71F89338" w:rsidR="00BF013D" w:rsidRPr="002B3F47" w:rsidRDefault="00A36B0F" w:rsidP="00B96B6E">
                <w:pPr>
                  <w:rPr>
                    <w:rFonts w:eastAsia="Times New Roman" w:cstheme="minorHAnsi"/>
                    <w:color w:val="000000" w:themeColor="text1"/>
                    <w:spacing w:val="-8"/>
                    <w:lang w:val="lt-LT"/>
                  </w:rPr>
                </w:pPr>
                <w:r w:rsidRPr="002B3F47">
                  <w:rPr>
                    <w:rFonts w:eastAsia="Times New Roman" w:cstheme="minorHAnsi"/>
                    <w:color w:val="000000" w:themeColor="text1"/>
                    <w:spacing w:val="-8"/>
                    <w:lang w:val="lt-LT"/>
                  </w:rPr>
                  <w:t xml:space="preserve">Pirkimu siekiama įgyvendinti Europos taikos priemonę, kaip numatyta Europos Sąjungos Tarybos </w:t>
                </w:r>
                <w:r w:rsidR="002B3F47" w:rsidRPr="002B3F47">
                  <w:rPr>
                    <w:rFonts w:eastAsia="Times New Roman" w:cstheme="minorHAnsi"/>
                    <w:color w:val="000000" w:themeColor="text1"/>
                    <w:spacing w:val="-8"/>
                    <w:lang w:val="pt-PT"/>
                  </w:rPr>
                  <w:t xml:space="preserve">2022 m. gruodžio 1 d. sprendime Nr.  2022/2353 dėl paramos priemonės pagal Europos taikos priemonę Bosnijos ir Hercegovinos ginkluotosioms pajėgoms remti </w:t>
                </w:r>
                <w:r w:rsidR="002A7A49" w:rsidRPr="002B3F47">
                  <w:rPr>
                    <w:rFonts w:eastAsia="Times New Roman" w:cstheme="minorHAnsi"/>
                    <w:color w:val="000000" w:themeColor="text1"/>
                    <w:spacing w:val="-8"/>
                    <w:lang w:val="lt-LT"/>
                  </w:rPr>
                  <w:t xml:space="preserve"> </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3D03093F" w:rsidR="002A7A49" w:rsidRPr="002B3F47" w:rsidRDefault="002B3F47" w:rsidP="00A36B0F">
                <w:pPr>
                  <w:rPr>
                    <w:rFonts w:eastAsia="Times New Roman" w:cstheme="minorHAnsi"/>
                    <w:color w:val="000000" w:themeColor="text1"/>
                    <w:spacing w:val="-8"/>
                    <w:lang w:val="lt-LT"/>
                  </w:rPr>
                </w:pPr>
                <w:r w:rsidRPr="002B3F47">
                  <w:rPr>
                    <w:rFonts w:eastAsia="Times New Roman" w:cstheme="minorHAnsi"/>
                    <w:color w:val="000000" w:themeColor="text1"/>
                    <w:spacing w:val="-8"/>
                    <w:lang w:val="pt-PT"/>
                  </w:rPr>
                  <w:t>Bosnijos ir Hercegovinos ginkluotosioms pajėgoms</w:t>
                </w:r>
              </w:p>
            </w:tc>
          </w:tr>
          <w:tr w:rsidR="002B3F47" w:rsidRPr="00302A53" w14:paraId="0402B102" w14:textId="77777777" w:rsidTr="002E532F">
            <w:trPr>
              <w:trHeight w:val="20"/>
            </w:trPr>
            <w:tc>
              <w:tcPr>
                <w:tcW w:w="282" w:type="pct"/>
                <w:shd w:val="clear" w:color="auto" w:fill="F2F2F2" w:themeFill="background1" w:themeFillShade="F2"/>
                <w:vAlign w:val="center"/>
              </w:tcPr>
              <w:p w14:paraId="702D0EE9" w14:textId="3CE957CA" w:rsidR="002B3F47" w:rsidRPr="00302A53" w:rsidRDefault="002B3F47" w:rsidP="002B3F47">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23313BD4" w:rsidR="002B3F47" w:rsidRPr="00302A53" w:rsidRDefault="002B3F47" w:rsidP="002B3F47">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shd w:val="clear" w:color="auto" w:fill="auto"/>
                <w:vAlign w:val="center"/>
              </w:tcPr>
              <w:p w14:paraId="5375C2FE" w14:textId="77777777" w:rsidR="002B3F47" w:rsidRDefault="002B3F47" w:rsidP="002B3F47">
                <w:pPr>
                  <w:pStyle w:val="ListParagraph"/>
                  <w:numPr>
                    <w:ilvl w:val="0"/>
                    <w:numId w:val="29"/>
                  </w:numPr>
                  <w:tabs>
                    <w:tab w:val="left" w:pos="125"/>
                  </w:tabs>
                  <w:ind w:left="0" w:firstLine="0"/>
                  <w:rPr>
                    <w:rFonts w:eastAsia="Times New Roman" w:cstheme="minorHAnsi"/>
                    <w:color w:val="000000" w:themeColor="text1"/>
                    <w:spacing w:val="-8"/>
                    <w:lang w:val="lt-LT"/>
                  </w:rPr>
                </w:pPr>
                <w:r w:rsidRPr="007A6A51">
                  <w:rPr>
                    <w:rFonts w:eastAsia="Times New Roman" w:cstheme="minorHAnsi"/>
                    <w:color w:val="000000" w:themeColor="text1"/>
                    <w:spacing w:val="-8"/>
                    <w:lang w:val="lt-LT"/>
                  </w:rPr>
                  <w:t>dėl viešojo pirkimo procedūrų – Teisės ir pirkimų skyriaus vyresnioji viešųjų pirkimų specialistė</w:t>
                </w:r>
                <w:r w:rsidRPr="007A6A51">
                  <w:rPr>
                    <w:rFonts w:eastAsia="Times New Roman" w:cstheme="minorHAnsi"/>
                    <w:b/>
                    <w:bCs/>
                    <w:color w:val="000000" w:themeColor="text1"/>
                    <w:spacing w:val="-8"/>
                    <w:lang w:val="lt-LT"/>
                  </w:rPr>
                  <w:t xml:space="preserve"> </w:t>
                </w:r>
                <w:r w:rsidRPr="007A6A51">
                  <w:rPr>
                    <w:rFonts w:eastAsia="Times New Roman" w:cstheme="minorHAnsi"/>
                    <w:color w:val="000000" w:themeColor="text1"/>
                    <w:spacing w:val="-8"/>
                    <w:lang w:val="lt-LT"/>
                  </w:rPr>
                  <w:t xml:space="preserve">Laura Sungailaitė-Jurčė, el. p. </w:t>
                </w:r>
                <w:hyperlink r:id="rId11" w:history="1">
                  <w:r w:rsidRPr="007A6A51">
                    <w:rPr>
                      <w:rStyle w:val="Hyperlink"/>
                      <w:rFonts w:eastAsia="Times New Roman" w:cstheme="minorHAnsi"/>
                      <w:spacing w:val="-8"/>
                      <w:lang w:val="lt-LT"/>
                    </w:rPr>
                    <w:t>L.Sungailaite-Jurce@cpva.lt</w:t>
                  </w:r>
                </w:hyperlink>
                <w:r w:rsidRPr="007A6A51">
                  <w:rPr>
                    <w:rFonts w:eastAsia="Times New Roman" w:cstheme="minorHAnsi"/>
                    <w:color w:val="000000" w:themeColor="text1"/>
                    <w:spacing w:val="-8"/>
                    <w:lang w:val="lt-LT"/>
                  </w:rPr>
                  <w:t>, tel. +37064912635</w:t>
                </w:r>
                <w:r>
                  <w:rPr>
                    <w:rFonts w:eastAsia="Times New Roman" w:cstheme="minorHAnsi"/>
                    <w:color w:val="000000" w:themeColor="text1"/>
                    <w:spacing w:val="-8"/>
                    <w:lang w:val="lt-LT"/>
                  </w:rPr>
                  <w:t>;</w:t>
                </w:r>
              </w:p>
              <w:p w14:paraId="5CA36912" w14:textId="71E79F5D" w:rsidR="002B3F47" w:rsidRPr="00686AC6" w:rsidRDefault="002B3F47" w:rsidP="002B3F47">
                <w:pPr>
                  <w:pStyle w:val="ListParagraph"/>
                  <w:numPr>
                    <w:ilvl w:val="0"/>
                    <w:numId w:val="29"/>
                  </w:numPr>
                  <w:tabs>
                    <w:tab w:val="left" w:pos="125"/>
                  </w:tabs>
                  <w:ind w:left="0" w:firstLine="0"/>
                  <w:rPr>
                    <w:rFonts w:eastAsia="Times New Roman" w:cstheme="minorHAnsi"/>
                    <w:color w:val="000000" w:themeColor="text1"/>
                    <w:spacing w:val="-8"/>
                    <w:lang w:val="lt-LT"/>
                  </w:rPr>
                </w:pPr>
                <w:r w:rsidRPr="00535F2F">
                  <w:rPr>
                    <w:rFonts w:eastAsia="Times New Roman" w:cstheme="minorHAnsi"/>
                    <w:color w:val="000000" w:themeColor="text1"/>
                    <w:spacing w:val="-8"/>
                    <w:lang w:val="lt-LT"/>
                  </w:rPr>
                  <w:t>dėl pirkimo objekto ir techninės specifikacijos</w:t>
                </w:r>
                <w:r>
                  <w:rPr>
                    <w:rFonts w:eastAsia="Times New Roman" w:cstheme="minorHAnsi"/>
                    <w:color w:val="000000" w:themeColor="text1"/>
                    <w:spacing w:val="-8"/>
                    <w:lang w:val="lt-LT"/>
                  </w:rPr>
                  <w:t xml:space="preserve"> </w:t>
                </w:r>
                <w:r w:rsidRPr="007A6A51">
                  <w:rPr>
                    <w:rFonts w:eastAsia="Times New Roman" w:cstheme="minorHAnsi"/>
                    <w:color w:val="000000" w:themeColor="text1"/>
                    <w:spacing w:val="-8"/>
                    <w:lang w:val="lt-LT"/>
                  </w:rPr>
                  <w:t>–</w:t>
                </w:r>
                <w:r>
                  <w:rPr>
                    <w:rFonts w:eastAsia="Times New Roman" w:cstheme="minorHAnsi"/>
                    <w:color w:val="000000" w:themeColor="text1"/>
                    <w:spacing w:val="-8"/>
                    <w:lang w:val="lt-LT"/>
                  </w:rPr>
                  <w:t xml:space="preserve"> </w:t>
                </w:r>
                <w:r w:rsidRPr="00535F2F">
                  <w:rPr>
                    <w:rFonts w:eastAsia="Times New Roman" w:cstheme="minorHAnsi"/>
                    <w:color w:val="000000" w:themeColor="text1"/>
                    <w:spacing w:val="-8"/>
                    <w:lang w:val="lt-LT"/>
                  </w:rPr>
                  <w:t xml:space="preserve"> </w:t>
                </w:r>
                <w:r w:rsidR="009A0EDE" w:rsidRPr="009A0EDE">
                  <w:rPr>
                    <w:rFonts w:eastAsia="Times New Roman" w:cstheme="minorHAnsi"/>
                    <w:color w:val="000000" w:themeColor="text1"/>
                    <w:spacing w:val="-8"/>
                    <w:lang w:val="lt-LT"/>
                  </w:rPr>
                  <w:t>Ukrainos ir taikos investicijų skyriaus ekspertas Vilius Kuzminskas, tel. +370 64574619, el. paštas v.kuzminskas@cpva.lt</w:t>
                </w:r>
              </w:p>
            </w:tc>
          </w:tr>
          <w:tr w:rsidR="00F5757C"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5757C" w:rsidRPr="00302A53" w:rsidRDefault="00F5757C" w:rsidP="00F5757C">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5757C" w:rsidRPr="00302A53" w:rsidRDefault="00F5757C" w:rsidP="00F5757C">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6755BD52" w14:textId="77777777" w:rsidR="00F5757C" w:rsidRPr="006F11C2" w:rsidRDefault="00F5757C" w:rsidP="00F5757C">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CPO centralizuotų pirkimų katalogas nesiūlo prekių, kurias ketinama įsigyti šiuo Pirkimu;</w:t>
                </w:r>
              </w:p>
              <w:p w14:paraId="5F4CDF22" w14:textId="77777777" w:rsidR="00F5757C" w:rsidRDefault="00F5757C" w:rsidP="00F5757C">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23190E38" w:rsidR="00F5757C" w:rsidRPr="0056414F" w:rsidRDefault="00F5757C" w:rsidP="00F5757C">
                <w:pPr>
                  <w:numPr>
                    <w:ilvl w:val="0"/>
                    <w:numId w:val="31"/>
                  </w:numPr>
                  <w:ind w:left="125" w:hanging="181"/>
                  <w:rPr>
                    <w:rFonts w:eastAsia="Times New Roman" w:cstheme="minorHAnsi"/>
                    <w:color w:val="000000" w:themeColor="text1"/>
                    <w:spacing w:val="-8"/>
                    <w:lang w:val="lt-LT"/>
                  </w:rPr>
                </w:pPr>
                <w:r w:rsidRPr="00542A10">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w:t>
                </w:r>
                <w:r w:rsidRPr="00542A10">
                  <w:rPr>
                    <w:rFonts w:eastAsia="Times New Roman" w:cstheme="minorHAnsi"/>
                    <w:color w:val="000000" w:themeColor="text1"/>
                    <w:spacing w:val="-8"/>
                    <w:lang w:val="lt-LT"/>
                  </w:rPr>
                  <w:lastRenderedPageBreak/>
                  <w:t xml:space="preserve">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 </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08BCC731" w14:textId="77777777" w:rsidR="00FB48DB" w:rsidRPr="002B3F47" w:rsidRDefault="00FB48DB" w:rsidP="00FB48DB">
                <w:pPr>
                  <w:rPr>
                    <w:rFonts w:eastAsia="Times New Roman" w:cstheme="minorHAnsi"/>
                    <w:color w:val="000000" w:themeColor="text1"/>
                    <w:spacing w:val="-8"/>
                    <w:u w:val="single"/>
                    <w:lang w:val="lt-LT"/>
                  </w:rPr>
                </w:pPr>
                <w:r w:rsidRPr="002B3F47">
                  <w:rPr>
                    <w:rFonts w:eastAsia="Times New Roman" w:cstheme="minorHAnsi"/>
                    <w:color w:val="000000" w:themeColor="text1"/>
                    <w:spacing w:val="-8"/>
                    <w:u w:val="single"/>
                    <w:lang w:val="lt-LT"/>
                  </w:rPr>
                  <w:t>Eksporto procedūros:</w:t>
                </w:r>
              </w:p>
              <w:p w14:paraId="49815B3C" w14:textId="6A3A3167" w:rsidR="00FB48DB" w:rsidRPr="002B3F47" w:rsidRDefault="00FB48DB" w:rsidP="00FB48DB">
                <w:pPr>
                  <w:rPr>
                    <w:rFonts w:eastAsia="Times New Roman" w:cstheme="minorHAnsi"/>
                    <w:color w:val="000000" w:themeColor="text1"/>
                    <w:spacing w:val="-8"/>
                    <w:lang w:val="lt-LT"/>
                  </w:rPr>
                </w:pPr>
                <w:r w:rsidRPr="002B3F47">
                  <w:rPr>
                    <w:rFonts w:eastAsia="Times New Roman" w:cstheme="minorHAnsi"/>
                    <w:color w:val="000000" w:themeColor="text1"/>
                    <w:spacing w:val="-8"/>
                    <w:lang w:val="lt-LT"/>
                  </w:rPr>
                  <w:t xml:space="preserve">Jeigu perkamos prekės bus eksportuojamos į </w:t>
                </w:r>
                <w:r w:rsidR="002B3F47" w:rsidRPr="002B3F47">
                  <w:rPr>
                    <w:rFonts w:eastAsia="Times New Roman" w:cstheme="minorHAnsi"/>
                    <w:color w:val="000000" w:themeColor="text1"/>
                    <w:spacing w:val="-8"/>
                    <w:lang w:val="lt-LT"/>
                  </w:rPr>
                  <w:t>Bosniją ir Hercegoviną</w:t>
                </w:r>
                <w:r w:rsidRPr="002B3F47">
                  <w:rPr>
                    <w:rFonts w:eastAsia="Times New Roman" w:cstheme="minorHAnsi"/>
                    <w:color w:val="000000" w:themeColor="text1"/>
                    <w:spacing w:val="-8"/>
                    <w:lang w:val="lt-LT"/>
                  </w:rPr>
                  <w:t>, visas įsigyjamų prekių eksporto procedūras ir  su eksportu susijusius dokumentus tvarko bei pasirašo tiekėjas. Atsižvelgiant i tai, tiekėjas išrašo sąskaitą faktūrą taikant 0 proc. PVM tarifą.</w:t>
                </w:r>
              </w:p>
              <w:p w14:paraId="0E1FB544" w14:textId="77777777" w:rsidR="00FB48DB" w:rsidRPr="002B3F47" w:rsidRDefault="00FB48DB" w:rsidP="00FB48DB">
                <w:pPr>
                  <w:spacing w:before="60"/>
                  <w:rPr>
                    <w:rFonts w:eastAsia="Times New Roman" w:cstheme="minorHAnsi"/>
                    <w:color w:val="000000" w:themeColor="text1"/>
                    <w:spacing w:val="-8"/>
                    <w:u w:val="single"/>
                    <w:lang w:val="lt-LT"/>
                  </w:rPr>
                </w:pPr>
                <w:r w:rsidRPr="002B3F47">
                  <w:rPr>
                    <w:rFonts w:eastAsia="Times New Roman" w:cstheme="minorHAnsi"/>
                    <w:color w:val="000000" w:themeColor="text1"/>
                    <w:spacing w:val="-8"/>
                    <w:u w:val="single"/>
                    <w:lang w:val="lt-LT"/>
                  </w:rPr>
                  <w:t>Importo procedūros:</w:t>
                </w:r>
              </w:p>
              <w:p w14:paraId="5FBCA6C2" w14:textId="77777777" w:rsidR="00FB48DB" w:rsidRDefault="00FB48DB" w:rsidP="00FB48DB">
                <w:pPr>
                  <w:rPr>
                    <w:rFonts w:eastAsia="Times New Roman" w:cstheme="minorHAnsi"/>
                    <w:color w:val="000000" w:themeColor="text1"/>
                    <w:spacing w:val="-8"/>
                    <w:lang w:val="lt-LT"/>
                  </w:rPr>
                </w:pPr>
                <w:r w:rsidRPr="002B3F47">
                  <w:rPr>
                    <w:rFonts w:eastAsia="Times New Roman" w:cstheme="minorHAnsi"/>
                    <w:color w:val="000000" w:themeColor="text1"/>
                    <w:spacing w:val="-8"/>
                    <w:lang w:val="lt-LT"/>
                  </w:rPr>
                  <w:t xml:space="preserve">Jeigu perkamos prekės bus importuojamos į </w:t>
                </w:r>
                <w:r w:rsidR="002B3F47" w:rsidRPr="002B3F47">
                  <w:rPr>
                    <w:rFonts w:eastAsia="Times New Roman" w:cstheme="minorHAnsi"/>
                    <w:color w:val="000000" w:themeColor="text1"/>
                    <w:spacing w:val="-8"/>
                    <w:lang w:val="pt-PT"/>
                  </w:rPr>
                  <w:t>Bosniją ir Hercegoviną</w:t>
                </w:r>
                <w:r w:rsidRPr="002B3F47">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p w14:paraId="016EFFEB" w14:textId="77777777" w:rsidR="007377A0" w:rsidRDefault="007377A0" w:rsidP="00FB48DB">
                <w:pPr>
                  <w:rPr>
                    <w:rFonts w:eastAsia="Times New Roman" w:cstheme="minorHAnsi"/>
                    <w:color w:val="000000" w:themeColor="text1"/>
                    <w:spacing w:val="-8"/>
                    <w:lang w:val="lt-LT"/>
                  </w:rPr>
                </w:pPr>
              </w:p>
              <w:p w14:paraId="27171AAE" w14:textId="3083F2A0" w:rsidR="007377A0" w:rsidRPr="002B3F47" w:rsidRDefault="007377A0" w:rsidP="00FB48DB">
                <w:pPr>
                  <w:rPr>
                    <w:rFonts w:eastAsia="Times New Roman" w:cstheme="minorHAnsi"/>
                    <w:color w:val="000000" w:themeColor="text1"/>
                    <w:spacing w:val="-8"/>
                    <w:lang w:val="lt-LT"/>
                  </w:rPr>
                </w:pPr>
                <w:r w:rsidRPr="00780F03">
                  <w:rPr>
                    <w:rFonts w:eastAsia="Times New Roman" w:cstheme="minorHAnsi"/>
                    <w:b/>
                    <w:bCs/>
                    <w:color w:val="000000" w:themeColor="text1"/>
                    <w:spacing w:val="-8"/>
                    <w:lang w:val="lt-LT"/>
                  </w:rPr>
                  <w:t xml:space="preserve">Atkreipkite dėmesį, kad importo procedūros Bosnijoje ir Hercegovinoje </w:t>
                </w:r>
                <w:r w:rsidR="00780F03" w:rsidRPr="00780F03">
                  <w:rPr>
                    <w:rFonts w:eastAsia="Times New Roman" w:cstheme="minorHAnsi"/>
                    <w:b/>
                    <w:bCs/>
                    <w:color w:val="000000" w:themeColor="text1"/>
                    <w:spacing w:val="-8"/>
                    <w:lang w:val="lt-LT"/>
                  </w:rPr>
                  <w:t>įprastai</w:t>
                </w:r>
                <w:r w:rsidRPr="00780F03">
                  <w:rPr>
                    <w:rFonts w:eastAsia="Times New Roman" w:cstheme="minorHAnsi"/>
                    <w:b/>
                    <w:bCs/>
                    <w:color w:val="000000" w:themeColor="text1"/>
                    <w:spacing w:val="-8"/>
                    <w:lang w:val="lt-LT"/>
                  </w:rPr>
                  <w:t xml:space="preserve"> trunka iki 90 dienų</w:t>
                </w:r>
                <w:r w:rsidRPr="007C6975">
                  <w:rPr>
                    <w:rFonts w:eastAsia="Times New Roman" w:cstheme="minorHAnsi"/>
                    <w:b/>
                    <w:bCs/>
                    <w:color w:val="000000" w:themeColor="text1"/>
                    <w:spacing w:val="-8"/>
                    <w:lang w:val="lt-LT"/>
                  </w:rPr>
                  <w:t>.</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08AB3624" w:rsidR="009A700E" w:rsidRPr="009A700E" w:rsidRDefault="00217D6E"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 xml:space="preserve">8 mėn. </w:t>
                </w:r>
                <w:r w:rsidR="00FB48DB">
                  <w:rPr>
                    <w:rFonts w:eastAsia="Times New Roman" w:cstheme="minorHAnsi"/>
                    <w:color w:val="000000" w:themeColor="text1"/>
                    <w:spacing w:val="-8"/>
                    <w:lang w:val="lt-LT"/>
                  </w:rPr>
                  <w:t>nuo Sutarties įsigaliojimo</w:t>
                </w:r>
                <w:r w:rsidR="009A700E">
                  <w:rPr>
                    <w:rFonts w:eastAsia="Times New Roman" w:cstheme="minorHAnsi"/>
                    <w:color w:val="000000" w:themeColor="text1"/>
                    <w:spacing w:val="-8"/>
                    <w:lang w:val="lt-LT"/>
                  </w:rPr>
                  <w:t>.</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3EE6534B" w:rsidR="00FB48DB" w:rsidRPr="0067513A" w:rsidRDefault="002B3F47" w:rsidP="00FB48DB">
                <w:pPr>
                  <w:rPr>
                    <w:rFonts w:eastAsia="Times New Roman" w:cstheme="minorHAnsi"/>
                    <w:color w:val="000000" w:themeColor="text1"/>
                    <w:spacing w:val="-8"/>
                    <w:lang w:val="lt-LT"/>
                  </w:rPr>
                </w:pPr>
                <w:proofErr w:type="spellStart"/>
                <w:r>
                  <w:rPr>
                    <w:rFonts w:cstheme="minorHAnsi"/>
                    <w:spacing w:val="-8"/>
                    <w:szCs w:val="24"/>
                  </w:rPr>
                  <w:t>Nenumatoma</w:t>
                </w:r>
                <w:proofErr w:type="spellEnd"/>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71308562" w14:textId="0371088D" w:rsidR="00FB48DB" w:rsidRPr="00302A53" w:rsidRDefault="002B3F47" w:rsidP="00FB48DB">
                <w:pPr>
                  <w:rPr>
                    <w:rFonts w:eastAsia="Times New Roman" w:cstheme="minorHAnsi"/>
                    <w:color w:val="000000" w:themeColor="text1"/>
                    <w:spacing w:val="-8"/>
                    <w:lang w:val="lt-LT"/>
                  </w:rPr>
                </w:pPr>
                <w:proofErr w:type="spellStart"/>
                <w:r>
                  <w:rPr>
                    <w:rFonts w:cstheme="minorHAnsi"/>
                    <w:spacing w:val="-8"/>
                    <w:szCs w:val="24"/>
                  </w:rPr>
                  <w:t>nebuvo</w:t>
                </w:r>
                <w:proofErr w:type="spellEnd"/>
                <w:r>
                  <w:rPr>
                    <w:rFonts w:cstheme="minorHAnsi"/>
                    <w:spacing w:val="-8"/>
                    <w:szCs w:val="24"/>
                  </w:rPr>
                  <w:t xml:space="preserve"> </w:t>
                </w:r>
                <w:proofErr w:type="spellStart"/>
                <w:r>
                  <w:rPr>
                    <w:rFonts w:cstheme="minorHAnsi"/>
                    <w:spacing w:val="-8"/>
                    <w:szCs w:val="24"/>
                  </w:rPr>
                  <w:t>paskelbtas</w:t>
                </w:r>
                <w:proofErr w:type="spellEnd"/>
              </w:p>
              <w:p w14:paraId="3DEACAAB" w14:textId="0BED394C" w:rsidR="00FB48DB" w:rsidRPr="00302A53" w:rsidRDefault="00FB48DB" w:rsidP="00FB48DB">
                <w:pPr>
                  <w:rPr>
                    <w:rFonts w:eastAsia="Times New Roman" w:cstheme="minorHAnsi"/>
                    <w:color w:val="000000" w:themeColor="text1"/>
                    <w:spacing w:val="-8"/>
                    <w:lang w:val="lt-LT"/>
                  </w:rPr>
                </w:pPr>
              </w:p>
            </w:tc>
          </w:tr>
          <w:tr w:rsidR="00FB48DB" w:rsidRPr="00302A53" w14:paraId="0A5A8CBF" w14:textId="77777777" w:rsidTr="00355157">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062C3E08" w:rsidR="00FB48DB" w:rsidRPr="00302A53" w:rsidRDefault="002B3F47" w:rsidP="00FB48DB">
                <w:pPr>
                  <w:rPr>
                    <w:rFonts w:eastAsia="Times New Roman" w:cstheme="minorHAnsi"/>
                    <w:color w:val="000000" w:themeColor="text1"/>
                    <w:spacing w:val="-8"/>
                    <w:lang w:val="lt-LT"/>
                  </w:rPr>
                </w:pPr>
                <w:proofErr w:type="spellStart"/>
                <w:r>
                  <w:rPr>
                    <w:rFonts w:cstheme="minorHAnsi"/>
                    <w:spacing w:val="-8"/>
                    <w:szCs w:val="24"/>
                  </w:rPr>
                  <w:t>nebuvo</w:t>
                </w:r>
                <w:proofErr w:type="spellEnd"/>
                <w:r>
                  <w:rPr>
                    <w:rFonts w:cstheme="minorHAnsi"/>
                    <w:spacing w:val="-8"/>
                    <w:szCs w:val="24"/>
                  </w:rPr>
                  <w:t xml:space="preserve"> </w:t>
                </w:r>
                <w:proofErr w:type="spellStart"/>
                <w:r>
                  <w:rPr>
                    <w:rFonts w:cstheme="minorHAnsi"/>
                    <w:spacing w:val="-8"/>
                    <w:szCs w:val="24"/>
                  </w:rPr>
                  <w:t>paskelbta</w:t>
                </w:r>
                <w:proofErr w:type="spellEnd"/>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0973E36" w14:textId="77777777" w:rsidR="007F1792" w:rsidRPr="007F1792" w:rsidRDefault="007F1792" w:rsidP="007F1792">
                <w:pPr>
                  <w:rPr>
                    <w:rFonts w:eastAsia="Times New Roman" w:cstheme="minorHAnsi"/>
                    <w:color w:val="000000" w:themeColor="text1"/>
                    <w:spacing w:val="-8"/>
                  </w:rPr>
                </w:pPr>
                <w:proofErr w:type="spellStart"/>
                <w:r w:rsidRPr="007F1792">
                  <w:rPr>
                    <w:rFonts w:eastAsia="Times New Roman" w:cstheme="minorHAnsi"/>
                    <w:color w:val="000000" w:themeColor="text1"/>
                    <w:spacing w:val="-8"/>
                  </w:rPr>
                  <w:t>Pirkimui</w:t>
                </w:r>
                <w:proofErr w:type="spellEnd"/>
                <w:r w:rsidRPr="007F1792">
                  <w:rPr>
                    <w:rFonts w:eastAsia="Times New Roman" w:cstheme="minorHAnsi"/>
                    <w:color w:val="000000" w:themeColor="text1"/>
                    <w:spacing w:val="-8"/>
                  </w:rPr>
                  <w:t xml:space="preserve"> </w:t>
                </w:r>
                <w:proofErr w:type="spellStart"/>
                <w:r w:rsidRPr="007F1792">
                  <w:rPr>
                    <w:rFonts w:eastAsia="Times New Roman" w:cstheme="minorHAnsi"/>
                    <w:color w:val="000000" w:themeColor="text1"/>
                    <w:spacing w:val="-8"/>
                  </w:rPr>
                  <w:t>skiriama</w:t>
                </w:r>
                <w:proofErr w:type="spellEnd"/>
                <w:r w:rsidRPr="007F1792">
                  <w:rPr>
                    <w:rFonts w:eastAsia="Times New Roman" w:cstheme="minorHAnsi"/>
                    <w:color w:val="000000" w:themeColor="text1"/>
                    <w:spacing w:val="-8"/>
                  </w:rPr>
                  <w:t xml:space="preserve"> </w:t>
                </w:r>
                <w:proofErr w:type="spellStart"/>
                <w:r w:rsidRPr="007F1792">
                  <w:rPr>
                    <w:rFonts w:eastAsia="Times New Roman" w:cstheme="minorHAnsi"/>
                    <w:color w:val="000000" w:themeColor="text1"/>
                    <w:spacing w:val="-8"/>
                  </w:rPr>
                  <w:t>lėšų</w:t>
                </w:r>
                <w:proofErr w:type="spellEnd"/>
                <w:r w:rsidRPr="007F1792">
                  <w:rPr>
                    <w:rFonts w:eastAsia="Times New Roman" w:cstheme="minorHAnsi"/>
                    <w:color w:val="000000" w:themeColor="text1"/>
                    <w:spacing w:val="-8"/>
                  </w:rPr>
                  <w:t xml:space="preserve"> </w:t>
                </w:r>
                <w:proofErr w:type="spellStart"/>
                <w:r w:rsidRPr="007F1792">
                  <w:rPr>
                    <w:rFonts w:eastAsia="Times New Roman" w:cstheme="minorHAnsi"/>
                    <w:color w:val="000000" w:themeColor="text1"/>
                    <w:spacing w:val="-8"/>
                  </w:rPr>
                  <w:t>suma</w:t>
                </w:r>
                <w:proofErr w:type="spellEnd"/>
              </w:p>
              <w:p w14:paraId="3C616E28" w14:textId="0D0F5F06"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lastRenderedPageBreak/>
                  <w:t>(</w:t>
                </w:r>
                <w:r w:rsidR="00E118D5" w:rsidRPr="00E118D5">
                  <w:rPr>
                    <w:rFonts w:eastAsia="Times New Roman" w:cstheme="minorHAnsi"/>
                    <w:color w:val="000000" w:themeColor="text1"/>
                    <w:spacing w:val="-8"/>
                    <w:u w:val="single"/>
                    <w:lang w:val="lt-LT"/>
                  </w:rPr>
                  <w:t>jei tiekėjas pasiūlys kainą, viršijančią šią sumą, toks pasiūlymas bus atmestas</w:t>
                </w:r>
                <w:r>
                  <w:rPr>
                    <w:rFonts w:eastAsia="Times New Roman" w:cstheme="minorHAnsi"/>
                    <w:color w:val="000000" w:themeColor="text1"/>
                    <w:spacing w:val="-8"/>
                    <w:u w:val="single"/>
                    <w:lang w:val="lt-LT"/>
                  </w:rPr>
                  <w:t>)</w:t>
                </w:r>
              </w:p>
            </w:tc>
            <w:tc>
              <w:tcPr>
                <w:tcW w:w="2345" w:type="pct"/>
                <w:vAlign w:val="center"/>
              </w:tcPr>
              <w:p w14:paraId="51BF9DE4" w14:textId="51C6A17E" w:rsidR="00FB48DB" w:rsidRPr="00B16870" w:rsidRDefault="009A0EDE" w:rsidP="00FB48DB">
                <w:pPr>
                  <w:rPr>
                    <w:rFonts w:eastAsia="Times New Roman" w:cstheme="minorHAnsi"/>
                    <w:color w:val="000000" w:themeColor="text1"/>
                    <w:spacing w:val="-8"/>
                    <w:lang w:val="lt-LT"/>
                  </w:rPr>
                </w:pPr>
                <w:r>
                  <w:rPr>
                    <w:rFonts w:cstheme="minorHAnsi"/>
                    <w:spacing w:val="-8"/>
                  </w:rPr>
                  <w:lastRenderedPageBreak/>
                  <w:t>128</w:t>
                </w:r>
                <w:r w:rsidR="0056414F" w:rsidRPr="00B16870">
                  <w:rPr>
                    <w:rFonts w:cstheme="minorHAnsi"/>
                    <w:spacing w:val="-8"/>
                  </w:rPr>
                  <w:t> 000,00</w:t>
                </w:r>
                <w:r w:rsidR="00FB48DB" w:rsidRPr="00B16870">
                  <w:rPr>
                    <w:rFonts w:eastAsia="Times New Roman" w:cstheme="minorHAnsi"/>
                    <w:color w:val="000000" w:themeColor="text1"/>
                    <w:spacing w:val="-8"/>
                    <w:lang w:val="lt-LT"/>
                  </w:rPr>
                  <w:t xml:space="preserve"> Eur su PVM</w:t>
                </w:r>
              </w:p>
              <w:p w14:paraId="1ED70223" w14:textId="77777777" w:rsidR="00FB48DB" w:rsidRPr="00B16870" w:rsidRDefault="00FB48DB" w:rsidP="00FB48DB">
                <w:pPr>
                  <w:rPr>
                    <w:rFonts w:eastAsia="Times New Roman" w:cstheme="minorHAnsi"/>
                    <w:color w:val="000000" w:themeColor="text1"/>
                    <w:spacing w:val="-8"/>
                    <w:lang w:val="lt-LT"/>
                  </w:rPr>
                </w:pPr>
              </w:p>
              <w:p w14:paraId="00CBCEF9" w14:textId="46FFD87C" w:rsidR="00FB48DB" w:rsidRPr="00B16870" w:rsidRDefault="00FB48DB" w:rsidP="00FB48DB">
                <w:pPr>
                  <w:rPr>
                    <w:rFonts w:cstheme="minorHAnsi"/>
                    <w:spacing w:val="-8"/>
                    <w:lang w:val="pt-PT"/>
                  </w:rPr>
                </w:pP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1FC78184" w:rsidR="00FB48DB" w:rsidRPr="00302A53" w:rsidRDefault="0056414F" w:rsidP="00FB48DB">
                <w:pPr>
                  <w:rPr>
                    <w:rFonts w:eastAsia="Times New Roman" w:cstheme="minorHAnsi"/>
                    <w:color w:val="000000" w:themeColor="text1"/>
                    <w:spacing w:val="-8"/>
                    <w:lang w:val="lt-LT"/>
                  </w:rPr>
                </w:pPr>
                <w:proofErr w:type="spellStart"/>
                <w:r>
                  <w:rPr>
                    <w:rFonts w:cstheme="minorHAnsi"/>
                    <w:spacing w:val="-8"/>
                    <w:szCs w:val="24"/>
                  </w:rPr>
                  <w:t>Fiksuoto</w:t>
                </w:r>
                <w:r w:rsidR="009A0EDE">
                  <w:rPr>
                    <w:rFonts w:cstheme="minorHAnsi"/>
                    <w:spacing w:val="-8"/>
                    <w:szCs w:val="24"/>
                  </w:rPr>
                  <w:t>s</w:t>
                </w:r>
                <w:proofErr w:type="spellEnd"/>
                <w:r>
                  <w:rPr>
                    <w:rFonts w:cstheme="minorHAnsi"/>
                    <w:spacing w:val="-8"/>
                    <w:szCs w:val="24"/>
                  </w:rPr>
                  <w:t xml:space="preserve"> </w:t>
                </w:r>
                <w:proofErr w:type="spellStart"/>
                <w:r w:rsidR="009A0EDE">
                  <w:rPr>
                    <w:rFonts w:cstheme="minorHAnsi"/>
                    <w:spacing w:val="-8"/>
                    <w:szCs w:val="24"/>
                  </w:rPr>
                  <w:t>k</w:t>
                </w:r>
                <w:r w:rsidR="009A0EDE">
                  <w:rPr>
                    <w:rFonts w:cstheme="minorHAnsi"/>
                    <w:spacing w:val="-8"/>
                  </w:rPr>
                  <w:t>ainos</w:t>
                </w:r>
                <w:proofErr w:type="spellEnd"/>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56414F">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56414F">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shd w:val="clear" w:color="auto" w:fill="auto"/>
                <w:vAlign w:val="center"/>
              </w:tcPr>
              <w:p w14:paraId="3C2ACC36" w14:textId="068CD73E" w:rsidR="00EC613D" w:rsidRPr="00302A53" w:rsidRDefault="0056414F"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56414F" w:rsidRPr="00302A53" w14:paraId="7A6DFEBB" w14:textId="77777777" w:rsidTr="0056414F">
            <w:trPr>
              <w:trHeight w:val="257"/>
            </w:trPr>
            <w:tc>
              <w:tcPr>
                <w:tcW w:w="279" w:type="pct"/>
                <w:shd w:val="clear" w:color="auto" w:fill="F2F2F2"/>
                <w:vAlign w:val="center"/>
              </w:tcPr>
              <w:p w14:paraId="661DCC11" w14:textId="77777777" w:rsidR="0056414F" w:rsidRPr="00302A53" w:rsidRDefault="0056414F" w:rsidP="0056414F">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56414F" w:rsidRPr="00302A53" w:rsidRDefault="0056414F" w:rsidP="0056414F">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shd w:val="clear" w:color="auto" w:fill="auto"/>
                <w:vAlign w:val="center"/>
              </w:tcPr>
              <w:p w14:paraId="6559DE4D" w14:textId="77777777" w:rsidR="009A0EDE" w:rsidRPr="0082199B" w:rsidRDefault="009A0EDE" w:rsidP="009A0EDE">
                <w:pPr>
                  <w:spacing w:after="0" w:line="240" w:lineRule="auto"/>
                  <w:jc w:val="both"/>
                  <w:rPr>
                    <w:rFonts w:eastAsia="Calibri" w:cstheme="minorHAnsi"/>
                    <w:color w:val="000000" w:themeColor="text1"/>
                    <w:spacing w:val="-8"/>
                    <w:sz w:val="22"/>
                    <w:szCs w:val="22"/>
                    <w:lang w:eastAsia="en-US"/>
                  </w:rPr>
                </w:pPr>
                <w:r w:rsidRPr="0082199B">
                  <w:rPr>
                    <w:rFonts w:eastAsia="Calibri" w:cstheme="minorHAnsi"/>
                    <w:color w:val="000000" w:themeColor="text1"/>
                    <w:spacing w:val="-8"/>
                    <w:sz w:val="22"/>
                    <w:szCs w:val="22"/>
                    <w:lang w:eastAsia="en-US"/>
                  </w:rPr>
                  <w:t>Perkančioji organizacija, vadovaujantis VPĮ 28 straipsnio 2 dalies nuostata, priėmė sprendimą pirkimo objekto į dalis neskaidyti.  Sprendimas grindžiamas žemiau nurodytais motyvais.</w:t>
                </w:r>
              </w:p>
              <w:p w14:paraId="43B2119B" w14:textId="77777777" w:rsidR="009A0EDE" w:rsidRPr="0082199B" w:rsidRDefault="009A0EDE" w:rsidP="009A0EDE">
                <w:pPr>
                  <w:spacing w:after="0" w:line="240" w:lineRule="auto"/>
                  <w:jc w:val="both"/>
                  <w:rPr>
                    <w:rStyle w:val="ui-provider"/>
                  </w:rPr>
                </w:pPr>
                <w:r w:rsidRPr="0082199B">
                  <w:rPr>
                    <w:rStyle w:val="ui-provider"/>
                  </w:rPr>
                  <w:t>Pirkimo objekto skaidymas į dalis neužtikrintų efektyvaus pirkimo vykdymo, kadangi įsigyjami vieno tipo ir galingumo generatoriai. Generatoriai turi būti sukomplektuoti su važiuoklėmis/priekabomis, kurios turi užtikrinti saugų generatoriaus transportavimą. Tam būtinas generatoriaus suderinimas su važiuoklėmis/priekabomis, kuris turi būti užtikrintas tiekėjo ir gali būti įgyvendintas tik iš karto komplektuojant generatorius su važiuokle/priekaba. Tai turi būti atlikta tiekėjo. </w:t>
                </w:r>
              </w:p>
              <w:p w14:paraId="1A20E13F" w14:textId="1CA7D5D1" w:rsidR="0056414F" w:rsidRPr="0082199B" w:rsidRDefault="009A0EDE" w:rsidP="009A0EDE">
                <w:pPr>
                  <w:spacing w:after="0" w:line="240" w:lineRule="auto"/>
                  <w:jc w:val="both"/>
                  <w:rPr>
                    <w:rFonts w:eastAsia="Calibri" w:cstheme="minorHAnsi"/>
                    <w:color w:val="000000" w:themeColor="text1"/>
                    <w:spacing w:val="-8"/>
                    <w:sz w:val="22"/>
                    <w:szCs w:val="22"/>
                    <w:lang w:eastAsia="en-US"/>
                  </w:rPr>
                </w:pPr>
                <w:r w:rsidRPr="0082199B">
                  <w:rPr>
                    <w:rFonts w:cs="Times New Roman"/>
                  </w:rPr>
                  <w:t xml:space="preserve">Skaidant pirkimo objektą į dalis kiltų rizika, kad skirtingose dalyse būtų pasiūlytos skirtingos </w:t>
                </w:r>
                <w:r w:rsidRPr="0082199B">
                  <w:rPr>
                    <w:rFonts w:cstheme="minorHAnsi"/>
                  </w:rPr>
                  <w:t>komplektacijos generatoriai</w:t>
                </w:r>
                <w:r w:rsidRPr="0082199B">
                  <w:rPr>
                    <w:rFonts w:cs="Times New Roman"/>
                  </w:rPr>
                  <w:t xml:space="preserve">,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ginkluotųjų pajėgų dėmesys būtų skiriamas jų tiesioginėms funkcijoms; į naudos gavėjo  poreikį, kad visa komplektacija būtų to paties gamintojo;  atsižvelgiant į projekto tikslus bei pirkimo objekto paskirtį, šiuo pirkimu siekiama užtikrinti, kad pirkimo objektą sudarytų vienodos komplektacijos generatoriai. Vertinant šiuo aspektu, kyla rizika, kad sudarius sutartis dėl skirtingų komplektacijų, </w:t>
                </w:r>
                <w:r w:rsidRPr="0082199B">
                  <w:rPr>
                    <w:rFonts w:cs="Times New Roman"/>
                  </w:rPr>
                  <w:lastRenderedPageBreak/>
                  <w:t>sutartinių įsipareigojimų, susijusių su įrangos technine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43F0673"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w:t>
          </w:r>
          <w:r w:rsidR="00FB30FD">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82199B"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shd w:val="clear" w:color="auto" w:fill="auto"/>
              </w:tcPr>
              <w:p w14:paraId="5CC309F3" w14:textId="07193D26" w:rsidR="009C0073" w:rsidRPr="0082199B"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82199B">
                  <w:rPr>
                    <w:rFonts w:eastAsia="Calibri" w:cstheme="minorHAnsi"/>
                    <w:spacing w:val="-8"/>
                    <w:sz w:val="22"/>
                    <w:szCs w:val="22"/>
                    <w:lang w:eastAsia="en-US"/>
                  </w:rPr>
                  <w:t xml:space="preserve">sutarčių yra savo jėgomis </w:t>
                </w:r>
                <w:r w:rsidR="00B45A8A" w:rsidRPr="0082199B">
                  <w:rPr>
                    <w:rFonts w:eastAsia="Calibri" w:cstheme="minorHAnsi"/>
                    <w:spacing w:val="-8"/>
                    <w:sz w:val="22"/>
                    <w:szCs w:val="22"/>
                    <w:lang w:eastAsia="en-US"/>
                  </w:rPr>
                  <w:t>pagaminę</w:t>
                </w:r>
                <w:r w:rsidR="00CC0396" w:rsidRPr="0082199B">
                  <w:rPr>
                    <w:rFonts w:eastAsia="Calibri" w:cstheme="minorHAnsi"/>
                    <w:spacing w:val="-8"/>
                    <w:sz w:val="22"/>
                    <w:szCs w:val="22"/>
                    <w:lang w:eastAsia="en-US"/>
                  </w:rPr>
                  <w:t>s</w:t>
                </w:r>
                <w:r w:rsidR="00B45A8A" w:rsidRPr="0082199B">
                  <w:rPr>
                    <w:rFonts w:eastAsia="Calibri" w:cstheme="minorHAnsi"/>
                    <w:spacing w:val="-8"/>
                    <w:sz w:val="22"/>
                    <w:szCs w:val="22"/>
                    <w:lang w:eastAsia="en-US"/>
                  </w:rPr>
                  <w:t xml:space="preserve"> ar/ir pardavęs </w:t>
                </w:r>
                <w:r w:rsidR="009A0EDE" w:rsidRPr="0082199B">
                  <w:rPr>
                    <w:rFonts w:ascii="Calibri" w:eastAsia="Calibri" w:hAnsi="Calibri" w:cs="Calibri"/>
                    <w:spacing w:val="-8"/>
                  </w:rPr>
                  <w:t>generatorių</w:t>
                </w:r>
                <w:r w:rsidRPr="0082199B">
                  <w:rPr>
                    <w:rFonts w:eastAsia="Calibri" w:cstheme="minorHAnsi"/>
                    <w:spacing w:val="-8"/>
                    <w:sz w:val="22"/>
                    <w:szCs w:val="22"/>
                    <w:lang w:eastAsia="en-US"/>
                  </w:rPr>
                  <w:t xml:space="preserve">, už ne mažesnę nei </w:t>
                </w:r>
                <w:r w:rsidR="009A0EDE" w:rsidRPr="0082199B">
                  <w:rPr>
                    <w:rFonts w:eastAsia="Calibri" w:cstheme="minorHAnsi"/>
                    <w:spacing w:val="-8"/>
                    <w:sz w:val="22"/>
                    <w:szCs w:val="22"/>
                    <w:lang w:eastAsia="en-US"/>
                  </w:rPr>
                  <w:t>38</w:t>
                </w:r>
                <w:r w:rsidR="00316CA1" w:rsidRPr="0082199B">
                  <w:rPr>
                    <w:rFonts w:eastAsia="Calibri" w:cstheme="minorHAnsi"/>
                    <w:spacing w:val="-8"/>
                    <w:sz w:val="22"/>
                    <w:szCs w:val="22"/>
                    <w:lang w:eastAsia="en-US"/>
                  </w:rPr>
                  <w:t> 000,00</w:t>
                </w:r>
                <w:r w:rsidRPr="0082199B">
                  <w:rPr>
                    <w:rFonts w:eastAsia="Calibri" w:cstheme="minorHAnsi"/>
                    <w:spacing w:val="-8"/>
                    <w:sz w:val="22"/>
                    <w:szCs w:val="22"/>
                    <w:lang w:eastAsia="en-US"/>
                  </w:rPr>
                  <w:t xml:space="preserve"> Eur be PVM bendrą vertę</w:t>
                </w:r>
                <w:r w:rsidR="00713CDA" w:rsidRPr="0082199B">
                  <w:rPr>
                    <w:rFonts w:eastAsia="Calibri" w:cstheme="minorHAnsi"/>
                    <w:spacing w:val="-8"/>
                    <w:sz w:val="22"/>
                    <w:szCs w:val="22"/>
                    <w:lang w:eastAsia="en-US"/>
                  </w:rPr>
                  <w:t xml:space="preserve"> (vykdomų sutarčių – įvykdyta dalis)</w:t>
                </w:r>
                <w:r w:rsidRPr="0082199B">
                  <w:rPr>
                    <w:rFonts w:eastAsia="Calibri" w:cstheme="minorHAnsi"/>
                    <w:spacing w:val="-8"/>
                    <w:sz w:val="22"/>
                    <w:szCs w:val="22"/>
                    <w:lang w:eastAsia="en-US"/>
                  </w:rPr>
                  <w:t xml:space="preserve">. </w:t>
                </w:r>
              </w:p>
              <w:p w14:paraId="42CB40FA" w14:textId="77777777" w:rsidR="00EB2368" w:rsidRPr="0082199B"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sidRPr="0082199B">
                  <w:rPr>
                    <w:rFonts w:eastAsia="Calibri" w:cstheme="minorHAnsi"/>
                    <w:spacing w:val="-8"/>
                    <w:sz w:val="22"/>
                    <w:szCs w:val="22"/>
                    <w:lang w:eastAsia="en-US"/>
                  </w:rPr>
                  <w:t>Pardavimas yra</w:t>
                </w:r>
                <w:r>
                  <w:rPr>
                    <w:rFonts w:eastAsia="Calibri" w:cstheme="minorHAnsi"/>
                    <w:spacing w:val="-8"/>
                    <w:sz w:val="22"/>
                    <w:szCs w:val="22"/>
                    <w:lang w:eastAsia="en-US"/>
                  </w:rPr>
                  <w:t xml:space="preserve">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lastRenderedPageBreak/>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shd w:val="clear" w:color="auto" w:fill="auto"/>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32D0ED7D"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w:t>
                </w:r>
                <w:r w:rsidR="00086017">
                  <w:rPr>
                    <w:rFonts w:eastAsia="Calibri" w:cstheme="minorHAnsi"/>
                    <w:color w:val="000000" w:themeColor="text1"/>
                    <w:spacing w:val="-8"/>
                    <w:sz w:val="22"/>
                    <w:szCs w:val="22"/>
                    <w:lang w:eastAsia="en-US"/>
                  </w:rPr>
                  <w:lastRenderedPageBreak/>
                  <w:t xml:space="preserve">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15C551F2"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316CA1">
                <w:rPr>
                  <w:rFonts w:eastAsia="Times New Roman" w:cstheme="minorHAnsi"/>
                  <w:color w:val="000000" w:themeColor="text1"/>
                  <w:spacing w:val="-8"/>
                  <w:sz w:val="22"/>
                  <w:szCs w:val="22"/>
                  <w:lang w:eastAsia="en-US"/>
                </w:rPr>
                <w:t>kainą</w:t>
              </w:r>
            </w:sdtContent>
          </w:sdt>
          <w:r w:rsidR="002C43E9" w:rsidRPr="00302A53">
            <w:rPr>
              <w:rFonts w:eastAsia="Times New Roman" w:cstheme="minorHAnsi"/>
              <w:color w:val="000000" w:themeColor="text1"/>
              <w:spacing w:val="-8"/>
              <w:sz w:val="22"/>
              <w:szCs w:val="22"/>
              <w:lang w:eastAsia="en-US"/>
            </w:rPr>
            <w:t>.</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316CA1"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316CA1">
            <w:rPr>
              <w:rFonts w:cstheme="minorHAnsi"/>
              <w:color w:val="000000" w:themeColor="text1"/>
              <w:spacing w:val="-8"/>
              <w:sz w:val="22"/>
              <w:szCs w:val="22"/>
            </w:rPr>
            <w:t xml:space="preserve">Su pirkimo laimėtoju bus sudaroma pirkimo sutartis pagal Pirkimo sąlygų </w:t>
          </w:r>
          <w:r w:rsidR="00BF7CE5" w:rsidRPr="00316CA1">
            <w:rPr>
              <w:rFonts w:cstheme="minorHAnsi"/>
              <w:color w:val="000000" w:themeColor="text1"/>
              <w:spacing w:val="-8"/>
              <w:sz w:val="22"/>
              <w:szCs w:val="22"/>
            </w:rPr>
            <w:t>7</w:t>
          </w:r>
          <w:r w:rsidRPr="00316CA1">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w:t>
                </w:r>
                <w:r w:rsidRPr="00D21083">
                  <w:rPr>
                    <w:rFonts w:asciiTheme="minorHAnsi" w:eastAsia="Times New Roman" w:cstheme="minorHAnsi"/>
                    <w:color w:val="000000" w:themeColor="text1"/>
                    <w:spacing w:val="-8"/>
                    <w:sz w:val="22"/>
                    <w:szCs w:val="22"/>
                  </w:rPr>
                  <w:lastRenderedPageBreak/>
                  <w:t>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lastRenderedPageBreak/>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16685A98"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316CA1">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w:t>
                </w:r>
                <w:r w:rsidRPr="00302A53">
                  <w:rPr>
                    <w:rFonts w:asciiTheme="minorHAnsi" w:cstheme="minorHAnsi"/>
                    <w:sz w:val="22"/>
                    <w:szCs w:val="22"/>
                  </w:rPr>
                  <w:lastRenderedPageBreak/>
                  <w:t xml:space="preserve">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0BA02B56" w14:textId="6BBC0327" w:rsidR="00857C2B" w:rsidRPr="00302A53" w:rsidRDefault="00E24A62"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KITOS PIRKIMO SĄLYGOS NUMATYTOS ŠIUOSE </w:t>
          </w:r>
          <w:r w:rsidR="00857C2B" w:rsidRPr="00302A53">
            <w:rPr>
              <w:rFonts w:eastAsia="Times New Roman" w:cstheme="minorHAnsi"/>
              <w:b/>
              <w:bCs/>
              <w:color w:val="000000" w:themeColor="text1"/>
              <w:spacing w:val="-8"/>
              <w:sz w:val="22"/>
              <w:szCs w:val="22"/>
              <w:lang w:eastAsia="en-US"/>
            </w:rPr>
            <w:t>PIRKIMO SĄLYGŲ</w:t>
          </w:r>
          <w:r w:rsidRPr="00302A53">
            <w:rPr>
              <w:rFonts w:eastAsia="Times New Roman" w:cstheme="minorHAnsi"/>
              <w:b/>
              <w:bCs/>
              <w:color w:val="000000" w:themeColor="text1"/>
              <w:spacing w:val="-8"/>
              <w:sz w:val="22"/>
              <w:szCs w:val="22"/>
              <w:lang w:eastAsia="en-US"/>
            </w:rPr>
            <w:t xml:space="preserve"> SPECIALIOSIOS DALIES</w:t>
          </w:r>
          <w:r w:rsidR="00857C2B" w:rsidRPr="00302A53">
            <w:rPr>
              <w:rFonts w:eastAsia="Times New Roman" w:cstheme="minorHAnsi"/>
              <w:b/>
              <w:bCs/>
              <w:color w:val="000000" w:themeColor="text1"/>
              <w:spacing w:val="-8"/>
              <w:sz w:val="22"/>
              <w:szCs w:val="22"/>
              <w:lang w:eastAsia="en-US"/>
            </w:rPr>
            <w:t xml:space="preserve"> PRIED</w:t>
          </w:r>
          <w:r w:rsidRPr="00302A53">
            <w:rPr>
              <w:rFonts w:eastAsia="Times New Roman" w:cstheme="minorHAnsi"/>
              <w:b/>
              <w:bCs/>
              <w:color w:val="000000" w:themeColor="text1"/>
              <w:spacing w:val="-8"/>
              <w:sz w:val="22"/>
              <w:szCs w:val="22"/>
              <w:lang w:eastAsia="en-US"/>
            </w:rPr>
            <w:t>UOSE</w:t>
          </w:r>
        </w:p>
        <w:p w14:paraId="70A66F83" w14:textId="13EB04D1"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.1. 1 priedas „</w:t>
          </w:r>
          <w:r w:rsidR="006E0CFF" w:rsidRPr="005D7362">
            <w:rPr>
              <w:rFonts w:eastAsia="Times New Roman" w:cstheme="minorHAnsi"/>
              <w:color w:val="000000" w:themeColor="text1"/>
              <w:spacing w:val="-8"/>
              <w:sz w:val="22"/>
              <w:szCs w:val="22"/>
              <w:lang w:eastAsia="en-US"/>
            </w:rPr>
            <w:t>Pirkimo sąlygų b</w:t>
          </w:r>
          <w:r w:rsidR="00857C2B" w:rsidRPr="005D7362">
            <w:rPr>
              <w:rFonts w:eastAsia="Times New Roman" w:cstheme="minorHAnsi"/>
              <w:color w:val="000000" w:themeColor="text1"/>
              <w:spacing w:val="-8"/>
              <w:sz w:val="22"/>
              <w:szCs w:val="22"/>
              <w:lang w:eastAsia="en-US"/>
            </w:rPr>
            <w:t>endro</w:t>
          </w:r>
          <w:r w:rsidR="006E0CFF" w:rsidRPr="005D7362">
            <w:rPr>
              <w:rFonts w:eastAsia="Times New Roman" w:cstheme="minorHAnsi"/>
              <w:color w:val="000000" w:themeColor="text1"/>
              <w:spacing w:val="-8"/>
              <w:sz w:val="22"/>
              <w:szCs w:val="22"/>
              <w:lang w:eastAsia="en-US"/>
            </w:rPr>
            <w:t>ji</w:t>
          </w:r>
          <w:r w:rsidR="00857C2B" w:rsidRPr="005D7362">
            <w:rPr>
              <w:rFonts w:eastAsia="Times New Roman" w:cstheme="minorHAnsi"/>
              <w:color w:val="000000" w:themeColor="text1"/>
              <w:spacing w:val="-8"/>
              <w:sz w:val="22"/>
              <w:szCs w:val="22"/>
              <w:lang w:eastAsia="en-US"/>
            </w:rPr>
            <w:t xml:space="preserve"> </w:t>
          </w:r>
          <w:r w:rsidR="006E0CFF" w:rsidRPr="005D7362">
            <w:rPr>
              <w:rFonts w:eastAsia="Times New Roman" w:cstheme="minorHAnsi"/>
              <w:color w:val="000000" w:themeColor="text1"/>
              <w:spacing w:val="-8"/>
              <w:sz w:val="22"/>
              <w:szCs w:val="22"/>
              <w:lang w:eastAsia="en-US"/>
            </w:rPr>
            <w:t>dalis</w:t>
          </w:r>
          <w:r w:rsidR="00857C2B" w:rsidRPr="005D7362">
            <w:rPr>
              <w:rFonts w:eastAsia="Times New Roman" w:cstheme="minorHAnsi"/>
              <w:color w:val="000000" w:themeColor="text1"/>
              <w:spacing w:val="-8"/>
              <w:sz w:val="22"/>
              <w:szCs w:val="22"/>
              <w:lang w:eastAsia="en-US"/>
            </w:rPr>
            <w:t>“</w:t>
          </w:r>
        </w:p>
        <w:p w14:paraId="3D0CE23E" w14:textId="772F3075"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.2. 2 priedas „Techninė specifikacija“</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1856B7F7" w14:textId="3BA47974" w:rsidR="00995841"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857C2B" w:rsidRPr="005D7362">
            <w:rPr>
              <w:rFonts w:eastAsia="Times New Roman" w:cstheme="minorHAnsi"/>
              <w:color w:val="000000" w:themeColor="text1"/>
              <w:spacing w:val="-8"/>
              <w:sz w:val="22"/>
              <w:szCs w:val="22"/>
              <w:lang w:eastAsia="en-US"/>
            </w:rPr>
            <w:t xml:space="preserve">.3. </w:t>
          </w:r>
          <w:r w:rsidR="00995841" w:rsidRPr="005D7362">
            <w:rPr>
              <w:rFonts w:eastAsia="Times New Roman" w:cstheme="minorHAnsi"/>
              <w:color w:val="000000" w:themeColor="text1"/>
              <w:spacing w:val="-8"/>
              <w:sz w:val="22"/>
              <w:szCs w:val="22"/>
              <w:lang w:eastAsia="en-US"/>
            </w:rPr>
            <w:t xml:space="preserve">3 priedas „EBVPD“ (XML </w:t>
          </w:r>
          <w:r w:rsidR="00664DD8">
            <w:rPr>
              <w:rFonts w:eastAsia="Times New Roman" w:cstheme="minorHAnsi"/>
              <w:color w:val="000000" w:themeColor="text1"/>
              <w:spacing w:val="-8"/>
              <w:sz w:val="22"/>
              <w:szCs w:val="22"/>
              <w:lang w:eastAsia="en-US"/>
            </w:rPr>
            <w:t xml:space="preserve"> ir </w:t>
          </w:r>
          <w:proofErr w:type="spellStart"/>
          <w:r w:rsidR="00664DD8">
            <w:rPr>
              <w:rFonts w:eastAsia="Times New Roman" w:cstheme="minorHAnsi"/>
              <w:color w:val="000000" w:themeColor="text1"/>
              <w:spacing w:val="-8"/>
              <w:sz w:val="22"/>
              <w:szCs w:val="22"/>
              <w:lang w:eastAsia="en-US"/>
            </w:rPr>
            <w:t>pdf</w:t>
          </w:r>
          <w:proofErr w:type="spellEnd"/>
          <w:r w:rsidR="00664DD8">
            <w:rPr>
              <w:rFonts w:eastAsia="Times New Roman" w:cstheme="minorHAnsi"/>
              <w:color w:val="000000" w:themeColor="text1"/>
              <w:spacing w:val="-8"/>
              <w:sz w:val="22"/>
              <w:szCs w:val="22"/>
              <w:lang w:eastAsia="en-US"/>
            </w:rPr>
            <w:t xml:space="preserve"> </w:t>
          </w:r>
          <w:r w:rsidR="00995841" w:rsidRPr="005D7362">
            <w:rPr>
              <w:rFonts w:eastAsia="Times New Roman" w:cstheme="minorHAnsi"/>
              <w:color w:val="000000" w:themeColor="text1"/>
              <w:spacing w:val="-8"/>
              <w:sz w:val="22"/>
              <w:szCs w:val="22"/>
              <w:lang w:eastAsia="en-US"/>
            </w:rPr>
            <w:t>format</w:t>
          </w:r>
          <w:r w:rsidR="00664DD8">
            <w:rPr>
              <w:rFonts w:eastAsia="Times New Roman" w:cstheme="minorHAnsi"/>
              <w:color w:val="000000" w:themeColor="text1"/>
              <w:spacing w:val="-8"/>
              <w:sz w:val="22"/>
              <w:szCs w:val="22"/>
              <w:lang w:eastAsia="en-US"/>
            </w:rPr>
            <w:t>ais</w:t>
          </w:r>
          <w:r w:rsidR="00995841" w:rsidRPr="005D7362">
            <w:rPr>
              <w:rFonts w:eastAsia="Times New Roman" w:cstheme="minorHAnsi"/>
              <w:color w:val="000000" w:themeColor="text1"/>
              <w:spacing w:val="-8"/>
              <w:sz w:val="22"/>
              <w:szCs w:val="22"/>
              <w:lang w:eastAsia="en-US"/>
            </w:rPr>
            <w:t>)</w:t>
          </w:r>
        </w:p>
        <w:p w14:paraId="4A307612" w14:textId="51C7005C" w:rsidR="00857C2B"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9A5878" w:rsidRPr="005D7362">
            <w:rPr>
              <w:rFonts w:eastAsia="Times New Roman" w:cstheme="minorHAnsi"/>
              <w:color w:val="000000" w:themeColor="text1"/>
              <w:spacing w:val="-8"/>
              <w:sz w:val="22"/>
              <w:szCs w:val="22"/>
              <w:lang w:eastAsia="en-US"/>
            </w:rPr>
            <w:t xml:space="preserve">.4. </w:t>
          </w:r>
          <w:r w:rsidR="00995841" w:rsidRPr="005D7362">
            <w:rPr>
              <w:rFonts w:eastAsia="Times New Roman" w:cstheme="minorHAnsi"/>
              <w:color w:val="000000" w:themeColor="text1"/>
              <w:spacing w:val="-8"/>
              <w:sz w:val="22"/>
              <w:szCs w:val="22"/>
              <w:lang w:eastAsia="en-US"/>
            </w:rPr>
            <w:t>4 priedas „Pasiūlymo forma“</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12E589E2" w14:textId="0999A2EE" w:rsidR="00BF7CE5" w:rsidRPr="005D7362" w:rsidRDefault="00BF7CE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45403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xml:space="preserve"> priedas „Tiekėjų pašalinimo pagrindai“</w:t>
          </w:r>
        </w:p>
        <w:p w14:paraId="4F6BED55" w14:textId="00E3FF2C" w:rsidR="009A5878" w:rsidRPr="005D7362" w:rsidRDefault="003C6745" w:rsidP="00BF7CE5">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26BC9" w:rsidRPr="005D7362">
            <w:rPr>
              <w:rFonts w:eastAsia="Times New Roman" w:cstheme="minorHAnsi"/>
              <w:color w:val="000000" w:themeColor="text1"/>
              <w:spacing w:val="-8"/>
              <w:sz w:val="22"/>
              <w:szCs w:val="22"/>
              <w:lang w:eastAsia="en-US"/>
            </w:rPr>
            <w:t xml:space="preserve">.6. </w:t>
          </w:r>
          <w:r w:rsidR="00FC5CED" w:rsidRPr="005D7362">
            <w:rPr>
              <w:rFonts w:eastAsia="Times New Roman" w:cstheme="minorHAnsi"/>
              <w:color w:val="000000" w:themeColor="text1"/>
              <w:spacing w:val="-8"/>
              <w:sz w:val="22"/>
              <w:szCs w:val="22"/>
              <w:lang w:eastAsia="en-US"/>
            </w:rPr>
            <w:t>6</w:t>
          </w:r>
          <w:r w:rsidR="00995841" w:rsidRPr="005D7362">
            <w:rPr>
              <w:rFonts w:eastAsia="Times New Roman" w:cstheme="minorHAnsi"/>
              <w:color w:val="000000" w:themeColor="text1"/>
              <w:spacing w:val="-8"/>
              <w:sz w:val="22"/>
              <w:szCs w:val="22"/>
              <w:lang w:eastAsia="en-US"/>
            </w:rPr>
            <w:t xml:space="preserve"> priedas „</w:t>
          </w:r>
          <w:r w:rsidR="005433E0" w:rsidRPr="005D7362">
            <w:rPr>
              <w:rFonts w:eastAsia="Calibri" w:cstheme="minorHAnsi"/>
              <w:color w:val="000000" w:themeColor="text1"/>
              <w:sz w:val="22"/>
              <w:szCs w:val="22"/>
            </w:rPr>
            <w:t xml:space="preserve">Tiekėjo </w:t>
          </w:r>
          <w:r w:rsidR="00092CF1" w:rsidRPr="005D7362">
            <w:rPr>
              <w:rFonts w:eastAsia="Calibri" w:cstheme="minorHAnsi"/>
              <w:color w:val="000000" w:themeColor="text1"/>
              <w:sz w:val="22"/>
              <w:szCs w:val="22"/>
            </w:rPr>
            <w:t xml:space="preserve">prekių </w:t>
          </w:r>
          <w:r w:rsidR="005433E0" w:rsidRPr="005D7362">
            <w:rPr>
              <w:rFonts w:eastAsia="Calibri" w:cstheme="minorHAnsi"/>
              <w:color w:val="000000" w:themeColor="text1"/>
              <w:sz w:val="22"/>
              <w:szCs w:val="22"/>
            </w:rPr>
            <w:t>sąrašas</w:t>
          </w:r>
          <w:r w:rsidR="00995841" w:rsidRPr="005D7362">
            <w:rPr>
              <w:rFonts w:eastAsia="Times New Roman" w:cstheme="minorHAnsi"/>
              <w:color w:val="000000" w:themeColor="text1"/>
              <w:spacing w:val="-8"/>
              <w:sz w:val="22"/>
              <w:szCs w:val="22"/>
              <w:lang w:eastAsia="en-US"/>
            </w:rPr>
            <w:t>“</w:t>
          </w:r>
        </w:p>
        <w:p w14:paraId="7FA36811" w14:textId="62EFD6F5" w:rsidR="004B74E5" w:rsidRDefault="003C6745" w:rsidP="00BF7CE5">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sidR="007B5437" w:rsidRPr="005D7362">
            <w:rPr>
              <w:rFonts w:eastAsia="Times New Roman" w:cstheme="minorHAnsi"/>
              <w:color w:val="000000" w:themeColor="text1"/>
              <w:spacing w:val="-8"/>
              <w:sz w:val="22"/>
              <w:szCs w:val="22"/>
              <w:lang w:eastAsia="en-US"/>
            </w:rPr>
            <w:t>.</w:t>
          </w:r>
          <w:r w:rsidR="00454032">
            <w:rPr>
              <w:rFonts w:eastAsia="Times New Roman" w:cstheme="minorHAnsi"/>
              <w:color w:val="000000" w:themeColor="text1"/>
              <w:spacing w:val="-8"/>
              <w:sz w:val="22"/>
              <w:szCs w:val="22"/>
              <w:lang w:eastAsia="en-US"/>
            </w:rPr>
            <w:t>7</w:t>
          </w:r>
          <w:r w:rsidR="00BF7CE5" w:rsidRPr="005D7362">
            <w:rPr>
              <w:rFonts w:eastAsia="Times New Roman" w:cstheme="minorHAnsi"/>
              <w:color w:val="000000" w:themeColor="text1"/>
              <w:spacing w:val="-8"/>
              <w:sz w:val="22"/>
              <w:szCs w:val="22"/>
              <w:lang w:eastAsia="en-US"/>
            </w:rPr>
            <w:t>.</w:t>
          </w:r>
          <w:r w:rsidR="007B5437" w:rsidRPr="005D7362">
            <w:rPr>
              <w:rFonts w:eastAsia="Times New Roman" w:cstheme="minorHAnsi"/>
              <w:color w:val="000000" w:themeColor="text1"/>
              <w:spacing w:val="-8"/>
              <w:sz w:val="22"/>
              <w:szCs w:val="22"/>
              <w:lang w:eastAsia="en-US"/>
            </w:rPr>
            <w:t xml:space="preserve"> </w:t>
          </w:r>
          <w:r w:rsidR="00FC5CED" w:rsidRPr="005D7362">
            <w:rPr>
              <w:rFonts w:eastAsia="Times New Roman" w:cstheme="minorHAnsi"/>
              <w:color w:val="000000" w:themeColor="text1"/>
              <w:spacing w:val="-8"/>
              <w:sz w:val="22"/>
              <w:szCs w:val="22"/>
              <w:lang w:eastAsia="en-US"/>
            </w:rPr>
            <w:t>7</w:t>
          </w:r>
          <w:r w:rsidR="007B5437" w:rsidRPr="005D7362">
            <w:rPr>
              <w:rFonts w:eastAsia="Times New Roman" w:cstheme="minorHAnsi"/>
              <w:color w:val="000000" w:themeColor="text1"/>
              <w:spacing w:val="-8"/>
              <w:sz w:val="22"/>
              <w:szCs w:val="22"/>
              <w:lang w:eastAsia="en-US"/>
            </w:rPr>
            <w:t xml:space="preserve"> priedas </w:t>
          </w:r>
          <w:r w:rsidR="00CD55F4" w:rsidRPr="005D7362">
            <w:rPr>
              <w:rFonts w:eastAsia="Times New Roman" w:cstheme="minorHAnsi"/>
              <w:color w:val="000000" w:themeColor="text1"/>
              <w:spacing w:val="-8"/>
              <w:sz w:val="22"/>
              <w:szCs w:val="22"/>
              <w:lang w:eastAsia="en-US"/>
            </w:rPr>
            <w:t>„Sutarties projektas“</w:t>
          </w:r>
          <w:r w:rsidR="00C9630A">
            <w:rPr>
              <w:rFonts w:eastAsia="Times New Roman" w:cstheme="minorHAnsi"/>
              <w:color w:val="000000" w:themeColor="text1"/>
              <w:spacing w:val="-8"/>
              <w:sz w:val="22"/>
              <w:szCs w:val="22"/>
              <w:lang w:eastAsia="en-US"/>
            </w:rPr>
            <w:t xml:space="preserve"> </w:t>
          </w:r>
          <w:r w:rsidR="00C9630A" w:rsidRPr="00CE48FC">
            <w:rPr>
              <w:rFonts w:eastAsia="Times New Roman" w:cstheme="minorHAnsi"/>
              <w:i/>
              <w:color w:val="000000" w:themeColor="text1"/>
              <w:spacing w:val="-8"/>
              <w:sz w:val="22"/>
              <w:szCs w:val="22"/>
              <w:lang w:eastAsia="en-US"/>
            </w:rPr>
            <w:t>(tik anglų kalba)</w:t>
          </w:r>
        </w:p>
        <w:p w14:paraId="212BBCB3" w14:textId="07D1855D" w:rsidR="006629A9" w:rsidRPr="00302A53" w:rsidRDefault="0082199B" w:rsidP="005E210E">
          <w:pPr>
            <w:spacing w:after="0" w:line="240" w:lineRule="auto"/>
            <w:contextualSpacing/>
            <w:rPr>
              <w:rFonts w:cstheme="minorHAnsi"/>
              <w:color w:val="000000" w:themeColor="text1"/>
              <w:spacing w:val="-8"/>
            </w:rPr>
          </w:pPr>
        </w:p>
      </w:sdtContent>
    </w:sdt>
    <w:sectPr w:rsidR="006629A9" w:rsidRPr="00302A53"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CED8" w14:textId="77777777" w:rsidR="00402234" w:rsidRDefault="00402234" w:rsidP="00D05666">
      <w:r>
        <w:separator/>
      </w:r>
    </w:p>
  </w:endnote>
  <w:endnote w:type="continuationSeparator" w:id="0">
    <w:p w14:paraId="6A5CECDF" w14:textId="77777777" w:rsidR="00402234" w:rsidRDefault="00402234" w:rsidP="00D05666">
      <w:r>
        <w:continuationSeparator/>
      </w:r>
    </w:p>
  </w:endnote>
  <w:endnote w:type="continuationNotice" w:id="1">
    <w:p w14:paraId="0B64EFF0"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92FC" w14:textId="77777777" w:rsidR="00402234" w:rsidRDefault="00402234" w:rsidP="00D05666">
      <w:r>
        <w:separator/>
      </w:r>
    </w:p>
  </w:footnote>
  <w:footnote w:type="continuationSeparator" w:id="0">
    <w:p w14:paraId="04C9802A" w14:textId="77777777" w:rsidR="00402234" w:rsidRDefault="00402234" w:rsidP="00D05666">
      <w:r>
        <w:continuationSeparator/>
      </w:r>
    </w:p>
  </w:footnote>
  <w:footnote w:type="continuationNotice" w:id="1">
    <w:p w14:paraId="4AC60975" w14:textId="77777777" w:rsidR="00402234" w:rsidRDefault="00402234">
      <w:pPr>
        <w:spacing w:after="0" w:line="240" w:lineRule="auto"/>
      </w:pPr>
    </w:p>
  </w:footnote>
  <w:footnote w:id="2">
    <w:p w14:paraId="17B3BAB1" w14:textId="13B022F3" w:rsidR="00086017" w:rsidRDefault="00086017" w:rsidP="00CF1308">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15507966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03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7B8"/>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3F7"/>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378"/>
    <w:rsid w:val="000E1743"/>
    <w:rsid w:val="000E266E"/>
    <w:rsid w:val="000E292D"/>
    <w:rsid w:val="000E2FD9"/>
    <w:rsid w:val="000E31D4"/>
    <w:rsid w:val="000E3448"/>
    <w:rsid w:val="000E37BD"/>
    <w:rsid w:val="000E3B8C"/>
    <w:rsid w:val="000E3D2D"/>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17D6E"/>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3F47"/>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6CA1"/>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2CD2"/>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879"/>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14F"/>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B5CC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377A0"/>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0F03"/>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792"/>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99B"/>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0EDE"/>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3427"/>
    <w:rsid w:val="009F474E"/>
    <w:rsid w:val="009F47AF"/>
    <w:rsid w:val="009F4836"/>
    <w:rsid w:val="009F4870"/>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2EB"/>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6870"/>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27A7"/>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7D4"/>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2909"/>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4997"/>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A77"/>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4F4"/>
    <w:rsid w:val="00E076BB"/>
    <w:rsid w:val="00E10741"/>
    <w:rsid w:val="00E110DE"/>
    <w:rsid w:val="00E118D5"/>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69F"/>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57C"/>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 w:type="character" w:customStyle="1" w:styleId="ui-provider">
    <w:name w:val="ui-provider"/>
    <w:basedOn w:val="DefaultParagraphFont"/>
    <w:rsid w:val="009A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455173550">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290588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8761956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453F7"/>
    <w:rsid w:val="00062D23"/>
    <w:rsid w:val="000B290E"/>
    <w:rsid w:val="00136A45"/>
    <w:rsid w:val="001D2292"/>
    <w:rsid w:val="00283AC8"/>
    <w:rsid w:val="00372CD2"/>
    <w:rsid w:val="004D7F5E"/>
    <w:rsid w:val="00502DEB"/>
    <w:rsid w:val="00541B1A"/>
    <w:rsid w:val="00551BD0"/>
    <w:rsid w:val="005765BA"/>
    <w:rsid w:val="005D113F"/>
    <w:rsid w:val="006268FA"/>
    <w:rsid w:val="00767B9D"/>
    <w:rsid w:val="007A7C28"/>
    <w:rsid w:val="00820442"/>
    <w:rsid w:val="008D3BC6"/>
    <w:rsid w:val="008E607F"/>
    <w:rsid w:val="009F3427"/>
    <w:rsid w:val="009F4870"/>
    <w:rsid w:val="00AC4213"/>
    <w:rsid w:val="00AC48BF"/>
    <w:rsid w:val="00AF751C"/>
    <w:rsid w:val="00B427A7"/>
    <w:rsid w:val="00BC2E9B"/>
    <w:rsid w:val="00C2494C"/>
    <w:rsid w:val="00C4495F"/>
    <w:rsid w:val="00CA4997"/>
    <w:rsid w:val="00D93563"/>
    <w:rsid w:val="00DB50DC"/>
    <w:rsid w:val="00E023EC"/>
    <w:rsid w:val="00E074F4"/>
    <w:rsid w:val="00E47C7E"/>
    <w:rsid w:val="00F4109E"/>
    <w:rsid w:val="00F50560"/>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http://schemas.microsoft.com/office/infopath/2007/PartnerControls"/>
    <ds:schemaRef ds:uri="http://purl.org/dc/terms/"/>
    <ds:schemaRef ds:uri="http://schemas.microsoft.com/office/2006/documentManagement/types"/>
    <ds:schemaRef ds:uri="27469e8e-2b4c-4466-832b-289ca0dbc013"/>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ec5df218-dc0e-43d6-af03-ee54827ded91"/>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8</Pages>
  <Words>12975</Words>
  <Characters>7397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Laura Sungailaitė-Jurčė</cp:lastModifiedBy>
  <cp:revision>174</cp:revision>
  <dcterms:created xsi:type="dcterms:W3CDTF">2022-04-21T12:46:00Z</dcterms:created>
  <dcterms:modified xsi:type="dcterms:W3CDTF">2025-03-10T13:27:00Z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