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5249CD7" w:rsidR="00132486" w:rsidRDefault="00132486" w:rsidP="00497F13">
      <w:pPr>
        <w:keepNext/>
        <w:keepLines/>
        <w:pBdr>
          <w:bottom w:val="single" w:sz="4" w:space="0"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 xml:space="preserve">Pirkimo sąlygų </w:t>
      </w:r>
      <w:r w:rsidR="00C363D0">
        <w:rPr>
          <w:rFonts w:eastAsiaTheme="majorEastAsia" w:cstheme="minorHAnsi"/>
          <w:b/>
          <w:sz w:val="24"/>
          <w:szCs w:val="24"/>
          <w:lang w:eastAsia="lt-LT"/>
        </w:rPr>
        <w:t>2</w:t>
      </w:r>
      <w:r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Pr="00B06E14">
        <w:rPr>
          <w:rFonts w:eastAsiaTheme="majorEastAsia" w:cstheme="minorHAnsi"/>
          <w:b/>
          <w:sz w:val="24"/>
          <w:szCs w:val="24"/>
          <w:lang w:eastAsia="lt-LT"/>
        </w:rPr>
        <w:t>“</w:t>
      </w:r>
      <w:bookmarkEnd w:id="0"/>
    </w:p>
    <w:p w14:paraId="22A7E4A5" w14:textId="77777777" w:rsidR="00605B33" w:rsidRDefault="00605B33" w:rsidP="00497F13">
      <w:pPr>
        <w:ind w:left="567"/>
        <w:jc w:val="center"/>
        <w:rPr>
          <w:rFonts w:ascii="Times New Roman" w:hAnsi="Times New Roman"/>
          <w:b/>
          <w:bCs/>
          <w:color w:val="000000"/>
          <w:sz w:val="24"/>
          <w:szCs w:val="24"/>
        </w:rPr>
      </w:pPr>
    </w:p>
    <w:p w14:paraId="6EC730C6" w14:textId="79D95BE9" w:rsidR="00497F13" w:rsidRPr="0082420E" w:rsidRDefault="00497F13" w:rsidP="00497F13">
      <w:pPr>
        <w:ind w:left="567"/>
        <w:jc w:val="center"/>
        <w:rPr>
          <w:rFonts w:ascii="Times New Roman" w:hAnsi="Times New Roman"/>
          <w:color w:val="000000"/>
          <w:sz w:val="24"/>
          <w:szCs w:val="24"/>
        </w:rPr>
      </w:pPr>
      <w:r w:rsidRPr="0082420E">
        <w:rPr>
          <w:rFonts w:ascii="Times New Roman" w:hAnsi="Times New Roman"/>
          <w:b/>
          <w:bCs/>
          <w:color w:val="000000"/>
          <w:sz w:val="24"/>
          <w:szCs w:val="24"/>
        </w:rPr>
        <w:t>7-IŲ KANALŲ ANALIZATORIUS GALIOS KEITIKLIŲ CHARAKTERISTIKŲ TYRIMUI</w:t>
      </w:r>
    </w:p>
    <w:p w14:paraId="6AA71FF3" w14:textId="77777777" w:rsidR="00497F13" w:rsidRPr="0082420E" w:rsidRDefault="00497F13" w:rsidP="00497F13">
      <w:pPr>
        <w:rPr>
          <w:rFonts w:asciiTheme="majorBidi" w:hAnsiTheme="majorBidi" w:cstheme="majorBidi"/>
          <w:b/>
          <w:color w:val="000000" w:themeColor="text1"/>
        </w:rPr>
      </w:pPr>
    </w:p>
    <w:p w14:paraId="2881AF94" w14:textId="77777777" w:rsidR="00497F13" w:rsidRDefault="00497F13" w:rsidP="00497F13">
      <w:pPr>
        <w:jc w:val="center"/>
        <w:rPr>
          <w:rFonts w:ascii="Times New Roman" w:hAnsi="Times New Roman"/>
          <w:b/>
          <w:color w:val="000000" w:themeColor="text1"/>
        </w:rPr>
      </w:pPr>
      <w:r w:rsidRPr="0082420E">
        <w:rPr>
          <w:rFonts w:ascii="Times New Roman" w:hAnsi="Times New Roman"/>
          <w:b/>
          <w:color w:val="000000" w:themeColor="text1"/>
        </w:rPr>
        <w:t xml:space="preserve">BENDRIEJI REIKALAVIMAI </w:t>
      </w:r>
    </w:p>
    <w:p w14:paraId="123995BD" w14:textId="77777777" w:rsidR="00497F13" w:rsidRPr="0082420E" w:rsidRDefault="00497F13" w:rsidP="00497F13">
      <w:pPr>
        <w:spacing w:after="0" w:line="240" w:lineRule="auto"/>
        <w:ind w:firstLine="720"/>
        <w:jc w:val="both"/>
        <w:rPr>
          <w:rFonts w:ascii="Times New Roman" w:hAnsi="Times New Roman"/>
        </w:rPr>
      </w:pPr>
      <w:bookmarkStart w:id="1" w:name="_Hlk159847110"/>
      <w:r w:rsidRPr="0082420E">
        <w:rPr>
          <w:rFonts w:ascii="Times New Roman" w:hAnsi="Times New Roman"/>
        </w:rPr>
        <w:t xml:space="preserve">Kauno technologijos universitetas įgyvendina projektą „Misijomis grįstų mokslo ir inovacijų programų įgyvendinimas“  Nr. 02-002-P-001, finansuojamą 2021-2027 m. Europos sąjungos fondų, Ekonomikos gaivinimo ir atsparumo didinimo „Naujos kartos Lietuva“ priemonės ir </w:t>
      </w:r>
      <w:r w:rsidRPr="0082420E">
        <w:rPr>
          <w:rFonts w:ascii="Times New Roman" w:eastAsiaTheme="minorEastAsia" w:hAnsi="Times New Roman"/>
        </w:rPr>
        <w:t>Lietuvos</w:t>
      </w:r>
      <w:r w:rsidRPr="0082420E">
        <w:rPr>
          <w:rFonts w:ascii="Times New Roman" w:hAnsi="Times New Roman"/>
        </w:rPr>
        <w:t xml:space="preserve"> Respublikos valstybės biudžeto lėšomis. </w:t>
      </w:r>
    </w:p>
    <w:bookmarkEnd w:id="1"/>
    <w:p w14:paraId="46322663" w14:textId="77777777" w:rsidR="00497F13"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Pirkimo objektas – 7-ių kanalų analizatorius galios keitiklių charakteristikų tyrimui Kauno technologijos universiteto </w:t>
      </w:r>
      <w:r w:rsidRPr="00B1291F">
        <w:rPr>
          <w:rFonts w:ascii="Times New Roman" w:hAnsi="Times New Roman" w:cs="Times New Roman"/>
        </w:rPr>
        <w:t xml:space="preserve">kuriamam </w:t>
      </w:r>
      <w:proofErr w:type="spellStart"/>
      <w:r w:rsidRPr="00B1291F">
        <w:rPr>
          <w:rFonts w:ascii="Times New Roman" w:hAnsi="Times New Roman" w:cs="Times New Roman"/>
        </w:rPr>
        <w:t>SmartEcoTech</w:t>
      </w:r>
      <w:proofErr w:type="spellEnd"/>
      <w:r w:rsidRPr="00B1291F">
        <w:rPr>
          <w:rFonts w:ascii="Times New Roman" w:hAnsi="Times New Roman" w:cs="Times New Roman"/>
        </w:rPr>
        <w:t xml:space="preserve"> kompetencijų centrui („Sumani ir klimatui neutrali Lietuva“) (toliau – Prekė)</w:t>
      </w:r>
    </w:p>
    <w:p w14:paraId="0CF77CAF"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Pirkimo objekto  pagrindinis kodas pagal Bendrą</w:t>
      </w:r>
      <w:r>
        <w:rPr>
          <w:rFonts w:ascii="Times New Roman" w:hAnsi="Times New Roman"/>
        </w:rPr>
        <w:t>jį</w:t>
      </w:r>
      <w:r w:rsidRPr="0082420E">
        <w:rPr>
          <w:rFonts w:ascii="Times New Roman" w:hAnsi="Times New Roman"/>
        </w:rPr>
        <w:t xml:space="preserve"> viešųjų pirkimų žodyną</w:t>
      </w:r>
      <w:r w:rsidRPr="00CF7845">
        <w:rPr>
          <w:rFonts w:ascii="Times New Roman" w:hAnsi="Times New Roman"/>
        </w:rPr>
        <w:t xml:space="preserve">: </w:t>
      </w:r>
      <w:bookmarkStart w:id="2" w:name="_Hlk147224062"/>
      <w:r w:rsidRPr="00CF7845">
        <w:rPr>
          <w:rFonts w:ascii="Times New Roman" w:hAnsi="Times New Roman"/>
        </w:rPr>
        <w:t xml:space="preserve">38410000-2 – </w:t>
      </w:r>
      <w:bookmarkEnd w:id="2"/>
      <w:r w:rsidRPr="00CF7845">
        <w:rPr>
          <w:rFonts w:ascii="Times New Roman" w:hAnsi="Times New Roman"/>
        </w:rPr>
        <w:t>Matavimo prietaisai.</w:t>
      </w:r>
    </w:p>
    <w:p w14:paraId="0D76FB73" w14:textId="77777777" w:rsidR="00497F13"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Pirkimo objektas į dalis neskaidomas. </w:t>
      </w:r>
    </w:p>
    <w:p w14:paraId="28993542" w14:textId="77777777" w:rsidR="00497F13" w:rsidRPr="0082420E" w:rsidRDefault="00497F13" w:rsidP="00497F13">
      <w:pPr>
        <w:spacing w:after="0" w:line="240" w:lineRule="auto"/>
        <w:ind w:firstLine="720"/>
        <w:jc w:val="both"/>
        <w:rPr>
          <w:rFonts w:ascii="Times New Roman" w:hAnsi="Times New Roman"/>
        </w:rPr>
      </w:pPr>
      <w:r w:rsidRPr="00B1291F">
        <w:rPr>
          <w:rFonts w:ascii="Times New Roman" w:hAnsi="Times New Roman"/>
        </w:rPr>
        <w:t>Pirkimo objekto neskaidymo į dalis pagrindas:</w:t>
      </w:r>
      <w:r>
        <w:rPr>
          <w:rFonts w:ascii="Times New Roman" w:hAnsi="Times New Roman"/>
        </w:rPr>
        <w:t xml:space="preserve"> tai yra vienas analizatoriaus komplektas, kurio visi moduliai ir priedai turi būti tiek </w:t>
      </w:r>
      <w:proofErr w:type="spellStart"/>
      <w:r>
        <w:rPr>
          <w:rFonts w:ascii="Times New Roman" w:hAnsi="Times New Roman"/>
        </w:rPr>
        <w:t>aparatūriškai</w:t>
      </w:r>
      <w:proofErr w:type="spellEnd"/>
      <w:r>
        <w:rPr>
          <w:rFonts w:ascii="Times New Roman" w:hAnsi="Times New Roman"/>
        </w:rPr>
        <w:t xml:space="preserve"> suderinami (angl.: </w:t>
      </w:r>
      <w:proofErr w:type="spellStart"/>
      <w:r>
        <w:rPr>
          <w:rFonts w:ascii="Times New Roman" w:hAnsi="Times New Roman"/>
        </w:rPr>
        <w:t>Hardware</w:t>
      </w:r>
      <w:proofErr w:type="spellEnd"/>
      <w:r>
        <w:rPr>
          <w:rFonts w:ascii="Times New Roman" w:hAnsi="Times New Roman"/>
        </w:rPr>
        <w:t xml:space="preserve"> </w:t>
      </w:r>
      <w:proofErr w:type="spellStart"/>
      <w:r>
        <w:rPr>
          <w:rFonts w:ascii="Times New Roman" w:hAnsi="Times New Roman"/>
        </w:rPr>
        <w:t>compatibility</w:t>
      </w:r>
      <w:proofErr w:type="spellEnd"/>
      <w:r>
        <w:rPr>
          <w:rFonts w:ascii="Times New Roman" w:hAnsi="Times New Roman"/>
        </w:rPr>
        <w:t>), tiek programiškai atpažįstami ir palaikomi pagrindinio valdiklio (</w:t>
      </w:r>
      <w:proofErr w:type="spellStart"/>
      <w:r>
        <w:rPr>
          <w:rFonts w:ascii="Times New Roman" w:hAnsi="Times New Roman"/>
        </w:rPr>
        <w:t>ang</w:t>
      </w:r>
      <w:proofErr w:type="spellEnd"/>
      <w:r>
        <w:rPr>
          <w:rFonts w:ascii="Times New Roman" w:hAnsi="Times New Roman"/>
        </w:rPr>
        <w:t xml:space="preserve">.: </w:t>
      </w:r>
      <w:proofErr w:type="spellStart"/>
      <w:r>
        <w:rPr>
          <w:rFonts w:ascii="Times New Roman" w:hAnsi="Times New Roman"/>
        </w:rPr>
        <w:t>Software</w:t>
      </w:r>
      <w:proofErr w:type="spellEnd"/>
      <w:r>
        <w:rPr>
          <w:rFonts w:ascii="Times New Roman" w:hAnsi="Times New Roman"/>
        </w:rPr>
        <w:t xml:space="preserve"> </w:t>
      </w:r>
      <w:proofErr w:type="spellStart"/>
      <w:r>
        <w:rPr>
          <w:rFonts w:ascii="Times New Roman" w:hAnsi="Times New Roman"/>
        </w:rPr>
        <w:t>compatibility</w:t>
      </w:r>
      <w:proofErr w:type="spellEnd"/>
      <w:r>
        <w:rPr>
          <w:rFonts w:ascii="Times New Roman" w:hAnsi="Times New Roman"/>
        </w:rPr>
        <w:t xml:space="preserve">). Išskaidžius pirkimą, pagrindinio modulio gamintojas negali prisiimti garantinių įsipareigojimų, jei su juo bus naudojami neoriginalūs komponentai ir kiti priedai. Todėl perkamas analizatoriaus komplektas yra iš esmės nedalus. </w:t>
      </w:r>
    </w:p>
    <w:p w14:paraId="189CED96"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Maksimali pirkimui skirtų lėšų suma be PVM – </w:t>
      </w:r>
      <w:r>
        <w:rPr>
          <w:rFonts w:ascii="Times New Roman" w:hAnsi="Times New Roman"/>
        </w:rPr>
        <w:t>67 000 EUR.</w:t>
      </w:r>
      <w:r w:rsidRPr="000C632D">
        <w:rPr>
          <w:rFonts w:ascii="Times New Roman" w:hAnsi="Times New Roman"/>
          <w:strike/>
          <w:highlight w:val="yellow"/>
        </w:rPr>
        <w:t xml:space="preserve"> </w:t>
      </w:r>
    </w:p>
    <w:p w14:paraId="57534757"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Šis pirkimas apima:</w:t>
      </w:r>
    </w:p>
    <w:p w14:paraId="30E4C91F"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w:t>
      </w:r>
      <w:r w:rsidRPr="0082420E">
        <w:rPr>
          <w:rFonts w:ascii="Times New Roman" w:hAnsi="Times New Roman"/>
        </w:rPr>
        <w:tab/>
        <w:t>Laboratorinės įrangos – 7-ių kanalų analizatoriaus - pristatymą, sumontavimą, instaliavimą;</w:t>
      </w:r>
    </w:p>
    <w:p w14:paraId="54046F0C"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w:t>
      </w:r>
      <w:r w:rsidRPr="0082420E">
        <w:rPr>
          <w:rFonts w:ascii="Times New Roman" w:hAnsi="Times New Roman"/>
        </w:rPr>
        <w:tab/>
        <w:t>Įrangos išbandymą, jos veikimo ir valdymo funkcijų išsamų pademonstravimą.</w:t>
      </w:r>
    </w:p>
    <w:p w14:paraId="4924EF75"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Laboratorinė įranga turi būti pristatyta tiekėjo transportu, sumontuota ir instaliuota Kauno technologijos universiteto patalpose, Tunelio g. 60, Kaune arba kitame atsakingo už sutarties vykdymą KTU darbuotojų nurodytame KTU padalinyje Kaune.</w:t>
      </w:r>
    </w:p>
    <w:p w14:paraId="29033C03"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Į prekių kainą privalo būti įskaičiuotos visos išlaidos: pakavimo, pakrovimo, </w:t>
      </w:r>
      <w:r>
        <w:rPr>
          <w:rFonts w:ascii="Times New Roman" w:hAnsi="Times New Roman"/>
        </w:rPr>
        <w:t xml:space="preserve">pristatymo, </w:t>
      </w:r>
      <w:r w:rsidRPr="0082420E">
        <w:rPr>
          <w:rFonts w:ascii="Times New Roman" w:hAnsi="Times New Roman"/>
        </w:rPr>
        <w:t>iškrovimo, montavimo, instaliavimo, su prekių tiekimu susijusios išlaidos, taip pat visi mokesčiai.</w:t>
      </w:r>
    </w:p>
    <w:p w14:paraId="7C221721"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Laboratorinė įranga turi būti pristatyta per 6 mėnesius nuo sutarties įsigaliojimo.</w:t>
      </w:r>
    </w:p>
    <w:p w14:paraId="42DE373D"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Kartu su pristatyta įranga turi būti pateikiamos darbo ir / ar eksploatavimo ir / ar priežiūros naudojimosi vadovas (instrukcijos) lietuvių ar anglų kalba.</w:t>
      </w:r>
    </w:p>
    <w:p w14:paraId="61F9E883" w14:textId="77777777" w:rsidR="00497F13" w:rsidRPr="0082420E" w:rsidRDefault="00497F13" w:rsidP="00497F13">
      <w:pPr>
        <w:spacing w:after="0" w:line="240" w:lineRule="auto"/>
        <w:ind w:firstLine="720"/>
        <w:jc w:val="both"/>
        <w:rPr>
          <w:rFonts w:ascii="Times New Roman" w:hAnsi="Times New Roman"/>
        </w:rPr>
      </w:pPr>
      <w:bookmarkStart w:id="3" w:name="_Hlk121737378"/>
      <w:r w:rsidRPr="00B8229F">
        <w:rPr>
          <w:rFonts w:ascii="Times New Roman" w:hAnsi="Times New Roman"/>
        </w:rPr>
        <w:t>Įsigyta įranga bus priimama iš tiekėjo tik tada, kai visa įsigyta įranga bus visiškai veikianti perkančiosios organizacijos patalpose, išbandyta, pademonstruotas įrangos veikimas ir valdymo funkcionavimas.</w:t>
      </w:r>
    </w:p>
    <w:bookmarkEnd w:id="3"/>
    <w:p w14:paraId="4B59E320"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7-ių kanalų analizatoriu</w:t>
      </w:r>
      <w:r>
        <w:rPr>
          <w:rFonts w:ascii="Times New Roman" w:hAnsi="Times New Roman"/>
        </w:rPr>
        <w:t>i</w:t>
      </w:r>
      <w:r w:rsidRPr="0082420E">
        <w:rPr>
          <w:rFonts w:ascii="Times New Roman" w:hAnsi="Times New Roman"/>
        </w:rPr>
        <w:t xml:space="preserve"> galios keitiklių charakteristikų tyrimui suteikiama ne mažiau 12 mėn. garantija.</w:t>
      </w:r>
    </w:p>
    <w:p w14:paraId="526B0DED" w14:textId="77777777"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Garantiniu laikotarpiu tiekėjas privalo per 20 d. d. nuo pranešimo apie gedimą dienos pašalinti gedimą, o jei tai neįmanoma atlikti vietoje - išsiųsti remontuoti gamintojui ir pateikti atsakingam už Sutarties vykdymą KTU darbuotojui išsiuntimo dokumentų kopiją.</w:t>
      </w:r>
    </w:p>
    <w:p w14:paraId="70022BFD" w14:textId="77777777" w:rsidR="00497F13" w:rsidRPr="0082420E" w:rsidRDefault="00497F13" w:rsidP="00497F13">
      <w:pPr>
        <w:ind w:firstLine="709"/>
        <w:jc w:val="both"/>
        <w:rPr>
          <w:rFonts w:ascii="Times New Roman" w:hAnsi="Times New Roman"/>
          <w:color w:val="000000" w:themeColor="text1"/>
        </w:rPr>
      </w:pPr>
      <w:r w:rsidRPr="00B8229F">
        <w:rPr>
          <w:rFonts w:ascii="Times New Roman" w:hAnsi="Times New Roman"/>
          <w:color w:val="000000" w:themeColor="text1"/>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1E5E8285" w14:textId="77777777" w:rsidR="00497F13" w:rsidRPr="0082420E" w:rsidRDefault="00497F13" w:rsidP="00497F13">
      <w:pPr>
        <w:ind w:firstLine="720"/>
        <w:jc w:val="both"/>
        <w:rPr>
          <w:rFonts w:ascii="Times New Roman" w:hAnsi="Times New Roman"/>
          <w:b/>
        </w:rPr>
      </w:pPr>
      <w:r w:rsidRPr="0082420E">
        <w:rPr>
          <w:rFonts w:ascii="Times New Roman" w:hAnsi="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82420E">
        <w:rPr>
          <w:rFonts w:ascii="Times New Roman" w:hAnsi="Times New Roman"/>
          <w:color w:val="000000" w:themeColor="text1"/>
        </w:rPr>
        <w:t>versiją).</w:t>
      </w:r>
    </w:p>
    <w:p w14:paraId="2AC1FAAA" w14:textId="77777777" w:rsidR="00497F13" w:rsidRPr="0082420E" w:rsidRDefault="00497F13" w:rsidP="00497F13">
      <w:pPr>
        <w:ind w:firstLine="720"/>
        <w:jc w:val="both"/>
        <w:rPr>
          <w:rFonts w:ascii="Times New Roman" w:hAnsi="Times New Roman"/>
          <w:color w:val="000000" w:themeColor="text1"/>
        </w:rPr>
      </w:pPr>
      <w:r w:rsidRPr="0082420E">
        <w:rPr>
          <w:rFonts w:ascii="Times New Roman" w:hAnsi="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82420E">
        <w:rPr>
          <w:rFonts w:ascii="Times New Roman" w:hAnsi="Times New Roman"/>
        </w:rPr>
        <w:t>ūs reikalavimai. Tiekėjai gali siūlyti geresnių charakteristikų pirkimo objektą.</w:t>
      </w:r>
    </w:p>
    <w:p w14:paraId="6EBA1722" w14:textId="77777777" w:rsidR="00497F13" w:rsidRPr="0082420E" w:rsidRDefault="00497F13" w:rsidP="00497F13">
      <w:pPr>
        <w:jc w:val="center"/>
        <w:rPr>
          <w:rFonts w:ascii="Times New Roman" w:hAnsi="Times New Roman"/>
          <w:b/>
          <w:bCs/>
          <w:color w:val="000000" w:themeColor="text1"/>
        </w:rPr>
      </w:pPr>
      <w:r w:rsidRPr="0082420E">
        <w:rPr>
          <w:rFonts w:ascii="Times New Roman" w:hAnsi="Times New Roman"/>
          <w:b/>
        </w:rPr>
        <w:br w:type="page"/>
      </w:r>
      <w:r w:rsidRPr="0082420E">
        <w:rPr>
          <w:rFonts w:ascii="Times New Roman" w:hAnsi="Times New Roman"/>
          <w:b/>
          <w:bCs/>
          <w:color w:val="000000" w:themeColor="text1"/>
        </w:rPr>
        <w:lastRenderedPageBreak/>
        <w:t>DETALI TECHNINĖ SPECIFIKACIJA</w:t>
      </w:r>
    </w:p>
    <w:p w14:paraId="74166936" w14:textId="77777777" w:rsidR="00497F13" w:rsidRPr="0082420E" w:rsidRDefault="00497F13" w:rsidP="00497F13">
      <w:pPr>
        <w:tabs>
          <w:tab w:val="left" w:pos="8127"/>
        </w:tabs>
        <w:rPr>
          <w:rFonts w:ascii="Times New Roman" w:hAnsi="Times New Roman"/>
          <w:b/>
        </w:rPr>
      </w:pPr>
      <w:r w:rsidRPr="0082420E">
        <w:rPr>
          <w:rFonts w:ascii="Times New Roman" w:hAnsi="Times New Roman"/>
          <w:b/>
        </w:rPr>
        <w:t>Reikalaujami techniniai parametrai (būtini ne prastesni negu nurodyti):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335"/>
        <w:gridCol w:w="3813"/>
        <w:gridCol w:w="2854"/>
      </w:tblGrid>
      <w:tr w:rsidR="00497F13" w:rsidRPr="0082420E" w14:paraId="66853612" w14:textId="77777777" w:rsidTr="00EF5D0D">
        <w:trPr>
          <w:trHeight w:val="834"/>
        </w:trPr>
        <w:tc>
          <w:tcPr>
            <w:tcW w:w="703" w:type="dxa"/>
            <w:vAlign w:val="center"/>
          </w:tcPr>
          <w:p w14:paraId="1ACF322F" w14:textId="77777777" w:rsidR="00497F13" w:rsidRPr="0082420E" w:rsidRDefault="00497F13" w:rsidP="00EF5D0D">
            <w:pPr>
              <w:spacing w:after="0" w:line="240" w:lineRule="auto"/>
              <w:rPr>
                <w:rFonts w:ascii="Times New Roman" w:hAnsi="Times New Roman"/>
                <w:b/>
              </w:rPr>
            </w:pPr>
            <w:r w:rsidRPr="0082420E">
              <w:rPr>
                <w:rFonts w:ascii="Times New Roman" w:hAnsi="Times New Roman"/>
                <w:b/>
              </w:rPr>
              <w:t>Eil.</w:t>
            </w:r>
          </w:p>
          <w:p w14:paraId="19C4E867" w14:textId="77777777" w:rsidR="00497F13" w:rsidRPr="0082420E" w:rsidRDefault="00497F13" w:rsidP="00EF5D0D">
            <w:pPr>
              <w:spacing w:after="0" w:line="240" w:lineRule="auto"/>
              <w:rPr>
                <w:rFonts w:ascii="Times New Roman" w:hAnsi="Times New Roman"/>
                <w:b/>
              </w:rPr>
            </w:pPr>
            <w:r w:rsidRPr="0082420E">
              <w:rPr>
                <w:rFonts w:ascii="Times New Roman" w:hAnsi="Times New Roman"/>
                <w:b/>
              </w:rPr>
              <w:t>Nr.</w:t>
            </w:r>
          </w:p>
        </w:tc>
        <w:tc>
          <w:tcPr>
            <w:tcW w:w="2976" w:type="dxa"/>
            <w:vAlign w:val="center"/>
          </w:tcPr>
          <w:p w14:paraId="32147B28" w14:textId="77777777" w:rsidR="00497F13" w:rsidRPr="0082420E" w:rsidRDefault="00497F13" w:rsidP="00EF5D0D">
            <w:pPr>
              <w:spacing w:after="0" w:line="240" w:lineRule="auto"/>
              <w:rPr>
                <w:rFonts w:ascii="Times New Roman" w:hAnsi="Times New Roman"/>
                <w:b/>
              </w:rPr>
            </w:pPr>
            <w:r w:rsidRPr="0082420E">
              <w:rPr>
                <w:rFonts w:ascii="Times New Roman" w:hAnsi="Times New Roman"/>
                <w:b/>
              </w:rPr>
              <w:t>Parametras</w:t>
            </w:r>
          </w:p>
        </w:tc>
        <w:tc>
          <w:tcPr>
            <w:tcW w:w="3402" w:type="dxa"/>
            <w:vAlign w:val="center"/>
          </w:tcPr>
          <w:p w14:paraId="56C568CC" w14:textId="77777777" w:rsidR="00497F13" w:rsidRPr="0082420E" w:rsidRDefault="00497F13" w:rsidP="00EF5D0D">
            <w:pPr>
              <w:spacing w:after="0" w:line="240" w:lineRule="auto"/>
              <w:rPr>
                <w:rFonts w:ascii="Times New Roman" w:hAnsi="Times New Roman"/>
                <w:b/>
              </w:rPr>
            </w:pPr>
            <w:r w:rsidRPr="0082420E">
              <w:rPr>
                <w:rFonts w:ascii="Times New Roman" w:hAnsi="Times New Roman"/>
                <w:b/>
              </w:rPr>
              <w:t>Techninis reikalavimas</w:t>
            </w:r>
          </w:p>
        </w:tc>
        <w:tc>
          <w:tcPr>
            <w:tcW w:w="2547" w:type="dxa"/>
            <w:vAlign w:val="center"/>
          </w:tcPr>
          <w:p w14:paraId="6E524DF2" w14:textId="77777777" w:rsidR="00497F13" w:rsidRPr="0082420E" w:rsidRDefault="00497F13" w:rsidP="00EF5D0D">
            <w:pPr>
              <w:spacing w:after="0" w:line="240" w:lineRule="auto"/>
              <w:rPr>
                <w:rFonts w:ascii="Times New Roman" w:hAnsi="Times New Roman"/>
                <w:b/>
              </w:rPr>
            </w:pPr>
            <w:r w:rsidRPr="0082420E">
              <w:rPr>
                <w:rFonts w:ascii="Times New Roman" w:eastAsia="Times New Roman" w:hAnsi="Times New Roman"/>
                <w:b/>
              </w:rPr>
              <w:t>Siūlomų prekių gamintojas, gaminio modelis bei konkretūs techniniai parametrai su pažymėta nuoroda, kuriame prisegtame dokumente ir jo puslapyje yra pateikta informacija apie prekės parametrą</w:t>
            </w:r>
          </w:p>
        </w:tc>
      </w:tr>
      <w:tr w:rsidR="00497F13" w:rsidRPr="0082420E" w14:paraId="6E81D404" w14:textId="77777777" w:rsidTr="00EF5D0D">
        <w:trPr>
          <w:trHeight w:val="556"/>
        </w:trPr>
        <w:tc>
          <w:tcPr>
            <w:tcW w:w="703" w:type="dxa"/>
            <w:vAlign w:val="center"/>
          </w:tcPr>
          <w:p w14:paraId="1F7845CE" w14:textId="77777777" w:rsidR="00497F13" w:rsidRPr="0082420E" w:rsidRDefault="00497F13" w:rsidP="00EF5D0D">
            <w:pPr>
              <w:spacing w:after="0" w:line="240" w:lineRule="auto"/>
              <w:jc w:val="center"/>
              <w:rPr>
                <w:rFonts w:ascii="Times New Roman" w:eastAsia="Times New Roman" w:hAnsi="Times New Roman"/>
                <w:b/>
              </w:rPr>
            </w:pPr>
            <w:r w:rsidRPr="0082420E">
              <w:rPr>
                <w:rFonts w:ascii="Times New Roman" w:eastAsia="Times New Roman" w:hAnsi="Times New Roman"/>
                <w:b/>
              </w:rPr>
              <w:t>1.</w:t>
            </w:r>
          </w:p>
        </w:tc>
        <w:tc>
          <w:tcPr>
            <w:tcW w:w="8925" w:type="dxa"/>
            <w:gridSpan w:val="3"/>
            <w:vAlign w:val="center"/>
          </w:tcPr>
          <w:p w14:paraId="641AAD93" w14:textId="77777777" w:rsidR="00497F13" w:rsidRPr="0082420E" w:rsidRDefault="00497F13" w:rsidP="00EF5D0D">
            <w:pPr>
              <w:spacing w:after="0" w:line="240" w:lineRule="auto"/>
              <w:jc w:val="center"/>
              <w:rPr>
                <w:rFonts w:ascii="Times New Roman" w:eastAsia="Times New Roman" w:hAnsi="Times New Roman"/>
                <w:b/>
              </w:rPr>
            </w:pPr>
            <w:r w:rsidRPr="0082420E">
              <w:rPr>
                <w:rFonts w:ascii="Times New Roman" w:eastAsia="Times New Roman" w:hAnsi="Times New Roman"/>
                <w:b/>
              </w:rPr>
              <w:t>7-ių kanalų analizatorius galios keitiklių charakteristikų tyrimui</w:t>
            </w:r>
            <w:r>
              <w:rPr>
                <w:rFonts w:ascii="Times New Roman" w:eastAsia="Times New Roman" w:hAnsi="Times New Roman"/>
                <w:b/>
              </w:rPr>
              <w:t xml:space="preserve">: </w:t>
            </w:r>
            <w:r w:rsidRPr="000F23B9">
              <w:rPr>
                <w:rFonts w:ascii="Times New Roman" w:eastAsia="Times New Roman" w:hAnsi="Times New Roman"/>
                <w:b/>
                <w:i/>
                <w:iCs/>
                <w:color w:val="FF0000"/>
              </w:rPr>
              <w:t>(</w:t>
            </w:r>
            <w:r w:rsidRPr="000F23B9">
              <w:rPr>
                <w:rFonts w:ascii="Times New Roman" w:eastAsia="Times New Roman" w:hAnsi="Times New Roman"/>
                <w:bCs/>
                <w:i/>
                <w:iCs/>
                <w:color w:val="FF0000"/>
              </w:rPr>
              <w:t>modelis, gamintojas)</w:t>
            </w:r>
          </w:p>
        </w:tc>
      </w:tr>
      <w:tr w:rsidR="00497F13" w:rsidRPr="0082420E" w14:paraId="146170A1" w14:textId="77777777" w:rsidTr="00EF5D0D">
        <w:tc>
          <w:tcPr>
            <w:tcW w:w="703" w:type="dxa"/>
            <w:vAlign w:val="center"/>
          </w:tcPr>
          <w:p w14:paraId="05AF81B6"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1.1</w:t>
            </w:r>
          </w:p>
        </w:tc>
        <w:tc>
          <w:tcPr>
            <w:tcW w:w="2976" w:type="dxa"/>
            <w:vAlign w:val="center"/>
          </w:tcPr>
          <w:p w14:paraId="390FD818" w14:textId="77777777" w:rsidR="00497F13" w:rsidRPr="0082420E" w:rsidRDefault="00497F13" w:rsidP="00EF5D0D">
            <w:pPr>
              <w:spacing w:after="0" w:line="240" w:lineRule="auto"/>
              <w:rPr>
                <w:rFonts w:ascii="Times New Roman" w:eastAsia="Times New Roman" w:hAnsi="Times New Roman"/>
                <w:color w:val="000000"/>
                <w:highlight w:val="yellow"/>
                <w:lang w:eastAsia="lt-LT"/>
              </w:rPr>
            </w:pPr>
            <w:r w:rsidRPr="0082420E">
              <w:rPr>
                <w:rFonts w:ascii="Times New Roman" w:eastAsia="Times New Roman" w:hAnsi="Times New Roman"/>
                <w:color w:val="000000"/>
                <w:lang w:eastAsia="lt-LT"/>
              </w:rPr>
              <w:t>7-ių kanalų analizatorius galios keitiklių charakteristikų tyrimui</w:t>
            </w:r>
          </w:p>
        </w:tc>
        <w:tc>
          <w:tcPr>
            <w:tcW w:w="3402" w:type="dxa"/>
            <w:vAlign w:val="center"/>
          </w:tcPr>
          <w:p w14:paraId="2FE1D44E" w14:textId="77777777" w:rsidR="00497F13" w:rsidRPr="0082420E" w:rsidRDefault="00497F13" w:rsidP="00EF5D0D">
            <w:pPr>
              <w:spacing w:after="0"/>
              <w:rPr>
                <w:rFonts w:ascii="Times New Roman" w:hAnsi="Times New Roman"/>
                <w:color w:val="000000"/>
              </w:rPr>
            </w:pPr>
            <w:r w:rsidRPr="0082420E">
              <w:rPr>
                <w:rFonts w:ascii="Times New Roman" w:hAnsi="Times New Roman"/>
                <w:color w:val="000000"/>
              </w:rPr>
              <w:t>Prietaisas naujas, nenaudotas, pagamintas ne anksčiau kaip prieš vienerius metus (skaičiuojant prietaiso pristatymo dieną).</w:t>
            </w:r>
          </w:p>
        </w:tc>
        <w:tc>
          <w:tcPr>
            <w:tcW w:w="2547" w:type="dxa"/>
            <w:vAlign w:val="center"/>
          </w:tcPr>
          <w:p w14:paraId="059A8809"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74BAA1A0" w14:textId="77777777" w:rsidTr="00EF5D0D">
        <w:tc>
          <w:tcPr>
            <w:tcW w:w="703" w:type="dxa"/>
            <w:vAlign w:val="center"/>
          </w:tcPr>
          <w:p w14:paraId="792A7C2B"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1.2</w:t>
            </w:r>
          </w:p>
        </w:tc>
        <w:tc>
          <w:tcPr>
            <w:tcW w:w="2976" w:type="dxa"/>
            <w:shd w:val="clear" w:color="auto" w:fill="FFFFFF"/>
            <w:vAlign w:val="center"/>
          </w:tcPr>
          <w:p w14:paraId="6DEA79DA"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Prietaiso tipas – modulinis.</w:t>
            </w:r>
          </w:p>
        </w:tc>
        <w:tc>
          <w:tcPr>
            <w:tcW w:w="3402" w:type="dxa"/>
            <w:vAlign w:val="center"/>
          </w:tcPr>
          <w:p w14:paraId="57518054" w14:textId="77777777" w:rsidR="00497F13" w:rsidRPr="0082420E" w:rsidRDefault="00497F13" w:rsidP="00EF5D0D">
            <w:pPr>
              <w:spacing w:after="0"/>
              <w:rPr>
                <w:rFonts w:ascii="Times New Roman" w:eastAsia="Times New Roman" w:hAnsi="Times New Roman"/>
              </w:rPr>
            </w:pPr>
            <w:r w:rsidRPr="0082420E">
              <w:rPr>
                <w:rFonts w:ascii="Times New Roman" w:eastAsia="Times New Roman" w:hAnsi="Times New Roman"/>
              </w:rPr>
              <w:t>Ne mažiau 7-ių galios matavimo modulių. Kiekviename modulyje būtinas vienalaikis įtampos ir srovės matavimas.</w:t>
            </w:r>
          </w:p>
        </w:tc>
        <w:tc>
          <w:tcPr>
            <w:tcW w:w="2547" w:type="dxa"/>
            <w:vAlign w:val="center"/>
          </w:tcPr>
          <w:p w14:paraId="6CB4F227"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4A953385" w14:textId="77777777" w:rsidTr="00EF5D0D">
        <w:tc>
          <w:tcPr>
            <w:tcW w:w="703" w:type="dxa"/>
            <w:vAlign w:val="center"/>
          </w:tcPr>
          <w:p w14:paraId="36D760DA"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1.3</w:t>
            </w:r>
          </w:p>
        </w:tc>
        <w:tc>
          <w:tcPr>
            <w:tcW w:w="2976" w:type="dxa"/>
            <w:shd w:val="clear" w:color="auto" w:fill="FFFFFF"/>
            <w:vAlign w:val="center"/>
          </w:tcPr>
          <w:p w14:paraId="7FAB4A0E"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 xml:space="preserve">Kiekvieno modulio vienalaikio </w:t>
            </w:r>
            <w:r w:rsidRPr="0082420E">
              <w:rPr>
                <w:rFonts w:ascii="Times New Roman" w:hAnsi="Times New Roman"/>
              </w:rPr>
              <w:t xml:space="preserve">įtampos ir srovės signalų </w:t>
            </w:r>
            <w:proofErr w:type="spellStart"/>
            <w:r w:rsidRPr="0082420E">
              <w:rPr>
                <w:rFonts w:ascii="Times New Roman" w:hAnsi="Times New Roman"/>
              </w:rPr>
              <w:t>diskretizavimo</w:t>
            </w:r>
            <w:proofErr w:type="spellEnd"/>
            <w:r w:rsidRPr="0082420E">
              <w:rPr>
                <w:rFonts w:ascii="Times New Roman" w:hAnsi="Times New Roman"/>
              </w:rPr>
              <w:t xml:space="preserve"> skyra ne mažesnė</w:t>
            </w:r>
          </w:p>
        </w:tc>
        <w:tc>
          <w:tcPr>
            <w:tcW w:w="3402" w:type="dxa"/>
            <w:vAlign w:val="center"/>
          </w:tcPr>
          <w:p w14:paraId="69450A7F" w14:textId="77777777" w:rsidR="00497F13" w:rsidRPr="0082420E" w:rsidRDefault="00497F13" w:rsidP="00EF5D0D">
            <w:pPr>
              <w:spacing w:after="0"/>
              <w:rPr>
                <w:rFonts w:ascii="Times New Roman" w:eastAsia="Times New Roman" w:hAnsi="Times New Roman"/>
              </w:rPr>
            </w:pPr>
            <w:r w:rsidRPr="0082420E">
              <w:rPr>
                <w:rFonts w:ascii="Times New Roman" w:hAnsi="Times New Roman"/>
              </w:rPr>
              <w:t>18 bitų.</w:t>
            </w:r>
          </w:p>
        </w:tc>
        <w:tc>
          <w:tcPr>
            <w:tcW w:w="2547" w:type="dxa"/>
            <w:vAlign w:val="center"/>
          </w:tcPr>
          <w:p w14:paraId="18B09D74"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40BC402D" w14:textId="77777777" w:rsidTr="00EF5D0D">
        <w:tc>
          <w:tcPr>
            <w:tcW w:w="703" w:type="dxa"/>
            <w:vAlign w:val="center"/>
          </w:tcPr>
          <w:p w14:paraId="58E660FD"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1.3</w:t>
            </w:r>
          </w:p>
        </w:tc>
        <w:tc>
          <w:tcPr>
            <w:tcW w:w="2976" w:type="dxa"/>
            <w:vAlign w:val="center"/>
          </w:tcPr>
          <w:p w14:paraId="1923A46D"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 xml:space="preserve">Kiekvieno modulio vienalaikio </w:t>
            </w:r>
            <w:r w:rsidRPr="0082420E">
              <w:rPr>
                <w:rFonts w:ascii="Times New Roman" w:hAnsi="Times New Roman"/>
              </w:rPr>
              <w:t xml:space="preserve">įtampos ir srovės signalų </w:t>
            </w:r>
            <w:proofErr w:type="spellStart"/>
            <w:r w:rsidRPr="0082420E">
              <w:rPr>
                <w:rFonts w:ascii="Times New Roman" w:hAnsi="Times New Roman"/>
              </w:rPr>
              <w:t>diskretizavimo</w:t>
            </w:r>
            <w:proofErr w:type="spellEnd"/>
            <w:r w:rsidRPr="0082420E">
              <w:rPr>
                <w:rFonts w:ascii="Times New Roman" w:hAnsi="Times New Roman"/>
              </w:rPr>
              <w:t xml:space="preserve"> dažnis ne mažesnis</w:t>
            </w:r>
          </w:p>
        </w:tc>
        <w:tc>
          <w:tcPr>
            <w:tcW w:w="3402" w:type="dxa"/>
            <w:vAlign w:val="center"/>
          </w:tcPr>
          <w:p w14:paraId="0767AD43" w14:textId="77777777" w:rsidR="00497F13" w:rsidRPr="0082420E" w:rsidRDefault="00497F13" w:rsidP="00EF5D0D">
            <w:pPr>
              <w:spacing w:after="0"/>
              <w:rPr>
                <w:rFonts w:ascii="Times New Roman" w:eastAsia="Times New Roman" w:hAnsi="Times New Roman"/>
              </w:rPr>
            </w:pPr>
            <w:r w:rsidRPr="0082420E">
              <w:rPr>
                <w:rFonts w:ascii="Times New Roman" w:eastAsia="Times New Roman" w:hAnsi="Times New Roman"/>
              </w:rPr>
              <w:t>10 </w:t>
            </w:r>
            <w:proofErr w:type="spellStart"/>
            <w:r w:rsidRPr="0082420E">
              <w:rPr>
                <w:rFonts w:ascii="Times New Roman" w:eastAsia="Times New Roman" w:hAnsi="Times New Roman"/>
              </w:rPr>
              <w:t>Ms</w:t>
            </w:r>
            <w:proofErr w:type="spellEnd"/>
            <w:r w:rsidRPr="0082420E">
              <w:rPr>
                <w:rFonts w:ascii="Times New Roman" w:eastAsia="Times New Roman" w:hAnsi="Times New Roman"/>
              </w:rPr>
              <w:t>/s.</w:t>
            </w:r>
          </w:p>
        </w:tc>
        <w:tc>
          <w:tcPr>
            <w:tcW w:w="2547" w:type="dxa"/>
            <w:vAlign w:val="center"/>
          </w:tcPr>
          <w:p w14:paraId="2F6E97A4"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58A2D46E" w14:textId="77777777" w:rsidTr="00EF5D0D">
        <w:tc>
          <w:tcPr>
            <w:tcW w:w="703" w:type="dxa"/>
            <w:vAlign w:val="center"/>
          </w:tcPr>
          <w:p w14:paraId="10F6D0C6"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1.4</w:t>
            </w:r>
          </w:p>
        </w:tc>
        <w:tc>
          <w:tcPr>
            <w:tcW w:w="2976" w:type="dxa"/>
            <w:vAlign w:val="center"/>
          </w:tcPr>
          <w:p w14:paraId="67B3E7E9" w14:textId="77777777" w:rsidR="00497F13" w:rsidRPr="0082420E" w:rsidRDefault="00497F13" w:rsidP="00EF5D0D">
            <w:pPr>
              <w:spacing w:after="0" w:line="240" w:lineRule="auto"/>
              <w:rPr>
                <w:rFonts w:ascii="Times New Roman" w:eastAsia="Times New Roman" w:hAnsi="Times New Roman"/>
                <w:color w:val="000000"/>
              </w:rPr>
            </w:pPr>
            <w:r>
              <w:rPr>
                <w:rFonts w:ascii="Times New Roman" w:hAnsi="Times New Roman"/>
              </w:rPr>
              <w:t>Kiekvieno modulio k</w:t>
            </w:r>
            <w:r w:rsidRPr="0082420E">
              <w:rPr>
                <w:rFonts w:ascii="Times New Roman" w:hAnsi="Times New Roman"/>
              </w:rPr>
              <w:t xml:space="preserve">intamosios 50 Hz įtampos ir srovės matavimo tikslumas </w:t>
            </w:r>
            <w:r w:rsidRPr="0082420E">
              <w:rPr>
                <w:rFonts w:ascii="Times New Roman" w:eastAsia="Times New Roman" w:hAnsi="Times New Roman"/>
                <w:color w:val="000000"/>
              </w:rPr>
              <w:t>– ne blogesnis kaip:</w:t>
            </w:r>
          </w:p>
        </w:tc>
        <w:tc>
          <w:tcPr>
            <w:tcW w:w="3402" w:type="dxa"/>
            <w:vAlign w:val="center"/>
          </w:tcPr>
          <w:p w14:paraId="7BD4C762" w14:textId="77777777" w:rsidR="00497F13" w:rsidRPr="0082420E" w:rsidRDefault="00497F13" w:rsidP="00EF5D0D">
            <w:pPr>
              <w:spacing w:after="0"/>
              <w:rPr>
                <w:rFonts w:ascii="Times New Roman" w:eastAsia="Times New Roman" w:hAnsi="Times New Roman"/>
              </w:rPr>
            </w:pPr>
            <w:r w:rsidRPr="0082420E">
              <w:rPr>
                <w:rFonts w:ascii="Times New Roman" w:hAnsi="Times New Roman"/>
              </w:rPr>
              <w:t>±(0.01% rodmens + 0.02% diapazono) diapazono srityje nuo 1% iki 110%.</w:t>
            </w:r>
          </w:p>
        </w:tc>
        <w:tc>
          <w:tcPr>
            <w:tcW w:w="2547" w:type="dxa"/>
            <w:vAlign w:val="center"/>
          </w:tcPr>
          <w:p w14:paraId="2CF1F077"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3114D41E" w14:textId="77777777" w:rsidTr="00EF5D0D">
        <w:tc>
          <w:tcPr>
            <w:tcW w:w="703" w:type="dxa"/>
            <w:vAlign w:val="center"/>
          </w:tcPr>
          <w:p w14:paraId="79BC5992"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1.5</w:t>
            </w:r>
          </w:p>
        </w:tc>
        <w:tc>
          <w:tcPr>
            <w:tcW w:w="2976" w:type="dxa"/>
            <w:vAlign w:val="center"/>
          </w:tcPr>
          <w:p w14:paraId="49C53F88"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Įtampos matavimo diapazonų skaičius kiekviename galios matavimo modulyje, kai signalo formos koeficientas yra ne didesnis už 3, ne mažiau:</w:t>
            </w:r>
          </w:p>
        </w:tc>
        <w:tc>
          <w:tcPr>
            <w:tcW w:w="3402" w:type="dxa"/>
            <w:vAlign w:val="center"/>
          </w:tcPr>
          <w:p w14:paraId="2F232A3C" w14:textId="77777777" w:rsidR="00497F13" w:rsidRPr="0082420E" w:rsidRDefault="00497F13" w:rsidP="00EF5D0D">
            <w:pPr>
              <w:spacing w:after="0"/>
              <w:rPr>
                <w:rFonts w:ascii="Times New Roman" w:eastAsia="Times New Roman" w:hAnsi="Times New Roman"/>
                <w:color w:val="000000"/>
              </w:rPr>
            </w:pPr>
            <w:r w:rsidRPr="0082420E">
              <w:rPr>
                <w:rFonts w:ascii="Times New Roman" w:eastAsia="Times New Roman" w:hAnsi="Times New Roman"/>
                <w:color w:val="000000"/>
              </w:rPr>
              <w:t>8-ių įtampos matavimo diapazonų:</w:t>
            </w:r>
          </w:p>
          <w:p w14:paraId="731813DD" w14:textId="77777777" w:rsidR="00497F13" w:rsidRPr="0082420E" w:rsidRDefault="00497F13" w:rsidP="00497F13">
            <w:pPr>
              <w:pStyle w:val="ListParagraph"/>
              <w:numPr>
                <w:ilvl w:val="0"/>
                <w:numId w:val="4"/>
              </w:numPr>
              <w:suppressAutoHyphens/>
              <w:spacing w:after="0" w:line="259" w:lineRule="auto"/>
              <w:ind w:left="460"/>
              <w:rPr>
                <w:rFonts w:ascii="Times New Roman" w:eastAsia="Times New Roman" w:hAnsi="Times New Roman"/>
              </w:rPr>
            </w:pPr>
            <w:r w:rsidRPr="0082420E">
              <w:rPr>
                <w:rFonts w:ascii="Times New Roman" w:eastAsia="Times New Roman" w:hAnsi="Times New Roman"/>
                <w:color w:val="000000"/>
              </w:rPr>
              <w:t>nuo ne daugiau kaip 6 V;</w:t>
            </w:r>
          </w:p>
          <w:p w14:paraId="7DBEFDD7" w14:textId="77777777" w:rsidR="00497F13" w:rsidRPr="0082420E" w:rsidRDefault="00497F13" w:rsidP="00497F13">
            <w:pPr>
              <w:pStyle w:val="ListParagraph"/>
              <w:numPr>
                <w:ilvl w:val="0"/>
                <w:numId w:val="4"/>
              </w:numPr>
              <w:suppressAutoHyphens/>
              <w:spacing w:after="0" w:line="259" w:lineRule="auto"/>
              <w:ind w:left="460"/>
              <w:rPr>
                <w:rFonts w:ascii="Times New Roman" w:eastAsia="Times New Roman" w:hAnsi="Times New Roman"/>
              </w:rPr>
            </w:pPr>
            <w:r w:rsidRPr="0082420E">
              <w:rPr>
                <w:rFonts w:ascii="Times New Roman" w:eastAsia="Times New Roman" w:hAnsi="Times New Roman"/>
                <w:color w:val="000000"/>
              </w:rPr>
              <w:t>iki ne mažiau kaip 1000 V.</w:t>
            </w:r>
          </w:p>
        </w:tc>
        <w:tc>
          <w:tcPr>
            <w:tcW w:w="2547" w:type="dxa"/>
            <w:vAlign w:val="center"/>
          </w:tcPr>
          <w:p w14:paraId="231D2B5A"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489E54F1" w14:textId="77777777" w:rsidTr="00EF5D0D">
        <w:tc>
          <w:tcPr>
            <w:tcW w:w="703" w:type="dxa"/>
            <w:vAlign w:val="center"/>
          </w:tcPr>
          <w:p w14:paraId="071A5420"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1.6</w:t>
            </w:r>
          </w:p>
        </w:tc>
        <w:tc>
          <w:tcPr>
            <w:tcW w:w="2976" w:type="dxa"/>
            <w:vAlign w:val="center"/>
          </w:tcPr>
          <w:p w14:paraId="1819FF35"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Srovės matavimo diapazonų skaičius vidutinės srovės šaltiniams pritaikytuose galios matavimo moduliuose, kai signalo formos koeficientas yra ne didesnis už 3, ne mažiau:</w:t>
            </w:r>
          </w:p>
        </w:tc>
        <w:tc>
          <w:tcPr>
            <w:tcW w:w="3402" w:type="dxa"/>
            <w:vAlign w:val="center"/>
          </w:tcPr>
          <w:p w14:paraId="386054D8" w14:textId="77777777" w:rsidR="00497F13" w:rsidRPr="0082420E" w:rsidRDefault="00497F13" w:rsidP="00EF5D0D">
            <w:pPr>
              <w:spacing w:after="0"/>
              <w:rPr>
                <w:rFonts w:ascii="Times New Roman" w:eastAsia="Times New Roman" w:hAnsi="Times New Roman"/>
                <w:color w:val="000000"/>
              </w:rPr>
            </w:pPr>
            <w:r w:rsidRPr="0082420E">
              <w:rPr>
                <w:rFonts w:ascii="Times New Roman" w:eastAsia="Times New Roman" w:hAnsi="Times New Roman"/>
                <w:color w:val="000000"/>
              </w:rPr>
              <w:t>6-ių srovės matavimo diapazonų:</w:t>
            </w:r>
          </w:p>
          <w:p w14:paraId="62A3ABF9" w14:textId="77777777" w:rsidR="00497F13" w:rsidRPr="0082420E" w:rsidRDefault="00497F13" w:rsidP="00497F13">
            <w:pPr>
              <w:pStyle w:val="ListParagraph"/>
              <w:numPr>
                <w:ilvl w:val="0"/>
                <w:numId w:val="5"/>
              </w:numPr>
              <w:suppressAutoHyphens/>
              <w:spacing w:after="0" w:line="259" w:lineRule="auto"/>
              <w:ind w:left="460"/>
              <w:rPr>
                <w:rFonts w:ascii="Times New Roman" w:eastAsia="Times New Roman" w:hAnsi="Times New Roman"/>
              </w:rPr>
            </w:pPr>
            <w:r w:rsidRPr="0082420E">
              <w:rPr>
                <w:rFonts w:ascii="Times New Roman" w:eastAsia="Times New Roman" w:hAnsi="Times New Roman"/>
                <w:color w:val="000000"/>
              </w:rPr>
              <w:t>nuo ne daugiau kaip 1 A;</w:t>
            </w:r>
          </w:p>
          <w:p w14:paraId="3C095091" w14:textId="77777777" w:rsidR="00497F13" w:rsidRPr="0082420E" w:rsidRDefault="00497F13" w:rsidP="00497F13">
            <w:pPr>
              <w:pStyle w:val="ListParagraph"/>
              <w:numPr>
                <w:ilvl w:val="0"/>
                <w:numId w:val="5"/>
              </w:numPr>
              <w:suppressAutoHyphens/>
              <w:spacing w:after="0" w:line="259" w:lineRule="auto"/>
              <w:ind w:left="460"/>
              <w:rPr>
                <w:rFonts w:ascii="Times New Roman" w:eastAsia="Times New Roman" w:hAnsi="Times New Roman"/>
              </w:rPr>
            </w:pPr>
            <w:r w:rsidRPr="0082420E">
              <w:rPr>
                <w:rFonts w:ascii="Times New Roman" w:eastAsia="Times New Roman" w:hAnsi="Times New Roman"/>
                <w:color w:val="000000"/>
              </w:rPr>
              <w:t>iki ne mažiau kaip 30 A.</w:t>
            </w:r>
          </w:p>
        </w:tc>
        <w:tc>
          <w:tcPr>
            <w:tcW w:w="2547" w:type="dxa"/>
            <w:vAlign w:val="center"/>
          </w:tcPr>
          <w:p w14:paraId="4C648DBC"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23B8B8E7" w14:textId="77777777" w:rsidTr="00EF5D0D">
        <w:tc>
          <w:tcPr>
            <w:tcW w:w="703" w:type="dxa"/>
            <w:vAlign w:val="center"/>
          </w:tcPr>
          <w:p w14:paraId="7D2D6DC0"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1.7</w:t>
            </w:r>
          </w:p>
        </w:tc>
        <w:tc>
          <w:tcPr>
            <w:tcW w:w="2976" w:type="dxa"/>
            <w:vAlign w:val="center"/>
          </w:tcPr>
          <w:p w14:paraId="52D85489"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Mechaninės galios matavimo kanalų skaičius ne mažiau:</w:t>
            </w:r>
          </w:p>
        </w:tc>
        <w:tc>
          <w:tcPr>
            <w:tcW w:w="3402" w:type="dxa"/>
            <w:vAlign w:val="center"/>
          </w:tcPr>
          <w:p w14:paraId="502FFA4A" w14:textId="77777777" w:rsidR="00497F13" w:rsidRDefault="00497F13" w:rsidP="00EF5D0D">
            <w:pPr>
              <w:spacing w:after="0"/>
              <w:rPr>
                <w:rFonts w:ascii="Times New Roman" w:hAnsi="Times New Roman"/>
              </w:rPr>
            </w:pPr>
            <w:r w:rsidRPr="0082420E">
              <w:rPr>
                <w:rFonts w:ascii="Times New Roman" w:hAnsi="Times New Roman"/>
              </w:rPr>
              <w:t>4 matavimo kanalai</w:t>
            </w:r>
            <w:r>
              <w:rPr>
                <w:rFonts w:ascii="Times New Roman" w:hAnsi="Times New Roman"/>
              </w:rPr>
              <w:t>:</w:t>
            </w:r>
          </w:p>
          <w:p w14:paraId="5BA1BFA6" w14:textId="77777777" w:rsidR="00497F13" w:rsidRDefault="00497F13" w:rsidP="00497F13">
            <w:pPr>
              <w:pStyle w:val="ListParagraph"/>
              <w:numPr>
                <w:ilvl w:val="0"/>
                <w:numId w:val="9"/>
              </w:numPr>
              <w:suppressAutoHyphens/>
              <w:spacing w:after="0" w:line="259" w:lineRule="auto"/>
              <w:rPr>
                <w:rFonts w:ascii="Times New Roman" w:eastAsiaTheme="minorHAnsi" w:hAnsi="Times New Roman"/>
              </w:rPr>
            </w:pPr>
            <w:r w:rsidRPr="004E5412">
              <w:rPr>
                <w:rFonts w:ascii="Times New Roman" w:eastAsiaTheme="minorHAnsi" w:hAnsi="Times New Roman"/>
              </w:rPr>
              <w:t>2 kanalai momento jutikliams;</w:t>
            </w:r>
          </w:p>
          <w:p w14:paraId="67422A2E" w14:textId="77777777" w:rsidR="00497F13" w:rsidRPr="0082420E" w:rsidRDefault="00497F13" w:rsidP="00497F13">
            <w:pPr>
              <w:pStyle w:val="ListParagraph"/>
              <w:numPr>
                <w:ilvl w:val="0"/>
                <w:numId w:val="9"/>
              </w:numPr>
              <w:suppressAutoHyphens/>
              <w:spacing w:after="0" w:line="259" w:lineRule="auto"/>
              <w:rPr>
                <w:rFonts w:ascii="Times New Roman" w:eastAsia="Times New Roman" w:hAnsi="Times New Roman"/>
              </w:rPr>
            </w:pPr>
            <w:r>
              <w:rPr>
                <w:rFonts w:ascii="Times New Roman" w:eastAsiaTheme="minorHAnsi" w:hAnsi="Times New Roman"/>
              </w:rPr>
              <w:t>2 kanalai</w:t>
            </w:r>
            <w:r w:rsidRPr="0082420E">
              <w:rPr>
                <w:rFonts w:ascii="Times New Roman" w:eastAsiaTheme="minorHAnsi" w:hAnsi="Times New Roman"/>
              </w:rPr>
              <w:t xml:space="preserve"> apsukų matuoklia</w:t>
            </w:r>
            <w:r>
              <w:rPr>
                <w:rFonts w:ascii="Times New Roman" w:eastAsiaTheme="minorHAnsi" w:hAnsi="Times New Roman"/>
              </w:rPr>
              <w:t>m</w:t>
            </w:r>
            <w:r w:rsidRPr="0082420E">
              <w:rPr>
                <w:rFonts w:ascii="Times New Roman" w:eastAsiaTheme="minorHAnsi" w:hAnsi="Times New Roman"/>
              </w:rPr>
              <w:t>s.</w:t>
            </w:r>
          </w:p>
        </w:tc>
        <w:tc>
          <w:tcPr>
            <w:tcW w:w="2547" w:type="dxa"/>
            <w:vAlign w:val="center"/>
          </w:tcPr>
          <w:p w14:paraId="70590F9C"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45DB28A5" w14:textId="77777777" w:rsidTr="00EF5D0D">
        <w:tc>
          <w:tcPr>
            <w:tcW w:w="703" w:type="dxa"/>
            <w:vAlign w:val="center"/>
          </w:tcPr>
          <w:p w14:paraId="009A38AF"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1.8</w:t>
            </w:r>
          </w:p>
        </w:tc>
        <w:tc>
          <w:tcPr>
            <w:tcW w:w="2976" w:type="dxa"/>
            <w:vAlign w:val="center"/>
          </w:tcPr>
          <w:p w14:paraId="377D3EFB"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Atmintis matavimo rezultatų apdorojimui ir saugojimui ne mažiau:</w:t>
            </w:r>
          </w:p>
        </w:tc>
        <w:tc>
          <w:tcPr>
            <w:tcW w:w="3402" w:type="dxa"/>
            <w:vAlign w:val="center"/>
          </w:tcPr>
          <w:p w14:paraId="5AE5FFDF" w14:textId="77777777" w:rsidR="00497F13" w:rsidRPr="0082420E" w:rsidRDefault="00497F13" w:rsidP="00EF5D0D">
            <w:pPr>
              <w:spacing w:after="0"/>
              <w:rPr>
                <w:rFonts w:ascii="Times New Roman" w:eastAsia="Times New Roman" w:hAnsi="Times New Roman"/>
              </w:rPr>
            </w:pPr>
            <w:r w:rsidRPr="0082420E">
              <w:rPr>
                <w:rFonts w:ascii="Times New Roman" w:eastAsia="Times New Roman" w:hAnsi="Times New Roman"/>
                <w:color w:val="000000"/>
              </w:rPr>
              <w:t>30 GB.</w:t>
            </w:r>
          </w:p>
        </w:tc>
        <w:tc>
          <w:tcPr>
            <w:tcW w:w="2547" w:type="dxa"/>
            <w:vAlign w:val="center"/>
          </w:tcPr>
          <w:p w14:paraId="4495E767"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749D4B9B" w14:textId="77777777" w:rsidTr="00EF5D0D">
        <w:tc>
          <w:tcPr>
            <w:tcW w:w="703" w:type="dxa"/>
            <w:vAlign w:val="center"/>
          </w:tcPr>
          <w:p w14:paraId="03B30DB3"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1.9</w:t>
            </w:r>
          </w:p>
        </w:tc>
        <w:tc>
          <w:tcPr>
            <w:tcW w:w="2976" w:type="dxa"/>
            <w:vAlign w:val="center"/>
          </w:tcPr>
          <w:p w14:paraId="072131A5" w14:textId="77777777" w:rsidR="00497F13" w:rsidRPr="0082420E" w:rsidRDefault="00497F13" w:rsidP="00EF5D0D">
            <w:pPr>
              <w:spacing w:after="0" w:line="240" w:lineRule="auto"/>
              <w:rPr>
                <w:rFonts w:ascii="Times New Roman" w:eastAsia="Times New Roman" w:hAnsi="Times New Roman"/>
                <w:color w:val="000000"/>
              </w:rPr>
            </w:pPr>
            <w:r>
              <w:rPr>
                <w:rFonts w:ascii="Times New Roman" w:hAnsi="Times New Roman"/>
              </w:rPr>
              <w:t>Matavimo d</w:t>
            </w:r>
            <w:r w:rsidRPr="0082420E">
              <w:rPr>
                <w:rFonts w:ascii="Times New Roman" w:hAnsi="Times New Roman"/>
              </w:rPr>
              <w:t>uomenų</w:t>
            </w:r>
            <w:r>
              <w:rPr>
                <w:rFonts w:ascii="Times New Roman" w:hAnsi="Times New Roman"/>
              </w:rPr>
              <w:t xml:space="preserve"> </w:t>
            </w:r>
            <w:r w:rsidRPr="0082420E">
              <w:rPr>
                <w:rFonts w:ascii="Times New Roman" w:hAnsi="Times New Roman"/>
              </w:rPr>
              <w:t>perdavim</w:t>
            </w:r>
            <w:r>
              <w:rPr>
                <w:rFonts w:ascii="Times New Roman" w:hAnsi="Times New Roman"/>
              </w:rPr>
              <w:t>as</w:t>
            </w:r>
            <w:r w:rsidRPr="0082420E">
              <w:rPr>
                <w:rFonts w:ascii="Times New Roman" w:hAnsi="Times New Roman"/>
              </w:rPr>
              <w:t xml:space="preserve"> iš analizatoriaus į kompiuterį</w:t>
            </w:r>
          </w:p>
        </w:tc>
        <w:tc>
          <w:tcPr>
            <w:tcW w:w="3402" w:type="dxa"/>
            <w:vAlign w:val="center"/>
          </w:tcPr>
          <w:p w14:paraId="1F7A4176" w14:textId="77777777" w:rsidR="00497F13" w:rsidRPr="0082420E" w:rsidRDefault="00497F13" w:rsidP="00EF5D0D">
            <w:pPr>
              <w:spacing w:after="0"/>
              <w:rPr>
                <w:rFonts w:ascii="Times New Roman" w:eastAsia="Times New Roman" w:hAnsi="Times New Roman"/>
                <w:color w:val="000000"/>
              </w:rPr>
            </w:pPr>
            <w:r>
              <w:rPr>
                <w:rFonts w:ascii="Times New Roman" w:hAnsi="Times New Roman"/>
              </w:rPr>
              <w:t>Būtinas</w:t>
            </w:r>
          </w:p>
        </w:tc>
        <w:tc>
          <w:tcPr>
            <w:tcW w:w="2547" w:type="dxa"/>
            <w:vAlign w:val="center"/>
          </w:tcPr>
          <w:p w14:paraId="302E2063"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15DDDC1B" w14:textId="77777777" w:rsidTr="00EF5D0D">
        <w:tc>
          <w:tcPr>
            <w:tcW w:w="703" w:type="dxa"/>
            <w:vAlign w:val="center"/>
          </w:tcPr>
          <w:p w14:paraId="516A6AC0"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1.10</w:t>
            </w:r>
          </w:p>
        </w:tc>
        <w:tc>
          <w:tcPr>
            <w:tcW w:w="2976" w:type="dxa"/>
            <w:vAlign w:val="center"/>
          </w:tcPr>
          <w:p w14:paraId="7A8E21E3"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 xml:space="preserve">Spalvinio, lietimui jautraus LCD ekrano įstrižainė ne mažesnė: </w:t>
            </w:r>
          </w:p>
        </w:tc>
        <w:tc>
          <w:tcPr>
            <w:tcW w:w="3402" w:type="dxa"/>
            <w:vAlign w:val="center"/>
          </w:tcPr>
          <w:p w14:paraId="39B6EF03" w14:textId="77777777" w:rsidR="00497F13" w:rsidRPr="0082420E" w:rsidRDefault="00497F13" w:rsidP="00EF5D0D">
            <w:pPr>
              <w:spacing w:after="0"/>
              <w:rPr>
                <w:rFonts w:ascii="Times New Roman" w:eastAsia="Times New Roman" w:hAnsi="Times New Roman"/>
                <w:color w:val="000000"/>
              </w:rPr>
            </w:pPr>
            <w:r w:rsidRPr="0082420E">
              <w:rPr>
                <w:rFonts w:ascii="Times New Roman" w:hAnsi="Times New Roman"/>
              </w:rPr>
              <w:t>25,6 cm.</w:t>
            </w:r>
          </w:p>
        </w:tc>
        <w:tc>
          <w:tcPr>
            <w:tcW w:w="2547" w:type="dxa"/>
            <w:vAlign w:val="center"/>
          </w:tcPr>
          <w:p w14:paraId="39FC0F25"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3BE163E4" w14:textId="77777777" w:rsidTr="00EF5D0D">
        <w:tc>
          <w:tcPr>
            <w:tcW w:w="703" w:type="dxa"/>
            <w:vAlign w:val="center"/>
          </w:tcPr>
          <w:p w14:paraId="7B51AD3B"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1.11</w:t>
            </w:r>
          </w:p>
        </w:tc>
        <w:tc>
          <w:tcPr>
            <w:tcW w:w="2976" w:type="dxa"/>
            <w:vAlign w:val="center"/>
          </w:tcPr>
          <w:p w14:paraId="076F9DD5"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eastAsia="Times New Roman" w:hAnsi="Times New Roman"/>
                <w:color w:val="000000"/>
              </w:rPr>
              <w:t>Spalvinio, lietimui jautraus LCD ekrano skyra ne prastesnė:</w:t>
            </w:r>
          </w:p>
        </w:tc>
        <w:tc>
          <w:tcPr>
            <w:tcW w:w="3402" w:type="dxa"/>
            <w:vAlign w:val="center"/>
          </w:tcPr>
          <w:p w14:paraId="6006AF59" w14:textId="77777777" w:rsidR="00497F13" w:rsidRPr="0082420E" w:rsidRDefault="00497F13" w:rsidP="00EF5D0D">
            <w:pPr>
              <w:spacing w:after="0"/>
              <w:rPr>
                <w:rFonts w:ascii="Times New Roman" w:eastAsia="Times New Roman" w:hAnsi="Times New Roman"/>
                <w:color w:val="000000"/>
              </w:rPr>
            </w:pPr>
            <w:r w:rsidRPr="0082420E">
              <w:rPr>
                <w:rFonts w:ascii="Times New Roman" w:hAnsi="Times New Roman"/>
              </w:rPr>
              <w:t>W</w:t>
            </w:r>
            <w:r>
              <w:rPr>
                <w:rFonts w:ascii="Times New Roman" w:hAnsi="Times New Roman"/>
              </w:rPr>
              <w:t>X</w:t>
            </w:r>
            <w:r w:rsidRPr="0082420E">
              <w:rPr>
                <w:rFonts w:ascii="Times New Roman" w:hAnsi="Times New Roman"/>
              </w:rPr>
              <w:t>GA.</w:t>
            </w:r>
          </w:p>
        </w:tc>
        <w:tc>
          <w:tcPr>
            <w:tcW w:w="2547" w:type="dxa"/>
            <w:vAlign w:val="center"/>
          </w:tcPr>
          <w:p w14:paraId="7B81C14B"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2188EB0D" w14:textId="77777777" w:rsidTr="00EF5D0D">
        <w:tc>
          <w:tcPr>
            <w:tcW w:w="703" w:type="dxa"/>
            <w:vAlign w:val="center"/>
          </w:tcPr>
          <w:p w14:paraId="50C1EF3A"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lastRenderedPageBreak/>
              <w:t>1.12</w:t>
            </w:r>
          </w:p>
        </w:tc>
        <w:tc>
          <w:tcPr>
            <w:tcW w:w="2976" w:type="dxa"/>
            <w:vAlign w:val="center"/>
          </w:tcPr>
          <w:p w14:paraId="3B037643"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Leistinas maitinimo įtampos svyravimo diapazonas:</w:t>
            </w:r>
          </w:p>
        </w:tc>
        <w:tc>
          <w:tcPr>
            <w:tcW w:w="3402" w:type="dxa"/>
            <w:vAlign w:val="center"/>
          </w:tcPr>
          <w:p w14:paraId="0EDCBB4A" w14:textId="77777777" w:rsidR="00497F13" w:rsidRPr="0082420E" w:rsidRDefault="00497F13" w:rsidP="00EF5D0D">
            <w:pPr>
              <w:spacing w:after="0"/>
              <w:rPr>
                <w:rFonts w:ascii="Times New Roman" w:eastAsia="Times New Roman" w:hAnsi="Times New Roman"/>
                <w:color w:val="000000"/>
              </w:rPr>
            </w:pPr>
            <w:r w:rsidRPr="0082420E">
              <w:rPr>
                <w:rFonts w:ascii="Times New Roman" w:hAnsi="Times New Roman"/>
              </w:rPr>
              <w:t>nuo 198 V</w:t>
            </w:r>
            <w:r w:rsidRPr="0082420E">
              <w:rPr>
                <w:rFonts w:ascii="Times New Roman" w:hAnsi="Times New Roman"/>
                <w:vertAlign w:val="subscript"/>
              </w:rPr>
              <w:t>AC</w:t>
            </w:r>
            <w:r w:rsidRPr="0082420E">
              <w:rPr>
                <w:rFonts w:ascii="Times New Roman" w:hAnsi="Times New Roman"/>
              </w:rPr>
              <w:t xml:space="preserve"> iki 264 V</w:t>
            </w:r>
            <w:r w:rsidRPr="0082420E">
              <w:rPr>
                <w:rFonts w:ascii="Times New Roman" w:hAnsi="Times New Roman"/>
                <w:vertAlign w:val="subscript"/>
              </w:rPr>
              <w:t>AC</w:t>
            </w:r>
            <w:r w:rsidRPr="0082420E">
              <w:rPr>
                <w:rFonts w:ascii="Times New Roman" w:hAnsi="Times New Roman"/>
              </w:rPr>
              <w:t>.</w:t>
            </w:r>
          </w:p>
        </w:tc>
        <w:tc>
          <w:tcPr>
            <w:tcW w:w="2547" w:type="dxa"/>
            <w:vAlign w:val="center"/>
          </w:tcPr>
          <w:p w14:paraId="4509BC48"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58B0F966" w14:textId="77777777" w:rsidTr="00EF5D0D">
        <w:tc>
          <w:tcPr>
            <w:tcW w:w="703" w:type="dxa"/>
            <w:vAlign w:val="center"/>
          </w:tcPr>
          <w:p w14:paraId="1CAE23D9"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1.13</w:t>
            </w:r>
          </w:p>
        </w:tc>
        <w:tc>
          <w:tcPr>
            <w:tcW w:w="2976" w:type="dxa"/>
            <w:vAlign w:val="center"/>
          </w:tcPr>
          <w:p w14:paraId="5FA1F24E"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 xml:space="preserve">Analizatorius turi </w:t>
            </w:r>
            <w:r w:rsidRPr="00213B0C">
              <w:rPr>
                <w:rFonts w:ascii="Times New Roman" w:hAnsi="Times New Roman"/>
              </w:rPr>
              <w:t>atitikti šių arba lygiaverčių</w:t>
            </w:r>
            <w:r>
              <w:rPr>
                <w:rFonts w:ascii="Times New Roman" w:hAnsi="Times New Roman"/>
              </w:rPr>
              <w:t xml:space="preserve"> </w:t>
            </w:r>
            <w:r w:rsidRPr="0082420E">
              <w:rPr>
                <w:rFonts w:ascii="Times New Roman" w:hAnsi="Times New Roman"/>
              </w:rPr>
              <w:t>standartų reikalavimus:</w:t>
            </w:r>
          </w:p>
        </w:tc>
        <w:tc>
          <w:tcPr>
            <w:tcW w:w="3402" w:type="dxa"/>
            <w:vAlign w:val="center"/>
          </w:tcPr>
          <w:p w14:paraId="62D97632" w14:textId="77777777" w:rsidR="00497F13" w:rsidRPr="0082420E" w:rsidRDefault="00497F13" w:rsidP="00497F13">
            <w:pPr>
              <w:pStyle w:val="ListParagraph"/>
              <w:numPr>
                <w:ilvl w:val="0"/>
                <w:numId w:val="6"/>
              </w:numPr>
              <w:suppressAutoHyphens/>
              <w:spacing w:after="0" w:line="259" w:lineRule="auto"/>
              <w:rPr>
                <w:rFonts w:ascii="Times New Roman" w:eastAsia="Times New Roman" w:hAnsi="Times New Roman"/>
                <w:color w:val="000000"/>
              </w:rPr>
            </w:pPr>
            <w:r w:rsidRPr="0082420E">
              <w:rPr>
                <w:rFonts w:ascii="Times New Roman" w:eastAsiaTheme="minorHAnsi" w:hAnsi="Times New Roman"/>
              </w:rPr>
              <w:t>EN 61010-1;</w:t>
            </w:r>
          </w:p>
          <w:p w14:paraId="4B985087" w14:textId="77777777" w:rsidR="00497F13" w:rsidRPr="0082420E" w:rsidRDefault="00497F13" w:rsidP="00497F13">
            <w:pPr>
              <w:pStyle w:val="ListParagraph"/>
              <w:numPr>
                <w:ilvl w:val="0"/>
                <w:numId w:val="6"/>
              </w:numPr>
              <w:suppressAutoHyphens/>
              <w:spacing w:after="0" w:line="259" w:lineRule="auto"/>
              <w:rPr>
                <w:rFonts w:ascii="Times New Roman" w:eastAsia="Times New Roman" w:hAnsi="Times New Roman"/>
                <w:color w:val="000000"/>
              </w:rPr>
            </w:pPr>
            <w:r w:rsidRPr="0082420E">
              <w:rPr>
                <w:rFonts w:ascii="Times New Roman" w:eastAsiaTheme="minorHAnsi" w:hAnsi="Times New Roman"/>
              </w:rPr>
              <w:t>EN 61010-2-030;</w:t>
            </w:r>
          </w:p>
          <w:p w14:paraId="2D562841" w14:textId="77777777" w:rsidR="00497F13" w:rsidRPr="0082420E" w:rsidRDefault="00497F13" w:rsidP="00497F13">
            <w:pPr>
              <w:pStyle w:val="ListParagraph"/>
              <w:numPr>
                <w:ilvl w:val="0"/>
                <w:numId w:val="6"/>
              </w:numPr>
              <w:suppressAutoHyphens/>
              <w:spacing w:after="0" w:line="259" w:lineRule="auto"/>
              <w:rPr>
                <w:rFonts w:ascii="Times New Roman" w:eastAsia="Times New Roman" w:hAnsi="Times New Roman"/>
                <w:color w:val="000000"/>
              </w:rPr>
            </w:pPr>
            <w:r w:rsidRPr="0082420E">
              <w:rPr>
                <w:rFonts w:ascii="Times New Roman" w:eastAsiaTheme="minorHAnsi" w:hAnsi="Times New Roman"/>
              </w:rPr>
              <w:t>EN 61010-031.</w:t>
            </w:r>
          </w:p>
        </w:tc>
        <w:tc>
          <w:tcPr>
            <w:tcW w:w="2547" w:type="dxa"/>
            <w:vAlign w:val="center"/>
          </w:tcPr>
          <w:p w14:paraId="5D531DF4"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46C7D505" w14:textId="77777777" w:rsidTr="00EF5D0D">
        <w:tc>
          <w:tcPr>
            <w:tcW w:w="703" w:type="dxa"/>
            <w:vAlign w:val="center"/>
          </w:tcPr>
          <w:p w14:paraId="185C9D24" w14:textId="77777777" w:rsidR="00497F13" w:rsidRPr="0082420E" w:rsidRDefault="00497F13" w:rsidP="00EF5D0D">
            <w:pPr>
              <w:spacing w:after="0" w:line="240" w:lineRule="auto"/>
              <w:jc w:val="center"/>
              <w:rPr>
                <w:rFonts w:ascii="Times New Roman" w:eastAsia="Times New Roman" w:hAnsi="Times New Roman"/>
                <w:b/>
                <w:color w:val="000000"/>
                <w:highlight w:val="yellow"/>
              </w:rPr>
            </w:pPr>
            <w:r w:rsidRPr="0082420E">
              <w:rPr>
                <w:rFonts w:ascii="Times New Roman" w:eastAsia="Times New Roman" w:hAnsi="Times New Roman"/>
                <w:b/>
                <w:color w:val="000000"/>
              </w:rPr>
              <w:t>2.</w:t>
            </w:r>
          </w:p>
        </w:tc>
        <w:tc>
          <w:tcPr>
            <w:tcW w:w="8925" w:type="dxa"/>
            <w:gridSpan w:val="3"/>
            <w:vAlign w:val="center"/>
          </w:tcPr>
          <w:p w14:paraId="340534D0" w14:textId="77777777" w:rsidR="00497F13" w:rsidRPr="0082420E" w:rsidRDefault="00497F13" w:rsidP="00EF5D0D">
            <w:pPr>
              <w:spacing w:after="0" w:line="240" w:lineRule="auto"/>
              <w:jc w:val="center"/>
              <w:rPr>
                <w:rFonts w:ascii="Times New Roman" w:eastAsia="Times New Roman" w:hAnsi="Times New Roman"/>
                <w:b/>
                <w:color w:val="000000"/>
                <w:highlight w:val="yellow"/>
              </w:rPr>
            </w:pPr>
            <w:r w:rsidRPr="0082420E">
              <w:rPr>
                <w:rFonts w:ascii="Times New Roman" w:eastAsia="Times New Roman" w:hAnsi="Times New Roman"/>
                <w:b/>
                <w:color w:val="000000"/>
              </w:rPr>
              <w:t>Rinkinio sudėtis (galima siūlyti ne mažiau)</w:t>
            </w:r>
          </w:p>
        </w:tc>
      </w:tr>
      <w:tr w:rsidR="00497F13" w:rsidRPr="0082420E" w14:paraId="007AE093" w14:textId="77777777" w:rsidTr="00EF5D0D">
        <w:tc>
          <w:tcPr>
            <w:tcW w:w="703" w:type="dxa"/>
            <w:vAlign w:val="center"/>
          </w:tcPr>
          <w:p w14:paraId="7B440943"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2.1</w:t>
            </w:r>
          </w:p>
        </w:tc>
        <w:tc>
          <w:tcPr>
            <w:tcW w:w="2976" w:type="dxa"/>
            <w:vAlign w:val="center"/>
          </w:tcPr>
          <w:p w14:paraId="7C24577B"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Modulinis 7-ių ar daugiau vietų matavimo moduliams turintis galios analizatoriaus valdiklis su patikros duomenimis</w:t>
            </w:r>
          </w:p>
        </w:tc>
        <w:tc>
          <w:tcPr>
            <w:tcW w:w="3402" w:type="dxa"/>
            <w:vAlign w:val="center"/>
          </w:tcPr>
          <w:p w14:paraId="193D0B89" w14:textId="77777777" w:rsidR="00497F13" w:rsidRPr="0082420E" w:rsidRDefault="00497F13" w:rsidP="00EF5D0D">
            <w:pPr>
              <w:spacing w:after="0"/>
              <w:rPr>
                <w:rFonts w:ascii="Times New Roman" w:eastAsia="Times New Roman" w:hAnsi="Times New Roman"/>
              </w:rPr>
            </w:pPr>
            <w:r w:rsidRPr="0082420E">
              <w:rPr>
                <w:rFonts w:ascii="Times New Roman" w:eastAsia="Times New Roman" w:hAnsi="Times New Roman"/>
              </w:rPr>
              <w:t>1 vnt.</w:t>
            </w:r>
          </w:p>
        </w:tc>
        <w:tc>
          <w:tcPr>
            <w:tcW w:w="2547" w:type="dxa"/>
            <w:vAlign w:val="center"/>
          </w:tcPr>
          <w:p w14:paraId="55F0585E"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1541A40D" w14:textId="77777777" w:rsidTr="00EF5D0D">
        <w:tc>
          <w:tcPr>
            <w:tcW w:w="703" w:type="dxa"/>
            <w:vAlign w:val="center"/>
          </w:tcPr>
          <w:p w14:paraId="05061364"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2.2</w:t>
            </w:r>
          </w:p>
        </w:tc>
        <w:tc>
          <w:tcPr>
            <w:tcW w:w="2976" w:type="dxa"/>
            <w:vAlign w:val="center"/>
          </w:tcPr>
          <w:p w14:paraId="55228858"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Vidutinės srovės šaltiniams pritaikytų galios matavimo modulių su patikros duomenimis</w:t>
            </w:r>
          </w:p>
        </w:tc>
        <w:tc>
          <w:tcPr>
            <w:tcW w:w="3402" w:type="dxa"/>
            <w:vAlign w:val="center"/>
          </w:tcPr>
          <w:p w14:paraId="28D572F7" w14:textId="77777777" w:rsidR="00497F13" w:rsidRPr="0082420E" w:rsidRDefault="00497F13" w:rsidP="00EF5D0D">
            <w:pPr>
              <w:spacing w:after="0"/>
              <w:rPr>
                <w:rFonts w:ascii="Times New Roman" w:eastAsia="Times New Roman" w:hAnsi="Times New Roman"/>
              </w:rPr>
            </w:pPr>
            <w:r w:rsidRPr="0082420E">
              <w:rPr>
                <w:rFonts w:ascii="Times New Roman" w:hAnsi="Times New Roman"/>
              </w:rPr>
              <w:t>7 vnt.</w:t>
            </w:r>
          </w:p>
        </w:tc>
        <w:tc>
          <w:tcPr>
            <w:tcW w:w="2547" w:type="dxa"/>
            <w:vAlign w:val="center"/>
          </w:tcPr>
          <w:p w14:paraId="1FA843E6"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7549DDEF" w14:textId="77777777" w:rsidTr="00EF5D0D">
        <w:tc>
          <w:tcPr>
            <w:tcW w:w="703" w:type="dxa"/>
            <w:vAlign w:val="center"/>
          </w:tcPr>
          <w:p w14:paraId="123F43DE"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2.3</w:t>
            </w:r>
          </w:p>
        </w:tc>
        <w:tc>
          <w:tcPr>
            <w:tcW w:w="2976" w:type="dxa"/>
            <w:vAlign w:val="center"/>
          </w:tcPr>
          <w:p w14:paraId="201B5785" w14:textId="77777777" w:rsidR="00497F13" w:rsidRPr="0082420E" w:rsidRDefault="00497F13" w:rsidP="00EF5D0D">
            <w:pPr>
              <w:spacing w:after="0" w:line="240" w:lineRule="auto"/>
              <w:rPr>
                <w:rFonts w:ascii="Times New Roman" w:hAnsi="Times New Roman"/>
              </w:rPr>
            </w:pPr>
            <w:r w:rsidRPr="0082420E">
              <w:rPr>
                <w:rFonts w:ascii="Times New Roman" w:hAnsi="Times New Roman"/>
              </w:rPr>
              <w:t>Įtampos matavimo laidų rinkinys vidutinės srovės šaltiniams pritaikytiems galios matavimo moduliams</w:t>
            </w:r>
          </w:p>
        </w:tc>
        <w:tc>
          <w:tcPr>
            <w:tcW w:w="3402" w:type="dxa"/>
            <w:vAlign w:val="center"/>
          </w:tcPr>
          <w:p w14:paraId="53F941D0" w14:textId="77777777" w:rsidR="00497F13" w:rsidRPr="0082420E" w:rsidRDefault="00497F13" w:rsidP="00EF5D0D">
            <w:pPr>
              <w:spacing w:after="0"/>
              <w:rPr>
                <w:rFonts w:ascii="Times New Roman" w:hAnsi="Times New Roman"/>
              </w:rPr>
            </w:pPr>
            <w:r w:rsidRPr="0082420E">
              <w:rPr>
                <w:rFonts w:ascii="Times New Roman" w:hAnsi="Times New Roman"/>
              </w:rPr>
              <w:t>7 vnt.</w:t>
            </w:r>
          </w:p>
        </w:tc>
        <w:tc>
          <w:tcPr>
            <w:tcW w:w="2547" w:type="dxa"/>
            <w:vAlign w:val="center"/>
          </w:tcPr>
          <w:p w14:paraId="1C5EA0C1"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380B612F" w14:textId="77777777" w:rsidTr="00EF5D0D">
        <w:tc>
          <w:tcPr>
            <w:tcW w:w="703" w:type="dxa"/>
            <w:vAlign w:val="center"/>
          </w:tcPr>
          <w:p w14:paraId="2DD40127"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2.4</w:t>
            </w:r>
          </w:p>
        </w:tc>
        <w:tc>
          <w:tcPr>
            <w:tcW w:w="2976" w:type="dxa"/>
            <w:vAlign w:val="center"/>
          </w:tcPr>
          <w:p w14:paraId="393CFB3A" w14:textId="77777777" w:rsidR="00497F13" w:rsidRPr="0082420E" w:rsidRDefault="00497F13" w:rsidP="00EF5D0D">
            <w:pPr>
              <w:spacing w:after="0" w:line="240" w:lineRule="auto"/>
              <w:rPr>
                <w:rFonts w:ascii="Times New Roman" w:hAnsi="Times New Roman"/>
              </w:rPr>
            </w:pPr>
            <w:r w:rsidRPr="0082420E">
              <w:rPr>
                <w:rFonts w:ascii="Times New Roman" w:hAnsi="Times New Roman"/>
              </w:rPr>
              <w:t>Ardomų, ne mažiau, kaip 35 A srovės matavimui pritaikytų, saugių kištukų vidutinės srovės šaltiniams pritaikytiems galios matavimo moduliams, jei būtina reikalaujamam funkcionalumui užtikrinti</w:t>
            </w:r>
          </w:p>
        </w:tc>
        <w:tc>
          <w:tcPr>
            <w:tcW w:w="3402" w:type="dxa"/>
            <w:vAlign w:val="center"/>
          </w:tcPr>
          <w:p w14:paraId="737EB38A" w14:textId="77777777" w:rsidR="00497F13" w:rsidRPr="0082420E" w:rsidRDefault="00497F13" w:rsidP="00EF5D0D">
            <w:pPr>
              <w:spacing w:after="0"/>
              <w:rPr>
                <w:rFonts w:ascii="Times New Roman" w:hAnsi="Times New Roman"/>
              </w:rPr>
            </w:pPr>
            <w:r w:rsidRPr="0082420E">
              <w:rPr>
                <w:rFonts w:ascii="Times New Roman" w:hAnsi="Times New Roman"/>
              </w:rPr>
              <w:t>7 poros</w:t>
            </w:r>
          </w:p>
        </w:tc>
        <w:tc>
          <w:tcPr>
            <w:tcW w:w="2547" w:type="dxa"/>
            <w:vAlign w:val="center"/>
          </w:tcPr>
          <w:p w14:paraId="5EBA9C4F"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1545F98A" w14:textId="77777777" w:rsidTr="00EF5D0D">
        <w:trPr>
          <w:trHeight w:val="392"/>
        </w:trPr>
        <w:tc>
          <w:tcPr>
            <w:tcW w:w="703" w:type="dxa"/>
            <w:vAlign w:val="center"/>
          </w:tcPr>
          <w:p w14:paraId="279C23CA"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2.5</w:t>
            </w:r>
          </w:p>
        </w:tc>
        <w:tc>
          <w:tcPr>
            <w:tcW w:w="2976" w:type="dxa"/>
            <w:vAlign w:val="center"/>
          </w:tcPr>
          <w:p w14:paraId="2C15BC73" w14:textId="77777777" w:rsidR="00497F13" w:rsidRPr="0082420E" w:rsidRDefault="00497F13" w:rsidP="00EF5D0D">
            <w:pPr>
              <w:spacing w:after="0" w:line="240" w:lineRule="auto"/>
              <w:rPr>
                <w:rFonts w:ascii="Times New Roman" w:hAnsi="Times New Roman"/>
              </w:rPr>
            </w:pPr>
            <w:r w:rsidRPr="0082420E">
              <w:rPr>
                <w:rFonts w:ascii="Times New Roman" w:hAnsi="Times New Roman"/>
              </w:rPr>
              <w:t>Kalibruotų srovės keitiklių su srovės matavimo moduliais ir pajungimo kabeliais:</w:t>
            </w:r>
          </w:p>
          <w:p w14:paraId="58EB46DE" w14:textId="77777777" w:rsidR="00497F13" w:rsidRPr="0082420E" w:rsidRDefault="00497F13" w:rsidP="00497F13">
            <w:pPr>
              <w:pStyle w:val="ListParagraph"/>
              <w:numPr>
                <w:ilvl w:val="0"/>
                <w:numId w:val="7"/>
              </w:numPr>
              <w:suppressAutoHyphens/>
              <w:spacing w:after="0" w:line="240" w:lineRule="auto"/>
              <w:rPr>
                <w:rFonts w:ascii="Times New Roman" w:eastAsia="Times New Roman" w:hAnsi="Times New Roman"/>
                <w:color w:val="000000"/>
              </w:rPr>
            </w:pPr>
            <w:r w:rsidRPr="0082420E">
              <w:rPr>
                <w:rFonts w:ascii="Times New Roman" w:hAnsi="Times New Roman"/>
              </w:rPr>
              <w:t xml:space="preserve">ne siauresnio juostos pločio nei </w:t>
            </w:r>
            <w:r>
              <w:rPr>
                <w:rFonts w:ascii="Times New Roman" w:hAnsi="Times New Roman"/>
              </w:rPr>
              <w:t>3</w:t>
            </w:r>
            <w:r w:rsidRPr="0082420E">
              <w:rPr>
                <w:rFonts w:ascii="Times New Roman" w:hAnsi="Times New Roman"/>
              </w:rPr>
              <w:t>00 </w:t>
            </w:r>
            <w:proofErr w:type="spellStart"/>
            <w:r w:rsidRPr="0082420E">
              <w:rPr>
                <w:rFonts w:ascii="Times New Roman" w:hAnsi="Times New Roman"/>
              </w:rPr>
              <w:t>kHz</w:t>
            </w:r>
            <w:proofErr w:type="spellEnd"/>
            <w:r w:rsidRPr="0082420E">
              <w:rPr>
                <w:rFonts w:ascii="Times New Roman" w:hAnsi="Times New Roman"/>
              </w:rPr>
              <w:t>;</w:t>
            </w:r>
          </w:p>
          <w:p w14:paraId="550A8A3D" w14:textId="77777777" w:rsidR="00497F13" w:rsidRPr="0082420E" w:rsidRDefault="00497F13" w:rsidP="00497F13">
            <w:pPr>
              <w:pStyle w:val="ListParagraph"/>
              <w:numPr>
                <w:ilvl w:val="0"/>
                <w:numId w:val="8"/>
              </w:numPr>
              <w:suppressAutoHyphens/>
              <w:spacing w:after="0" w:line="240" w:lineRule="auto"/>
              <w:rPr>
                <w:rFonts w:ascii="Times New Roman" w:hAnsi="Times New Roman"/>
              </w:rPr>
            </w:pPr>
            <w:r w:rsidRPr="0082420E">
              <w:rPr>
                <w:rFonts w:ascii="Times New Roman" w:hAnsi="Times New Roman"/>
              </w:rPr>
              <w:t>ne mažesnės nei 1000 A maksimalios srovės matavimui;</w:t>
            </w:r>
          </w:p>
          <w:p w14:paraId="10662CF7" w14:textId="77777777" w:rsidR="00497F13" w:rsidRPr="0082420E" w:rsidRDefault="00497F13" w:rsidP="00497F13">
            <w:pPr>
              <w:pStyle w:val="ListParagraph"/>
              <w:numPr>
                <w:ilvl w:val="0"/>
                <w:numId w:val="8"/>
              </w:numPr>
              <w:suppressAutoHyphens/>
              <w:spacing w:after="0" w:line="240" w:lineRule="auto"/>
              <w:rPr>
                <w:rFonts w:ascii="Times New Roman" w:hAnsi="Times New Roman"/>
              </w:rPr>
            </w:pPr>
            <w:r w:rsidRPr="0082420E">
              <w:rPr>
                <w:rFonts w:ascii="Times New Roman" w:hAnsi="Times New Roman"/>
              </w:rPr>
              <w:t>kabelis ne trumpesnis kaip 5 m;</w:t>
            </w:r>
          </w:p>
          <w:p w14:paraId="3AD7BB4D" w14:textId="77777777" w:rsidR="00497F13" w:rsidRPr="0082420E" w:rsidRDefault="00497F13" w:rsidP="00497F13">
            <w:pPr>
              <w:pStyle w:val="ListParagraph"/>
              <w:numPr>
                <w:ilvl w:val="0"/>
                <w:numId w:val="7"/>
              </w:numPr>
              <w:suppressAutoHyphens/>
              <w:spacing w:after="0" w:line="240" w:lineRule="auto"/>
              <w:rPr>
                <w:rFonts w:ascii="Times New Roman" w:eastAsia="Times New Roman" w:hAnsi="Times New Roman"/>
                <w:color w:val="000000"/>
              </w:rPr>
            </w:pPr>
            <w:r w:rsidRPr="0082420E">
              <w:rPr>
                <w:rFonts w:ascii="Times New Roman" w:hAnsi="Times New Roman"/>
              </w:rPr>
              <w:t>su kalibravimo sertifikatu.</w:t>
            </w:r>
          </w:p>
        </w:tc>
        <w:tc>
          <w:tcPr>
            <w:tcW w:w="3402" w:type="dxa"/>
            <w:vAlign w:val="center"/>
          </w:tcPr>
          <w:p w14:paraId="01393BF6" w14:textId="77777777" w:rsidR="00497F13" w:rsidRPr="0082420E" w:rsidRDefault="00497F13" w:rsidP="00EF5D0D">
            <w:pPr>
              <w:spacing w:after="0"/>
              <w:rPr>
                <w:rFonts w:ascii="Times New Roman" w:eastAsia="Times New Roman" w:hAnsi="Times New Roman"/>
              </w:rPr>
            </w:pPr>
            <w:r w:rsidRPr="0082420E">
              <w:rPr>
                <w:rFonts w:ascii="Times New Roman" w:hAnsi="Times New Roman"/>
              </w:rPr>
              <w:t>7 vnt.</w:t>
            </w:r>
          </w:p>
        </w:tc>
        <w:tc>
          <w:tcPr>
            <w:tcW w:w="2547" w:type="dxa"/>
            <w:vAlign w:val="center"/>
          </w:tcPr>
          <w:p w14:paraId="0BBE0EAF"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30D3111E" w14:textId="77777777" w:rsidTr="00EF5D0D">
        <w:trPr>
          <w:trHeight w:val="392"/>
        </w:trPr>
        <w:tc>
          <w:tcPr>
            <w:tcW w:w="703" w:type="dxa"/>
            <w:vAlign w:val="center"/>
          </w:tcPr>
          <w:p w14:paraId="3882D752"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2.6</w:t>
            </w:r>
          </w:p>
        </w:tc>
        <w:tc>
          <w:tcPr>
            <w:tcW w:w="2976" w:type="dxa"/>
            <w:vAlign w:val="center"/>
          </w:tcPr>
          <w:p w14:paraId="0E8B3F1E" w14:textId="77777777" w:rsidR="00497F13" w:rsidRPr="0082420E" w:rsidRDefault="00497F13" w:rsidP="00EF5D0D">
            <w:pPr>
              <w:spacing w:after="0" w:line="240" w:lineRule="auto"/>
              <w:rPr>
                <w:rFonts w:ascii="Times New Roman" w:eastAsia="Times New Roman" w:hAnsi="Times New Roman"/>
                <w:color w:val="000000"/>
              </w:rPr>
            </w:pPr>
            <w:r w:rsidRPr="0082420E">
              <w:rPr>
                <w:rFonts w:ascii="Times New Roman" w:hAnsi="Times New Roman"/>
              </w:rPr>
              <w:t>Maitinimo šaltiniai srovės keitikliams, jei reikalingi funkcionalumui užtikrinti</w:t>
            </w:r>
          </w:p>
        </w:tc>
        <w:tc>
          <w:tcPr>
            <w:tcW w:w="3402" w:type="dxa"/>
            <w:vAlign w:val="center"/>
          </w:tcPr>
          <w:p w14:paraId="0F012749" w14:textId="77777777" w:rsidR="00497F13" w:rsidRPr="0082420E" w:rsidRDefault="00497F13" w:rsidP="00EF5D0D">
            <w:pPr>
              <w:spacing w:after="0"/>
              <w:rPr>
                <w:rFonts w:ascii="Times New Roman" w:eastAsia="Times New Roman" w:hAnsi="Times New Roman"/>
              </w:rPr>
            </w:pPr>
            <w:r>
              <w:rPr>
                <w:rFonts w:ascii="Times New Roman" w:eastAsia="Times New Roman" w:hAnsi="Times New Roman"/>
              </w:rPr>
              <w:t>1</w:t>
            </w:r>
            <w:r w:rsidRPr="0082420E">
              <w:rPr>
                <w:rFonts w:ascii="Times New Roman" w:eastAsia="Times New Roman" w:hAnsi="Times New Roman"/>
              </w:rPr>
              <w:t xml:space="preserve"> </w:t>
            </w:r>
            <w:r>
              <w:rPr>
                <w:rFonts w:ascii="Times New Roman" w:eastAsia="Times New Roman" w:hAnsi="Times New Roman"/>
              </w:rPr>
              <w:t>komplektas</w:t>
            </w:r>
            <w:r w:rsidRPr="0082420E">
              <w:rPr>
                <w:rFonts w:ascii="Times New Roman" w:eastAsia="Times New Roman" w:hAnsi="Times New Roman"/>
              </w:rPr>
              <w:t>.</w:t>
            </w:r>
          </w:p>
        </w:tc>
        <w:tc>
          <w:tcPr>
            <w:tcW w:w="2547" w:type="dxa"/>
            <w:vAlign w:val="center"/>
          </w:tcPr>
          <w:p w14:paraId="3A4CD6A3" w14:textId="77777777" w:rsidR="00497F13" w:rsidRPr="0082420E" w:rsidRDefault="00497F13" w:rsidP="00EF5D0D">
            <w:pPr>
              <w:spacing w:after="0" w:line="240" w:lineRule="auto"/>
              <w:rPr>
                <w:rFonts w:ascii="Times New Roman" w:eastAsia="Times New Roman" w:hAnsi="Times New Roman"/>
                <w:color w:val="000000"/>
                <w:highlight w:val="yellow"/>
              </w:rPr>
            </w:pPr>
          </w:p>
        </w:tc>
      </w:tr>
      <w:tr w:rsidR="00497F13" w:rsidRPr="0082420E" w14:paraId="0E41FEE8" w14:textId="77777777" w:rsidTr="00EF5D0D">
        <w:trPr>
          <w:trHeight w:val="392"/>
        </w:trPr>
        <w:tc>
          <w:tcPr>
            <w:tcW w:w="703" w:type="dxa"/>
            <w:vAlign w:val="center"/>
          </w:tcPr>
          <w:p w14:paraId="2C4486F0" w14:textId="77777777" w:rsidR="00497F13" w:rsidRPr="0082420E" w:rsidRDefault="00497F13" w:rsidP="00EF5D0D">
            <w:pPr>
              <w:spacing w:after="0" w:line="240" w:lineRule="auto"/>
              <w:rPr>
                <w:rFonts w:ascii="Times New Roman" w:hAnsi="Times New Roman"/>
                <w:color w:val="000000"/>
              </w:rPr>
            </w:pPr>
            <w:r w:rsidRPr="0082420E">
              <w:rPr>
                <w:rFonts w:ascii="Times New Roman" w:hAnsi="Times New Roman"/>
                <w:color w:val="000000"/>
              </w:rPr>
              <w:t>2.</w:t>
            </w:r>
            <w:r>
              <w:rPr>
                <w:rFonts w:ascii="Times New Roman" w:hAnsi="Times New Roman"/>
                <w:color w:val="000000"/>
              </w:rPr>
              <w:t>7</w:t>
            </w:r>
          </w:p>
        </w:tc>
        <w:tc>
          <w:tcPr>
            <w:tcW w:w="2976" w:type="dxa"/>
            <w:vAlign w:val="center"/>
          </w:tcPr>
          <w:p w14:paraId="5BF97343" w14:textId="77777777" w:rsidR="00497F13" w:rsidRPr="0082420E" w:rsidRDefault="00497F13" w:rsidP="00EF5D0D">
            <w:pPr>
              <w:spacing w:after="0" w:line="240" w:lineRule="auto"/>
              <w:rPr>
                <w:rFonts w:ascii="Times New Roman" w:hAnsi="Times New Roman"/>
              </w:rPr>
            </w:pPr>
            <w:r w:rsidRPr="0082420E">
              <w:rPr>
                <w:rFonts w:ascii="Times New Roman" w:hAnsi="Times New Roman"/>
              </w:rPr>
              <w:t>Neterminuota visas funkcijas palaikančios programinės įrangos licencija su ne mažiau 5-ių metų atnaujinimo ir palaikymo galimybe</w:t>
            </w:r>
          </w:p>
        </w:tc>
        <w:tc>
          <w:tcPr>
            <w:tcW w:w="3402" w:type="dxa"/>
            <w:vAlign w:val="center"/>
          </w:tcPr>
          <w:p w14:paraId="0BC7B586" w14:textId="77777777" w:rsidR="00497F13" w:rsidRPr="0082420E" w:rsidRDefault="00497F13" w:rsidP="00EF5D0D">
            <w:pPr>
              <w:spacing w:after="0"/>
              <w:rPr>
                <w:rFonts w:ascii="Times New Roman" w:eastAsia="Times New Roman" w:hAnsi="Times New Roman"/>
              </w:rPr>
            </w:pPr>
            <w:r w:rsidRPr="0082420E">
              <w:rPr>
                <w:rFonts w:ascii="Times New Roman" w:eastAsia="Times New Roman" w:hAnsi="Times New Roman"/>
              </w:rPr>
              <w:t>1 vnt.</w:t>
            </w:r>
          </w:p>
        </w:tc>
        <w:tc>
          <w:tcPr>
            <w:tcW w:w="2547" w:type="dxa"/>
            <w:vAlign w:val="center"/>
          </w:tcPr>
          <w:p w14:paraId="078B838A" w14:textId="77777777" w:rsidR="00497F13" w:rsidRPr="0082420E" w:rsidRDefault="00497F13" w:rsidP="00EF5D0D">
            <w:pPr>
              <w:spacing w:after="0" w:line="240" w:lineRule="auto"/>
              <w:rPr>
                <w:rFonts w:ascii="Times New Roman" w:eastAsia="Times New Roman" w:hAnsi="Times New Roman"/>
                <w:color w:val="000000"/>
                <w:highlight w:val="yellow"/>
              </w:rPr>
            </w:pPr>
          </w:p>
        </w:tc>
      </w:tr>
    </w:tbl>
    <w:p w14:paraId="14DCBF7C" w14:textId="77777777" w:rsidR="00497F13" w:rsidRPr="0082420E" w:rsidRDefault="00497F13" w:rsidP="00497F13">
      <w:pPr>
        <w:pStyle w:val="ListParagraph"/>
        <w:rPr>
          <w:rFonts w:ascii="Times New Roman" w:eastAsiaTheme="minorHAnsi" w:hAnsi="Times New Roman" w:cs="Times New Roman"/>
          <w:sz w:val="22"/>
          <w:szCs w:val="22"/>
        </w:rPr>
      </w:pPr>
    </w:p>
    <w:p w14:paraId="73AAAA2C" w14:textId="77777777" w:rsidR="00497F13" w:rsidRPr="00B1291F" w:rsidRDefault="00497F13" w:rsidP="00005D84">
      <w:pPr>
        <w:ind w:firstLine="567"/>
        <w:jc w:val="both"/>
        <w:rPr>
          <w:rFonts w:ascii="Times New Roman" w:hAnsi="Times New Roman"/>
          <w:bCs/>
          <w:color w:val="000000" w:themeColor="text1"/>
        </w:rPr>
      </w:pPr>
      <w:bookmarkStart w:id="4" w:name="_Hlk161402181"/>
      <w:r w:rsidRPr="00B1291F">
        <w:rPr>
          <w:rFonts w:ascii="Times New Roman" w:hAnsi="Times New Roman"/>
          <w:bCs/>
          <w:color w:val="000000" w:themeColor="text1"/>
        </w:rPr>
        <w:t xml:space="preserve">Perkančioji organizacija vykdo </w:t>
      </w:r>
      <w:r w:rsidRPr="00B1291F">
        <w:rPr>
          <w:rFonts w:ascii="Times New Roman" w:hAnsi="Times New Roman"/>
        </w:rPr>
        <w:t xml:space="preserve">„Žaliąjį pirkimą“ </w:t>
      </w:r>
      <w:r w:rsidRPr="00B1291F">
        <w:rPr>
          <w:rFonts w:ascii="Times New Roman" w:hAnsi="Times New Roman"/>
          <w:bCs/>
          <w:color w:val="000000" w:themeColor="text1"/>
        </w:rPr>
        <w:t xml:space="preserve">ir vadovaudamasi Lietuvos Respublikos aplinkos ministro 2011 m. birželio 28 d. įsakymo Nr. D1-401  „Dėl Lietuvos Respublikos aplinkos ministro 2011 m. birželio 28 d. įsakymo Nr. D1-508 </w:t>
      </w:r>
      <w:r w:rsidRPr="00B1291F">
        <w:rPr>
          <w:rFonts w:ascii="Times New Roman" w:hAnsi="Times New Roman"/>
        </w:rPr>
        <w:t>„Dėl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Pr="00B1291F">
        <w:rPr>
          <w:rFonts w:ascii="Times New Roman" w:hAnsi="Times New Roman"/>
          <w:bCs/>
          <w:color w:val="000000" w:themeColor="text1"/>
        </w:rPr>
        <w:t xml:space="preserve"> pakeitimo 4.4.4.</w:t>
      </w:r>
      <w:r>
        <w:rPr>
          <w:rFonts w:ascii="Times New Roman" w:hAnsi="Times New Roman"/>
          <w:bCs/>
          <w:color w:val="000000" w:themeColor="text1"/>
        </w:rPr>
        <w:t>4.</w:t>
      </w:r>
      <w:r w:rsidRPr="00B1291F">
        <w:rPr>
          <w:rFonts w:ascii="Times New Roman" w:hAnsi="Times New Roman"/>
          <w:bCs/>
          <w:color w:val="000000" w:themeColor="text1"/>
        </w:rPr>
        <w:t xml:space="preserve"> punktu, nustato šį aplinkos apsaugos kriterijų:</w:t>
      </w:r>
    </w:p>
    <w:bookmarkEnd w:id="4"/>
    <w:p w14:paraId="754F47AD" w14:textId="77777777" w:rsidR="00497F13" w:rsidRPr="00402350" w:rsidRDefault="00497F13" w:rsidP="00005D84">
      <w:pPr>
        <w:ind w:firstLine="567"/>
        <w:jc w:val="both"/>
        <w:rPr>
          <w:rFonts w:ascii="Times New Roman" w:hAnsi="Times New Roman"/>
          <w:bCs/>
          <w:color w:val="000000" w:themeColor="text1"/>
        </w:rPr>
      </w:pPr>
      <w:r w:rsidRPr="00402350">
        <w:rPr>
          <w:rFonts w:ascii="Times New Roman" w:hAnsi="Times New Roman"/>
          <w:bCs/>
          <w:color w:val="000000" w:themeColor="text1"/>
        </w:rPr>
        <w:t>Perkama Prekė turi būti ilgaamžė,</w:t>
      </w:r>
      <w:r>
        <w:rPr>
          <w:rFonts w:ascii="Times New Roman" w:hAnsi="Times New Roman"/>
          <w:bCs/>
          <w:color w:val="000000" w:themeColor="text1"/>
        </w:rPr>
        <w:t xml:space="preserve"> </w:t>
      </w:r>
      <w:r w:rsidRPr="00402350">
        <w:rPr>
          <w:rFonts w:ascii="Times New Roman" w:hAnsi="Times New Roman"/>
          <w:bCs/>
          <w:color w:val="000000" w:themeColor="text1"/>
        </w:rPr>
        <w:t>funkcionali, ji ar jos sudedamosios dalys tinka naudoti daug kartų ir (ar) lengvai pataisomos  ir (ar) pakeičiamos.</w:t>
      </w:r>
    </w:p>
    <w:p w14:paraId="7D7DB50D" w14:textId="77777777" w:rsidR="00497F13" w:rsidRPr="00B1291F" w:rsidRDefault="00497F13" w:rsidP="00005D84">
      <w:pPr>
        <w:ind w:firstLine="567"/>
        <w:jc w:val="both"/>
        <w:rPr>
          <w:rFonts w:ascii="Times New Roman" w:hAnsi="Times New Roman"/>
          <w:bCs/>
          <w:color w:val="000000" w:themeColor="text1"/>
        </w:rPr>
      </w:pPr>
      <w:r w:rsidRPr="00932A54">
        <w:rPr>
          <w:rFonts w:ascii="Times New Roman" w:hAnsi="Times New Roman"/>
          <w:bCs/>
          <w:color w:val="000000" w:themeColor="text1"/>
        </w:rPr>
        <w:t>Tiekėjas turi užtikrinti, kad per garantinį įrangos naudojimo laikotarpį ir bent 5 metus po garantinio laikotarpio būtų galima įsigyti originalių arba joms lygiaverčių atsarginių dalių.</w:t>
      </w:r>
      <w:r w:rsidRPr="00B1291F">
        <w:rPr>
          <w:rFonts w:ascii="Times New Roman" w:hAnsi="Times New Roman"/>
          <w:bCs/>
          <w:color w:val="000000" w:themeColor="text1"/>
        </w:rPr>
        <w:t xml:space="preserve"> </w:t>
      </w:r>
    </w:p>
    <w:p w14:paraId="5A97A1A4" w14:textId="77777777" w:rsidR="00497F13" w:rsidRPr="00B1291F" w:rsidRDefault="00497F13" w:rsidP="00005D84">
      <w:pPr>
        <w:ind w:firstLine="567"/>
        <w:jc w:val="both"/>
        <w:rPr>
          <w:rFonts w:ascii="Times New Roman" w:hAnsi="Times New Roman"/>
          <w:b/>
          <w:bCs/>
          <w:i/>
          <w:color w:val="000000" w:themeColor="text1"/>
        </w:rPr>
      </w:pPr>
      <w:r w:rsidRPr="00B1291F">
        <w:rPr>
          <w:rFonts w:ascii="Times New Roman" w:hAnsi="Times New Roman"/>
          <w:b/>
          <w:bCs/>
          <w:i/>
          <w:color w:val="000000" w:themeColor="text1"/>
        </w:rPr>
        <w:lastRenderedPageBreak/>
        <w:t xml:space="preserve">Atitiktį reikalavimams įrodantys dokumentai: </w:t>
      </w:r>
    </w:p>
    <w:p w14:paraId="0620FC67" w14:textId="77777777" w:rsidR="00497F13" w:rsidRPr="00B1291F" w:rsidRDefault="00497F13" w:rsidP="00005D84">
      <w:pPr>
        <w:ind w:firstLine="567"/>
        <w:jc w:val="both"/>
        <w:rPr>
          <w:rFonts w:ascii="Times New Roman" w:hAnsi="Times New Roman"/>
          <w:bCs/>
          <w:color w:val="000000" w:themeColor="text1"/>
        </w:rPr>
      </w:pPr>
      <w:r w:rsidRPr="00B1291F">
        <w:rPr>
          <w:rFonts w:ascii="Times New Roman" w:hAnsi="Times New Roman"/>
          <w:bCs/>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3A7FBD81" w14:textId="77777777" w:rsidR="00497F13" w:rsidRPr="0082420E" w:rsidRDefault="00497F13" w:rsidP="00005D84">
      <w:pPr>
        <w:jc w:val="both"/>
        <w:rPr>
          <w:rFonts w:ascii="Times New Roman" w:hAnsi="Times New Roman"/>
          <w:bCs/>
          <w:i/>
          <w:color w:val="000000" w:themeColor="text1"/>
        </w:rPr>
      </w:pPr>
      <w:r w:rsidRPr="0082420E">
        <w:rPr>
          <w:rFonts w:ascii="Times New Roman" w:hAnsi="Times New Roman"/>
          <w:bCs/>
          <w:i/>
          <w:color w:val="000000" w:themeColor="text1"/>
        </w:rPr>
        <w:t>Pastaba: Visos pirkimo dokumente esančios nuorodos į standartą, techninį liudijimą ar bendrąsias technines specifikacijas reiškia, kad pirkėjas priima ir kitus dalyvių lygiaverčių prekių įrodymus. Lygiavertiškumo įrodymas yra tiekėjo pareiga.</w:t>
      </w:r>
    </w:p>
    <w:p w14:paraId="5195DFA5" w14:textId="77777777" w:rsidR="00497F13" w:rsidRPr="0082420E" w:rsidRDefault="00497F13" w:rsidP="00005D84">
      <w:pPr>
        <w:jc w:val="both"/>
        <w:rPr>
          <w:i/>
        </w:rPr>
      </w:pPr>
    </w:p>
    <w:p w14:paraId="7DB1985A" w14:textId="77777777" w:rsidR="00497F13" w:rsidRPr="0082420E" w:rsidRDefault="00497F13" w:rsidP="00005D84">
      <w:pPr>
        <w:jc w:val="center"/>
        <w:rPr>
          <w:rFonts w:ascii="Times New Roman" w:hAnsi="Times New Roman"/>
          <w:b/>
          <w:bCs/>
          <w:color w:val="000000" w:themeColor="text1"/>
        </w:rPr>
      </w:pPr>
      <w:r w:rsidRPr="0082420E">
        <w:rPr>
          <w:rFonts w:ascii="Times New Roman" w:hAnsi="Times New Roman"/>
          <w:b/>
          <w:bCs/>
          <w:color w:val="000000" w:themeColor="text1"/>
        </w:rPr>
        <w:t>PILDOMI REIKALAVIMAI</w:t>
      </w:r>
    </w:p>
    <w:p w14:paraId="212EA59D" w14:textId="77777777" w:rsidR="00497F13" w:rsidRPr="0082420E" w:rsidRDefault="00497F13" w:rsidP="00005D84">
      <w:pPr>
        <w:jc w:val="both"/>
        <w:rPr>
          <w:rFonts w:ascii="Times New Roman" w:hAnsi="Times New Roman"/>
          <w:b/>
          <w:bCs/>
          <w:color w:val="000000" w:themeColor="text1"/>
        </w:rPr>
      </w:pPr>
    </w:p>
    <w:p w14:paraId="159447B0" w14:textId="77777777" w:rsidR="00497F13" w:rsidRPr="0082420E" w:rsidRDefault="00497F13" w:rsidP="00005D84">
      <w:pPr>
        <w:pStyle w:val="ListParagraph"/>
        <w:ind w:left="453" w:firstLine="256"/>
        <w:jc w:val="both"/>
        <w:rPr>
          <w:rFonts w:ascii="Times New Roman" w:hAnsi="Times New Roman" w:cs="Times New Roman"/>
          <w:sz w:val="22"/>
          <w:szCs w:val="22"/>
        </w:rPr>
      </w:pPr>
      <w:r w:rsidRPr="0082420E">
        <w:rPr>
          <w:rFonts w:ascii="Times New Roman" w:hAnsi="Times New Roman" w:cs="Times New Roman"/>
          <w:sz w:val="22"/>
          <w:szCs w:val="22"/>
        </w:rPr>
        <w:t>Sutarties vykdymui  taikomi aplinkos apsaugos kriterijai/reikalavimai:</w:t>
      </w:r>
    </w:p>
    <w:p w14:paraId="748EE1A2" w14:textId="77777777" w:rsidR="00497F13" w:rsidRPr="0082420E" w:rsidRDefault="00497F13" w:rsidP="00005D84">
      <w:pPr>
        <w:pStyle w:val="ListParagraph"/>
        <w:numPr>
          <w:ilvl w:val="0"/>
          <w:numId w:val="2"/>
        </w:numPr>
        <w:tabs>
          <w:tab w:val="left" w:pos="426"/>
          <w:tab w:val="left" w:pos="567"/>
          <w:tab w:val="left" w:pos="993"/>
        </w:tabs>
        <w:spacing w:line="256" w:lineRule="auto"/>
        <w:ind w:firstLine="256"/>
        <w:jc w:val="both"/>
        <w:rPr>
          <w:rFonts w:ascii="Times New Roman" w:hAnsi="Times New Roman" w:cs="Times New Roman"/>
          <w:sz w:val="22"/>
          <w:szCs w:val="22"/>
        </w:rPr>
      </w:pPr>
      <w:bookmarkStart w:id="5" w:name="_Hlk142647099"/>
      <w:r w:rsidRPr="0082420E">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2872F49F" w14:textId="77777777" w:rsidR="00497F13" w:rsidRPr="0082420E" w:rsidRDefault="00497F13" w:rsidP="00005D84">
      <w:pPr>
        <w:pStyle w:val="ListParagraph"/>
        <w:numPr>
          <w:ilvl w:val="0"/>
          <w:numId w:val="2"/>
        </w:numPr>
        <w:tabs>
          <w:tab w:val="left" w:pos="567"/>
          <w:tab w:val="left" w:pos="993"/>
        </w:tabs>
        <w:spacing w:line="256" w:lineRule="auto"/>
        <w:ind w:firstLine="256"/>
        <w:jc w:val="both"/>
        <w:rPr>
          <w:rFonts w:ascii="Times New Roman" w:hAnsi="Times New Roman" w:cs="Times New Roman"/>
          <w:sz w:val="22"/>
          <w:szCs w:val="22"/>
        </w:rPr>
      </w:pPr>
      <w:r>
        <w:rPr>
          <w:rFonts w:ascii="Times New Roman" w:hAnsi="Times New Roman" w:cs="Times New Roman"/>
          <w:sz w:val="22"/>
          <w:szCs w:val="22"/>
        </w:rPr>
        <w:t>V</w:t>
      </w:r>
      <w:r w:rsidRPr="0082420E">
        <w:rPr>
          <w:rFonts w:ascii="Times New Roman" w:hAnsi="Times New Roman" w:cs="Times New Roman"/>
          <w:sz w:val="22"/>
          <w:szCs w:val="22"/>
        </w:rPr>
        <w:t>isa dokumentacija susijusi su Sutarties vykdymu teikiama Pirkėjui ir Tiekėjui elektorinėmis priemonėmis (elektoriniu paštu ar kt.);</w:t>
      </w:r>
    </w:p>
    <w:p w14:paraId="5D1F3979" w14:textId="77777777" w:rsidR="00497F13" w:rsidRPr="0082420E" w:rsidRDefault="00497F13" w:rsidP="00005D84">
      <w:pPr>
        <w:pStyle w:val="ListParagraph"/>
        <w:numPr>
          <w:ilvl w:val="0"/>
          <w:numId w:val="2"/>
        </w:numPr>
        <w:tabs>
          <w:tab w:val="left" w:pos="284"/>
          <w:tab w:val="left" w:pos="567"/>
          <w:tab w:val="left" w:pos="993"/>
        </w:tabs>
        <w:spacing w:line="256" w:lineRule="auto"/>
        <w:ind w:firstLine="256"/>
        <w:jc w:val="both"/>
        <w:rPr>
          <w:rFonts w:ascii="Times New Roman" w:hAnsi="Times New Roman" w:cs="Times New Roman"/>
          <w:sz w:val="22"/>
          <w:szCs w:val="22"/>
        </w:rPr>
      </w:pPr>
      <w:r w:rsidRPr="0082420E">
        <w:rPr>
          <w:rFonts w:ascii="Times New Roman" w:hAnsi="Times New Roman" w:cs="Times New Roman"/>
          <w:sz w:val="22"/>
          <w:szCs w:val="22"/>
        </w:rPr>
        <w:t>Sutartis bus pasirašoma tik elektroninėmis priemonėmis (elektroniniu parašu);</w:t>
      </w:r>
    </w:p>
    <w:p w14:paraId="11ECBC43" w14:textId="77777777" w:rsidR="00497F13" w:rsidRPr="0082420E" w:rsidRDefault="00497F13" w:rsidP="00005D84">
      <w:pPr>
        <w:pStyle w:val="ListParagraph"/>
        <w:numPr>
          <w:ilvl w:val="0"/>
          <w:numId w:val="2"/>
        </w:numPr>
        <w:tabs>
          <w:tab w:val="left" w:pos="426"/>
          <w:tab w:val="left" w:pos="567"/>
          <w:tab w:val="left" w:pos="993"/>
        </w:tabs>
        <w:spacing w:line="256" w:lineRule="auto"/>
        <w:ind w:firstLine="256"/>
        <w:jc w:val="both"/>
        <w:rPr>
          <w:rFonts w:ascii="Times New Roman" w:hAnsi="Times New Roman" w:cs="Times New Roman"/>
          <w:sz w:val="22"/>
          <w:szCs w:val="22"/>
        </w:rPr>
      </w:pPr>
      <w:r w:rsidRPr="0082420E">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p>
    <w:bookmarkEnd w:id="5"/>
    <w:p w14:paraId="41FF1FFF" w14:textId="77777777" w:rsidR="00497F13" w:rsidRPr="0082420E" w:rsidRDefault="00497F13" w:rsidP="00005D84">
      <w:pPr>
        <w:pStyle w:val="ListParagraph"/>
        <w:jc w:val="both"/>
        <w:rPr>
          <w:rFonts w:ascii="Times New Roman" w:eastAsiaTheme="minorHAnsi" w:hAnsi="Times New Roman" w:cs="Times New Roman"/>
          <w:sz w:val="22"/>
          <w:szCs w:val="22"/>
        </w:rPr>
      </w:pPr>
    </w:p>
    <w:p w14:paraId="611CD408" w14:textId="77777777" w:rsidR="00034558" w:rsidRDefault="00034558" w:rsidP="00034558">
      <w:pPr>
        <w:jc w:val="center"/>
        <w:rPr>
          <w:rFonts w:ascii="Times New Roman" w:hAnsi="Times New Roman" w:cs="Times New Roman"/>
          <w:b/>
        </w:rPr>
      </w:pPr>
    </w:p>
    <w:sectPr w:rsidR="00034558" w:rsidSect="00497F13">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CB08" w14:textId="77777777" w:rsidR="00667DCF" w:rsidRDefault="00667DCF" w:rsidP="00705B83">
      <w:pPr>
        <w:spacing w:after="0" w:line="240" w:lineRule="auto"/>
      </w:pPr>
      <w:r>
        <w:separator/>
      </w:r>
    </w:p>
  </w:endnote>
  <w:endnote w:type="continuationSeparator" w:id="0">
    <w:p w14:paraId="4F009081" w14:textId="77777777" w:rsidR="00667DCF" w:rsidRDefault="00667DCF"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3F8CC" w14:textId="77777777" w:rsidR="00667DCF" w:rsidRDefault="00667DCF" w:rsidP="00705B83">
      <w:pPr>
        <w:spacing w:after="0" w:line="240" w:lineRule="auto"/>
      </w:pPr>
      <w:r>
        <w:separator/>
      </w:r>
    </w:p>
  </w:footnote>
  <w:footnote w:type="continuationSeparator" w:id="0">
    <w:p w14:paraId="1AD8BC31" w14:textId="77777777" w:rsidR="00667DCF" w:rsidRDefault="00667DCF"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3932"/>
    <w:multiLevelType w:val="hybridMultilevel"/>
    <w:tmpl w:val="0464CFE4"/>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 w15:restartNumberingAfterBreak="0">
    <w:nsid w:val="14762DD4"/>
    <w:multiLevelType w:val="hybridMultilevel"/>
    <w:tmpl w:val="9BB4C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2B1990"/>
    <w:multiLevelType w:val="hybridMultilevel"/>
    <w:tmpl w:val="A6F24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125F3"/>
    <w:multiLevelType w:val="hybridMultilevel"/>
    <w:tmpl w:val="2376E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B17E0"/>
    <w:multiLevelType w:val="hybridMultilevel"/>
    <w:tmpl w:val="44062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F60258"/>
    <w:multiLevelType w:val="hybridMultilevel"/>
    <w:tmpl w:val="4C688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8"/>
  </w:num>
  <w:num w:numId="2" w16cid:durableId="208423888">
    <w:abstractNumId w:val="5"/>
  </w:num>
  <w:num w:numId="3" w16cid:durableId="2051805216">
    <w:abstractNumId w:val="6"/>
  </w:num>
  <w:num w:numId="4" w16cid:durableId="553470936">
    <w:abstractNumId w:val="3"/>
  </w:num>
  <w:num w:numId="5" w16cid:durableId="2102942770">
    <w:abstractNumId w:val="1"/>
  </w:num>
  <w:num w:numId="6" w16cid:durableId="1453941017">
    <w:abstractNumId w:val="2"/>
  </w:num>
  <w:num w:numId="7" w16cid:durableId="1547137640">
    <w:abstractNumId w:val="4"/>
  </w:num>
  <w:num w:numId="8" w16cid:durableId="1179538105">
    <w:abstractNumId w:val="0"/>
  </w:num>
  <w:num w:numId="9" w16cid:durableId="1234856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5D84"/>
    <w:rsid w:val="00034558"/>
    <w:rsid w:val="00041D0C"/>
    <w:rsid w:val="000727C8"/>
    <w:rsid w:val="000A4EC9"/>
    <w:rsid w:val="00132486"/>
    <w:rsid w:val="00150F41"/>
    <w:rsid w:val="001763A9"/>
    <w:rsid w:val="00195210"/>
    <w:rsid w:val="001A6E05"/>
    <w:rsid w:val="001B4930"/>
    <w:rsid w:val="002425A2"/>
    <w:rsid w:val="00322054"/>
    <w:rsid w:val="0033549F"/>
    <w:rsid w:val="0036153A"/>
    <w:rsid w:val="00414561"/>
    <w:rsid w:val="00430C22"/>
    <w:rsid w:val="00497F13"/>
    <w:rsid w:val="00532F2C"/>
    <w:rsid w:val="00573567"/>
    <w:rsid w:val="0057391D"/>
    <w:rsid w:val="00591A37"/>
    <w:rsid w:val="005A008C"/>
    <w:rsid w:val="00605B33"/>
    <w:rsid w:val="0066033D"/>
    <w:rsid w:val="00667DCF"/>
    <w:rsid w:val="0069433B"/>
    <w:rsid w:val="00705B83"/>
    <w:rsid w:val="007742E5"/>
    <w:rsid w:val="007A48DB"/>
    <w:rsid w:val="008C0F79"/>
    <w:rsid w:val="00902E1F"/>
    <w:rsid w:val="00943258"/>
    <w:rsid w:val="00AB6EA1"/>
    <w:rsid w:val="00B06E14"/>
    <w:rsid w:val="00B367BB"/>
    <w:rsid w:val="00BC446A"/>
    <w:rsid w:val="00C363D0"/>
    <w:rsid w:val="00C63888"/>
    <w:rsid w:val="00D65E09"/>
    <w:rsid w:val="00EE56AA"/>
    <w:rsid w:val="00F64638"/>
    <w:rsid w:val="00F949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29</cp:revision>
  <dcterms:created xsi:type="dcterms:W3CDTF">2024-04-15T09:56:00Z</dcterms:created>
  <dcterms:modified xsi:type="dcterms:W3CDTF">2024-11-07T12:49:00Z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