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5F60B5B1" w:rsidR="005A5832" w:rsidRPr="003C7BED" w:rsidRDefault="002A4151" w:rsidP="00C65346">
            <w:pPr>
              <w:jc w:val="both"/>
              <w:rPr>
                <w:b/>
                <w:bCs/>
                <w:kern w:val="2"/>
              </w:rPr>
            </w:pPr>
            <w:r>
              <w:rPr>
                <w:b/>
                <w:bCs/>
                <w:kern w:val="2"/>
              </w:rPr>
              <w:t>Vėdinimo sistemos medžiagų</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308C42F2" w:rsidR="00303B28" w:rsidRDefault="00E36517">
            <w:r>
              <w:t>Tiekimo vadybininkas</w:t>
            </w:r>
          </w:p>
          <w:p w14:paraId="1F3D0317" w14:textId="3285DFDC" w:rsidR="008D5935" w:rsidRDefault="006474D3">
            <w:r>
              <w:t>Giedrius Stasytis</w:t>
            </w:r>
          </w:p>
          <w:p w14:paraId="296F11F6" w14:textId="64CCE22F" w:rsidR="008D5935" w:rsidRDefault="00B34D16">
            <w:pPr>
              <w:rPr>
                <w:sz w:val="22"/>
                <w:szCs w:val="22"/>
              </w:rPr>
            </w:pPr>
            <w:r>
              <w:t xml:space="preserve">tel. </w:t>
            </w:r>
            <w:r w:rsidR="00AE1144">
              <w:t>+370</w:t>
            </w:r>
            <w:r w:rsidR="006474D3">
              <w:t>65235733</w:t>
            </w:r>
          </w:p>
          <w:p w14:paraId="3AD27806" w14:textId="6E242732" w:rsidR="005A5832" w:rsidRDefault="00B34D16">
            <w:pPr>
              <w:rPr>
                <w:color w:val="4472C4"/>
                <w:kern w:val="2"/>
              </w:rPr>
            </w:pPr>
            <w:r>
              <w:rPr>
                <w:sz w:val="22"/>
                <w:szCs w:val="22"/>
              </w:rPr>
              <w:t xml:space="preserve">el. </w:t>
            </w:r>
            <w:r w:rsidR="006474D3">
              <w:rPr>
                <w:sz w:val="22"/>
                <w:szCs w:val="22"/>
              </w:rPr>
              <w:t>giedrius.stasytis</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50A8C0E8" w:rsidR="005A5832" w:rsidRDefault="00A10867">
            <w:pPr>
              <w:rPr>
                <w:color w:val="000000"/>
                <w:kern w:val="2"/>
              </w:rPr>
            </w:pPr>
            <w:r>
              <w:rPr>
                <w:kern w:val="2"/>
              </w:rPr>
              <w:t>Tiekėjas įsipareigoja Sutartyje numatytomis sąlygomis perduoti Pirkėjui</w:t>
            </w:r>
            <w:r w:rsidR="00C1202B">
              <w:rPr>
                <w:kern w:val="2"/>
              </w:rPr>
              <w:t xml:space="preserve"> </w:t>
            </w:r>
            <w:r w:rsidR="00B57BFB">
              <w:rPr>
                <w:kern w:val="2"/>
              </w:rPr>
              <w:t xml:space="preserve">vėdinimo sistemos </w:t>
            </w:r>
            <w:r w:rsidR="005C5A33">
              <w:rPr>
                <w:kern w:val="2"/>
              </w:rPr>
              <w:t xml:space="preserve"> medžiagas </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10A925DE" w:rsidR="005A5832" w:rsidRDefault="00C61B44" w:rsidP="00923997">
            <w:pPr>
              <w:rPr>
                <w:color w:val="4472C4"/>
                <w:kern w:val="2"/>
              </w:rPr>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3F4706">
              <w:rPr>
                <w:color w:val="000000"/>
              </w:rPr>
              <w:t>darbo</w:t>
            </w:r>
            <w:r w:rsidR="007C5437" w:rsidRPr="00541BF6">
              <w:rPr>
                <w:color w:val="000000"/>
              </w:rPr>
              <w:t xml:space="preserve"> dienų nuo užsakymo pateikimo dienos</w:t>
            </w:r>
            <w:r w:rsidR="007C5437">
              <w:rPr>
                <w:color w:val="000000"/>
              </w:rPr>
              <w:t xml:space="preserve"> adresais: </w:t>
            </w:r>
            <w:r w:rsidR="00F4795D" w:rsidRPr="00F52900">
              <w:t>Josvainių g. 2, Kaunas</w:t>
            </w:r>
            <w:r w:rsidR="00F4795D">
              <w:t xml:space="preserve">; </w:t>
            </w:r>
            <w:r w:rsidR="00F4795D" w:rsidRPr="00F52900">
              <w:t>Hipodromo g. 13, Kaunas</w:t>
            </w:r>
            <w:r w:rsidR="00F4795D">
              <w:t xml:space="preserve">;  </w:t>
            </w:r>
            <w:r w:rsidR="00F4795D" w:rsidRPr="00F52900">
              <w:t>A. Kriščiūnio g. 2, Žiegždriai, Kauno</w:t>
            </w:r>
            <w:r w:rsidR="00F4795D">
              <w:t xml:space="preserve"> </w:t>
            </w:r>
            <w:r w:rsidR="00F4795D" w:rsidRPr="00F52900">
              <w:t>raj</w:t>
            </w:r>
            <w:r w:rsidR="00F4795D">
              <w:t xml:space="preserve">.;  </w:t>
            </w:r>
            <w:r w:rsidR="00F4795D" w:rsidRPr="00F52900">
              <w:t>J. Zikaro g. 14, Kačerginė, Kauno</w:t>
            </w:r>
            <w:r w:rsidR="00F4795D">
              <w:t xml:space="preserve"> </w:t>
            </w:r>
            <w:r w:rsidR="00F4795D" w:rsidRPr="00F52900">
              <w:t>raj</w:t>
            </w:r>
            <w:r w:rsidR="00F4795D">
              <w:t xml:space="preserve">.; </w:t>
            </w:r>
            <w:r w:rsidR="00F4795D" w:rsidRPr="00F52900">
              <w:t>Kiaunių g. 2, Kaunas</w:t>
            </w:r>
            <w:r w:rsidR="00F4795D">
              <w:t xml:space="preserve">; </w:t>
            </w:r>
            <w:r w:rsidR="00F4795D" w:rsidRPr="00F52900">
              <w:t>Miško g. 27,</w:t>
            </w:r>
            <w:r w:rsidR="00F4795D">
              <w:t xml:space="preserve"> </w:t>
            </w:r>
            <w:r w:rsidR="00F4795D" w:rsidRPr="00F52900">
              <w:t>Kaunas</w:t>
            </w:r>
            <w:r w:rsidR="00F4795D">
              <w:t xml:space="preserve">; </w:t>
            </w:r>
            <w:r w:rsidR="00F4795D" w:rsidRPr="00F52900">
              <w:t>S. Dariaus ir S. Girėno g. 48 - 50,</w:t>
            </w:r>
            <w:r w:rsidR="00F4795D">
              <w:t xml:space="preserve"> </w:t>
            </w:r>
            <w:r w:rsidR="00F4795D" w:rsidRPr="00F52900">
              <w:t>Kaunas</w:t>
            </w:r>
            <w:r w:rsidR="00E1042E">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7E35A6D" w:rsidR="00795FCB" w:rsidRPr="004432C7" w:rsidRDefault="00A9665E" w:rsidP="004432C7">
            <w:r w:rsidRPr="003D21AA">
              <w:rPr>
                <w:color w:val="000000"/>
              </w:rPr>
              <w:t>Prekės pristatomos</w:t>
            </w:r>
            <w:r w:rsidR="00C67064">
              <w:rPr>
                <w:color w:val="000000"/>
              </w:rPr>
              <w:t xml:space="preserve"> naujos, </w:t>
            </w:r>
            <w:r w:rsidRPr="003D21AA">
              <w:rPr>
                <w:color w:val="000000"/>
              </w:rPr>
              <w:t xml:space="preserve">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lastRenderedPageBreak/>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hd w:val="clear" w:color="auto" w:fill="FFFFFF"/>
              </w:rPr>
              <w:lastRenderedPageBreak/>
              <w:t xml:space="preserve">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DA5E01"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 xml:space="preserve">5.3.4. Sutarties kainos / įkainių peržiūra dėl kainų lygio pokyčio </w:t>
            </w:r>
            <w:r>
              <w:rPr>
                <w:b/>
                <w:bCs/>
                <w:kern w:val="2"/>
              </w:rPr>
              <w:lastRenderedPageBreak/>
              <w:t>pagal Prekių grupių kainų pokyčius</w:t>
            </w:r>
          </w:p>
        </w:tc>
        <w:tc>
          <w:tcPr>
            <w:tcW w:w="6831" w:type="dxa"/>
            <w:gridSpan w:val="2"/>
          </w:tcPr>
          <w:p w14:paraId="350DF6B8" w14:textId="77777777" w:rsidR="00EC3A91" w:rsidRDefault="00EC3A91" w:rsidP="00EC3A91">
            <w:pPr>
              <w:rPr>
                <w:kern w:val="2"/>
              </w:rPr>
            </w:pPr>
            <w:r>
              <w:rPr>
                <w:kern w:val="2"/>
              </w:rPr>
              <w:lastRenderedPageBreak/>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72262E6A" w:rsidR="00EC3A91" w:rsidRDefault="00EC3A91" w:rsidP="00EC3A91">
            <w:pPr>
              <w:rPr>
                <w:kern w:val="2"/>
              </w:rPr>
            </w:pPr>
            <w:r w:rsidRPr="00D04C5A">
              <w:rPr>
                <w:kern w:val="2"/>
              </w:rPr>
              <w:t>Prekėms nustatomas Tiekėjo pasiūlytas arba Prekių gamintojo taikomas Garantinis terminas</w:t>
            </w:r>
            <w:r w:rsidR="000F3889">
              <w:rPr>
                <w:kern w:val="2"/>
              </w:rPr>
              <w:t>, bet ne trumpesnis nei 12 (dvylika) mėnesių.</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lastRenderedPageBreak/>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lastRenderedPageBreak/>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54377F56" w:rsidR="00EC3A91" w:rsidRDefault="00EC3A91" w:rsidP="00EC3A91">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45C66">
              <w:rPr>
                <w:kern w:val="2"/>
              </w:rPr>
              <w:t>24</w:t>
            </w:r>
            <w:r w:rsidRPr="00E94753">
              <w:rPr>
                <w:kern w:val="2"/>
              </w:rPr>
              <w:t xml:space="preserve"> </w:t>
            </w:r>
            <w:r w:rsidRPr="002F5D2C">
              <w:rPr>
                <w:kern w:val="2"/>
              </w:rPr>
              <w:t>(</w:t>
            </w:r>
            <w:r w:rsidR="00B45C66">
              <w:rPr>
                <w:kern w:val="2"/>
              </w:rPr>
              <w:t>dvidešimt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 xml:space="preserve">Nustačius, kad Tiekėjas šiame punkte nustatytų reikalavimų nesilaiko, už Prekių </w:t>
            </w:r>
            <w:r w:rsidRPr="00565BB5">
              <w:rPr>
                <w:b/>
                <w:bCs/>
                <w:shd w:val="clear" w:color="auto" w:fill="FFFFFF"/>
              </w:rPr>
              <w:lastRenderedPageBreak/>
              <w:t>priėmimą atsakingas Pirkėjo atstovas turi teisę Prekių nepriimti 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lastRenderedPageBreak/>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64BDAF83" w14:textId="77777777" w:rsidR="00EC3A91" w:rsidRPr="00C27F47" w:rsidRDefault="00C27F47" w:rsidP="00C27F47">
            <w:pPr>
              <w:jc w:val="center"/>
              <w:rPr>
                <w:kern w:val="2"/>
              </w:rPr>
            </w:pPr>
            <w:r w:rsidRPr="00C27F47">
              <w:rPr>
                <w:kern w:val="2"/>
              </w:rPr>
              <w:t>Generalinė direktorė</w:t>
            </w:r>
          </w:p>
          <w:p w14:paraId="476BEAE4" w14:textId="09F3B782" w:rsidR="00C27F47" w:rsidRDefault="00C27F47" w:rsidP="00C27F47">
            <w:pPr>
              <w:jc w:val="center"/>
              <w:rPr>
                <w:color w:val="4472C4"/>
                <w:kern w:val="2"/>
              </w:rPr>
            </w:pPr>
            <w:r w:rsidRPr="00C27F47">
              <w:rPr>
                <w:kern w:val="2"/>
              </w:rPr>
              <w:t>Prof. dr. Diana Žaliaduonytė</w:t>
            </w: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73B0"/>
    <w:rsid w:val="000777C2"/>
    <w:rsid w:val="000B221C"/>
    <w:rsid w:val="000C1105"/>
    <w:rsid w:val="000C4607"/>
    <w:rsid w:val="000D62EB"/>
    <w:rsid w:val="000F3889"/>
    <w:rsid w:val="00107437"/>
    <w:rsid w:val="001110CB"/>
    <w:rsid w:val="00164F30"/>
    <w:rsid w:val="0018329F"/>
    <w:rsid w:val="001A386C"/>
    <w:rsid w:val="001A5809"/>
    <w:rsid w:val="001B573D"/>
    <w:rsid w:val="001D2586"/>
    <w:rsid w:val="002623B6"/>
    <w:rsid w:val="002A4151"/>
    <w:rsid w:val="002A57C6"/>
    <w:rsid w:val="00303B28"/>
    <w:rsid w:val="0031139F"/>
    <w:rsid w:val="00396BED"/>
    <w:rsid w:val="003A305A"/>
    <w:rsid w:val="003C7BED"/>
    <w:rsid w:val="003E395D"/>
    <w:rsid w:val="003E5B7B"/>
    <w:rsid w:val="003F4706"/>
    <w:rsid w:val="004070E0"/>
    <w:rsid w:val="0043086F"/>
    <w:rsid w:val="004432C7"/>
    <w:rsid w:val="004657F6"/>
    <w:rsid w:val="00475C6D"/>
    <w:rsid w:val="00491FE5"/>
    <w:rsid w:val="004A1A61"/>
    <w:rsid w:val="004C4A8D"/>
    <w:rsid w:val="004E07B2"/>
    <w:rsid w:val="004E1338"/>
    <w:rsid w:val="004E2526"/>
    <w:rsid w:val="00533CB0"/>
    <w:rsid w:val="00557BB6"/>
    <w:rsid w:val="005A5832"/>
    <w:rsid w:val="005C5A33"/>
    <w:rsid w:val="005F17F8"/>
    <w:rsid w:val="005F5B23"/>
    <w:rsid w:val="00630375"/>
    <w:rsid w:val="006474D3"/>
    <w:rsid w:val="006641AB"/>
    <w:rsid w:val="006734EF"/>
    <w:rsid w:val="00684226"/>
    <w:rsid w:val="0069452E"/>
    <w:rsid w:val="00696AD8"/>
    <w:rsid w:val="006A131F"/>
    <w:rsid w:val="007025B4"/>
    <w:rsid w:val="00743C00"/>
    <w:rsid w:val="0076509B"/>
    <w:rsid w:val="00790749"/>
    <w:rsid w:val="00791C13"/>
    <w:rsid w:val="00795FC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3207"/>
    <w:rsid w:val="00936EC7"/>
    <w:rsid w:val="009535FC"/>
    <w:rsid w:val="00956C01"/>
    <w:rsid w:val="00971BE6"/>
    <w:rsid w:val="00975A40"/>
    <w:rsid w:val="00983D64"/>
    <w:rsid w:val="009C04E1"/>
    <w:rsid w:val="009C4AE2"/>
    <w:rsid w:val="009F2DF0"/>
    <w:rsid w:val="00A0473B"/>
    <w:rsid w:val="00A10867"/>
    <w:rsid w:val="00A26A55"/>
    <w:rsid w:val="00A300C4"/>
    <w:rsid w:val="00A857BE"/>
    <w:rsid w:val="00A93352"/>
    <w:rsid w:val="00A9665E"/>
    <w:rsid w:val="00AA4032"/>
    <w:rsid w:val="00AC2239"/>
    <w:rsid w:val="00AC46C5"/>
    <w:rsid w:val="00AD154C"/>
    <w:rsid w:val="00AE1144"/>
    <w:rsid w:val="00AF1769"/>
    <w:rsid w:val="00B02A44"/>
    <w:rsid w:val="00B20432"/>
    <w:rsid w:val="00B34D16"/>
    <w:rsid w:val="00B37405"/>
    <w:rsid w:val="00B45C66"/>
    <w:rsid w:val="00B55A50"/>
    <w:rsid w:val="00B57BFB"/>
    <w:rsid w:val="00BB283C"/>
    <w:rsid w:val="00BE7A1E"/>
    <w:rsid w:val="00BF1BBA"/>
    <w:rsid w:val="00C1161E"/>
    <w:rsid w:val="00C1202B"/>
    <w:rsid w:val="00C138D3"/>
    <w:rsid w:val="00C20B51"/>
    <w:rsid w:val="00C2153B"/>
    <w:rsid w:val="00C27F47"/>
    <w:rsid w:val="00C373F0"/>
    <w:rsid w:val="00C51D3B"/>
    <w:rsid w:val="00C603CB"/>
    <w:rsid w:val="00C61B44"/>
    <w:rsid w:val="00C650E4"/>
    <w:rsid w:val="00C65346"/>
    <w:rsid w:val="00C67064"/>
    <w:rsid w:val="00C716B0"/>
    <w:rsid w:val="00CA0056"/>
    <w:rsid w:val="00CC7367"/>
    <w:rsid w:val="00CF0C36"/>
    <w:rsid w:val="00D04C5A"/>
    <w:rsid w:val="00D0561B"/>
    <w:rsid w:val="00D07C23"/>
    <w:rsid w:val="00D27AFE"/>
    <w:rsid w:val="00D35894"/>
    <w:rsid w:val="00D4148C"/>
    <w:rsid w:val="00D60E8E"/>
    <w:rsid w:val="00D9242D"/>
    <w:rsid w:val="00D92D3E"/>
    <w:rsid w:val="00DA5E01"/>
    <w:rsid w:val="00DB14A4"/>
    <w:rsid w:val="00DB1841"/>
    <w:rsid w:val="00DC44E3"/>
    <w:rsid w:val="00DC57AF"/>
    <w:rsid w:val="00DD6EAC"/>
    <w:rsid w:val="00E01F95"/>
    <w:rsid w:val="00E04DC2"/>
    <w:rsid w:val="00E1042E"/>
    <w:rsid w:val="00E20547"/>
    <w:rsid w:val="00E3279D"/>
    <w:rsid w:val="00E36517"/>
    <w:rsid w:val="00E378B4"/>
    <w:rsid w:val="00E52923"/>
    <w:rsid w:val="00E85285"/>
    <w:rsid w:val="00E94753"/>
    <w:rsid w:val="00EC3A91"/>
    <w:rsid w:val="00EE2CB5"/>
    <w:rsid w:val="00EE4096"/>
    <w:rsid w:val="00F05951"/>
    <w:rsid w:val="00F40899"/>
    <w:rsid w:val="00F43579"/>
    <w:rsid w:val="00F46382"/>
    <w:rsid w:val="00F4795D"/>
    <w:rsid w:val="00F80CB5"/>
    <w:rsid w:val="00F82572"/>
    <w:rsid w:val="00F8396F"/>
    <w:rsid w:val="00F86696"/>
    <w:rsid w:val="00FC3AE6"/>
    <w:rsid w:val="00FD1A9D"/>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4.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9</Pages>
  <Words>10942</Words>
  <Characters>6238</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66</cp:revision>
  <cp:lastPrinted>2024-06-07T13:04:00Z</cp:lastPrinted>
  <dcterms:created xsi:type="dcterms:W3CDTF">2024-06-18T11:31:00Z</dcterms:created>
  <dcterms:modified xsi:type="dcterms:W3CDTF">2025-02-26T10:16:00Z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