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F5E" w14:textId="710C98CF" w:rsidR="005A5832" w:rsidRPr="00B2456C" w:rsidRDefault="005A5832">
      <w:pPr>
        <w:widowControl w:val="0"/>
        <w:pBdr>
          <w:top w:val="nil"/>
          <w:left w:val="nil"/>
          <w:bottom w:val="nil"/>
          <w:right w:val="nil"/>
          <w:between w:val="nil"/>
        </w:pBdr>
        <w:tabs>
          <w:tab w:val="left" w:pos="567"/>
          <w:tab w:val="left" w:pos="851"/>
        </w:tabs>
        <w:jc w:val="center"/>
        <w:rPr>
          <w:b/>
          <w:bCs/>
          <w:caps/>
          <w:kern w:val="2"/>
          <w:szCs w:val="24"/>
        </w:rPr>
      </w:pPr>
    </w:p>
    <w:p w14:paraId="3AA9DF09" w14:textId="69442201" w:rsidR="00F34CC9" w:rsidRDefault="008A3BFC">
      <w:pPr>
        <w:widowControl w:val="0"/>
        <w:pBdr>
          <w:top w:val="nil"/>
          <w:left w:val="nil"/>
          <w:bottom w:val="nil"/>
          <w:right w:val="nil"/>
          <w:between w:val="nil"/>
        </w:pBdr>
        <w:tabs>
          <w:tab w:val="left" w:pos="567"/>
          <w:tab w:val="left" w:pos="851"/>
        </w:tabs>
        <w:jc w:val="center"/>
        <w:rPr>
          <w:b/>
          <w:caps/>
          <w:szCs w:val="24"/>
        </w:rPr>
      </w:pPr>
      <w:r>
        <w:rPr>
          <w:b/>
          <w:caps/>
          <w:szCs w:val="24"/>
        </w:rPr>
        <w:t>Vaistinių preparatų</w:t>
      </w:r>
    </w:p>
    <w:p w14:paraId="26C45A7C" w14:textId="0D0602E6" w:rsidR="0084468D" w:rsidRDefault="00A10867">
      <w:pPr>
        <w:widowControl w:val="0"/>
        <w:pBdr>
          <w:top w:val="nil"/>
          <w:left w:val="nil"/>
          <w:bottom w:val="nil"/>
          <w:right w:val="nil"/>
          <w:between w:val="nil"/>
        </w:pBdr>
        <w:tabs>
          <w:tab w:val="left" w:pos="567"/>
          <w:tab w:val="left" w:pos="851"/>
        </w:tabs>
        <w:jc w:val="center"/>
        <w:rPr>
          <w:b/>
          <w:caps/>
          <w:szCs w:val="24"/>
        </w:rPr>
      </w:pPr>
      <w:r w:rsidRPr="00B2456C">
        <w:rPr>
          <w:b/>
          <w:caps/>
          <w:szCs w:val="24"/>
        </w:rPr>
        <w:t>pirkimo-pardavimo sutartis</w:t>
      </w:r>
    </w:p>
    <w:p w14:paraId="1B5E2844" w14:textId="77777777" w:rsidR="00D56F75" w:rsidRDefault="00D56F75">
      <w:pPr>
        <w:widowControl w:val="0"/>
        <w:pBdr>
          <w:top w:val="nil"/>
          <w:left w:val="nil"/>
          <w:bottom w:val="nil"/>
          <w:right w:val="nil"/>
          <w:between w:val="nil"/>
        </w:pBdr>
        <w:tabs>
          <w:tab w:val="left" w:pos="567"/>
          <w:tab w:val="left" w:pos="851"/>
        </w:tabs>
        <w:jc w:val="center"/>
        <w:rPr>
          <w:b/>
          <w:caps/>
          <w:szCs w:val="24"/>
        </w:rPr>
      </w:pPr>
    </w:p>
    <w:p w14:paraId="5DB3A1F0" w14:textId="26BFCA65"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08985859" w:rsidR="005A5832" w:rsidRPr="00B2456C" w:rsidRDefault="008A3BFC">
            <w:pPr>
              <w:jc w:val="both"/>
              <w:rPr>
                <w:kern w:val="2"/>
                <w:szCs w:val="24"/>
              </w:rPr>
            </w:pPr>
            <w:r>
              <w:rPr>
                <w:kern w:val="2"/>
                <w:szCs w:val="24"/>
              </w:rPr>
              <w:t>Vaistinių prepara</w:t>
            </w:r>
            <w:r w:rsidR="001B0D90">
              <w:rPr>
                <w:kern w:val="2"/>
                <w:szCs w:val="24"/>
              </w:rPr>
              <w:t>t</w:t>
            </w:r>
            <w:r>
              <w:rPr>
                <w:kern w:val="2"/>
                <w:szCs w:val="24"/>
              </w:rPr>
              <w:t>ų</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77777777" w:rsidR="005A5832" w:rsidRPr="00B2456C" w:rsidRDefault="005A5832">
            <w:pPr>
              <w:jc w:val="both"/>
              <w:rPr>
                <w:kern w:val="2"/>
                <w:szCs w:val="24"/>
              </w:rPr>
            </w:pP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77777777" w:rsidR="005A5832" w:rsidRPr="00B2456C" w:rsidRDefault="005A5832">
            <w:pPr>
              <w:jc w:val="both"/>
              <w:rPr>
                <w:kern w:val="2"/>
                <w:szCs w:val="24"/>
              </w:rPr>
            </w:pP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131E1F56" w:rsidR="005A5832" w:rsidRPr="0084468D" w:rsidRDefault="0084468D" w:rsidP="0084468D">
            <w:pPr>
              <w:pStyle w:val="BodyText1"/>
              <w:widowControl w:val="0"/>
              <w:tabs>
                <w:tab w:val="left" w:pos="0"/>
                <w:tab w:val="left" w:pos="567"/>
                <w:tab w:val="left" w:pos="1201"/>
              </w:tabs>
              <w:ind w:firstLine="0"/>
              <w:rPr>
                <w:rFonts w:ascii="Times New Roman" w:hAnsi="Times New Roman"/>
                <w:lang w:val="en-GB"/>
              </w:rPr>
            </w:pPr>
            <w:r w:rsidRPr="005B1BC4">
              <w:rPr>
                <w:rFonts w:ascii="Times New Roman" w:hAnsi="Times New Roman"/>
                <w:lang w:val="en-GB"/>
              </w:rPr>
              <w:t>Švitrigailos g. 42, Vilnius, 03209</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yperlink"/>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5A5832" w:rsidRPr="00B2456C" w14:paraId="028E6843" w14:textId="77777777" w:rsidTr="55BAD12E">
        <w:tc>
          <w:tcPr>
            <w:tcW w:w="2808" w:type="dxa"/>
            <w:vMerge w:val="restart"/>
          </w:tcPr>
          <w:p w14:paraId="5AC69E70" w14:textId="77777777" w:rsidR="005A5832" w:rsidRPr="00B2456C" w:rsidRDefault="005A5832">
            <w:pPr>
              <w:rPr>
                <w:b/>
                <w:bCs/>
                <w:kern w:val="2"/>
                <w:szCs w:val="24"/>
              </w:rPr>
            </w:pPr>
          </w:p>
          <w:p w14:paraId="10B91B43" w14:textId="77777777" w:rsidR="005A5832" w:rsidRPr="00B2456C" w:rsidRDefault="005A5832">
            <w:pPr>
              <w:rPr>
                <w:b/>
                <w:bCs/>
                <w:kern w:val="2"/>
                <w:szCs w:val="24"/>
              </w:rPr>
            </w:pPr>
          </w:p>
          <w:p w14:paraId="28579463" w14:textId="77777777" w:rsidR="005A5832" w:rsidRPr="00B2456C" w:rsidRDefault="005A5832">
            <w:pPr>
              <w:rPr>
                <w:b/>
                <w:bCs/>
                <w:kern w:val="2"/>
                <w:szCs w:val="24"/>
              </w:rPr>
            </w:pPr>
          </w:p>
          <w:p w14:paraId="42E45289" w14:textId="77777777" w:rsidR="005A5832" w:rsidRPr="00B2456C" w:rsidRDefault="00A10867">
            <w:pPr>
              <w:rPr>
                <w:b/>
                <w:bCs/>
                <w:kern w:val="2"/>
                <w:szCs w:val="24"/>
              </w:rPr>
            </w:pPr>
            <w:r w:rsidRPr="00B2456C">
              <w:rPr>
                <w:b/>
                <w:bCs/>
                <w:kern w:val="2"/>
                <w:szCs w:val="24"/>
              </w:rPr>
              <w:t>1.2. Tiekėjas</w:t>
            </w:r>
          </w:p>
          <w:p w14:paraId="4C3F30EE" w14:textId="77777777" w:rsidR="005A5832" w:rsidRPr="00B2456C" w:rsidRDefault="00A10867">
            <w:pPr>
              <w:rPr>
                <w:color w:val="4472C4"/>
                <w:kern w:val="2"/>
                <w:szCs w:val="24"/>
              </w:rPr>
            </w:pPr>
            <w:r w:rsidRPr="00B2456C">
              <w:rPr>
                <w:color w:val="4472C4"/>
                <w:kern w:val="2"/>
                <w:szCs w:val="24"/>
              </w:rPr>
              <w:t>(jei Tiekėjas yra fizinis asmuo, skiltys atitinkamai pakoreguojamos)</w:t>
            </w:r>
          </w:p>
          <w:p w14:paraId="2F44E82A" w14:textId="77777777" w:rsidR="005A5832" w:rsidRPr="00B2456C" w:rsidRDefault="005A5832">
            <w:pPr>
              <w:rPr>
                <w:b/>
                <w:bCs/>
                <w:kern w:val="2"/>
                <w:szCs w:val="24"/>
              </w:rPr>
            </w:pPr>
          </w:p>
        </w:tc>
        <w:tc>
          <w:tcPr>
            <w:tcW w:w="3240" w:type="dxa"/>
          </w:tcPr>
          <w:p w14:paraId="018B5499" w14:textId="77777777" w:rsidR="005A5832" w:rsidRPr="00B2456C" w:rsidRDefault="00A10867">
            <w:pPr>
              <w:rPr>
                <w:kern w:val="2"/>
                <w:szCs w:val="24"/>
              </w:rPr>
            </w:pPr>
            <w:r w:rsidRPr="00B2456C">
              <w:rPr>
                <w:kern w:val="2"/>
                <w:szCs w:val="24"/>
              </w:rPr>
              <w:t>1.2.1. Pavadinimas</w:t>
            </w:r>
          </w:p>
        </w:tc>
        <w:tc>
          <w:tcPr>
            <w:tcW w:w="3510" w:type="dxa"/>
          </w:tcPr>
          <w:p w14:paraId="5939340B" w14:textId="77777777" w:rsidR="005A5832" w:rsidRPr="00B2456C" w:rsidRDefault="005A5832">
            <w:pPr>
              <w:jc w:val="center"/>
              <w:rPr>
                <w:kern w:val="2"/>
                <w:szCs w:val="24"/>
              </w:rPr>
            </w:pPr>
          </w:p>
        </w:tc>
      </w:tr>
      <w:tr w:rsidR="005A5832" w:rsidRPr="00B2456C" w14:paraId="799EF47F" w14:textId="77777777" w:rsidTr="55BAD12E">
        <w:tc>
          <w:tcPr>
            <w:tcW w:w="2808" w:type="dxa"/>
            <w:vMerge/>
          </w:tcPr>
          <w:p w14:paraId="2C427E40" w14:textId="77777777" w:rsidR="005A5832" w:rsidRPr="00B2456C" w:rsidRDefault="005A5832">
            <w:pPr>
              <w:rPr>
                <w:b/>
                <w:bCs/>
                <w:kern w:val="2"/>
                <w:szCs w:val="24"/>
              </w:rPr>
            </w:pPr>
          </w:p>
        </w:tc>
        <w:tc>
          <w:tcPr>
            <w:tcW w:w="3240" w:type="dxa"/>
          </w:tcPr>
          <w:p w14:paraId="0DF221AA" w14:textId="77777777" w:rsidR="005A5832" w:rsidRPr="00B2456C" w:rsidRDefault="00A10867">
            <w:pPr>
              <w:rPr>
                <w:kern w:val="2"/>
                <w:szCs w:val="24"/>
              </w:rPr>
            </w:pPr>
            <w:r w:rsidRPr="00B2456C">
              <w:rPr>
                <w:kern w:val="2"/>
                <w:szCs w:val="24"/>
              </w:rPr>
              <w:t>1.2.2. Juridinio asmens kodas</w:t>
            </w:r>
          </w:p>
        </w:tc>
        <w:tc>
          <w:tcPr>
            <w:tcW w:w="3510" w:type="dxa"/>
          </w:tcPr>
          <w:p w14:paraId="1D023B05" w14:textId="77777777" w:rsidR="005A5832" w:rsidRPr="00B2456C" w:rsidRDefault="005A5832">
            <w:pPr>
              <w:jc w:val="center"/>
              <w:rPr>
                <w:kern w:val="2"/>
                <w:szCs w:val="24"/>
              </w:rPr>
            </w:pPr>
          </w:p>
        </w:tc>
      </w:tr>
      <w:tr w:rsidR="005A5832" w:rsidRPr="00B2456C" w14:paraId="07EA137D" w14:textId="77777777" w:rsidTr="55BAD12E">
        <w:tc>
          <w:tcPr>
            <w:tcW w:w="2808" w:type="dxa"/>
            <w:vMerge/>
          </w:tcPr>
          <w:p w14:paraId="6216A97D" w14:textId="77777777" w:rsidR="005A5832" w:rsidRPr="00B2456C" w:rsidRDefault="005A5832">
            <w:pPr>
              <w:rPr>
                <w:b/>
                <w:bCs/>
                <w:kern w:val="2"/>
                <w:szCs w:val="24"/>
              </w:rPr>
            </w:pPr>
          </w:p>
        </w:tc>
        <w:tc>
          <w:tcPr>
            <w:tcW w:w="3240" w:type="dxa"/>
          </w:tcPr>
          <w:p w14:paraId="1A711C45" w14:textId="77777777" w:rsidR="005A5832" w:rsidRPr="00B2456C" w:rsidRDefault="00A10867">
            <w:pPr>
              <w:rPr>
                <w:kern w:val="2"/>
                <w:szCs w:val="24"/>
              </w:rPr>
            </w:pPr>
            <w:r w:rsidRPr="00B2456C">
              <w:rPr>
                <w:kern w:val="2"/>
                <w:szCs w:val="24"/>
              </w:rPr>
              <w:t>1.2.3. Adresas</w:t>
            </w:r>
          </w:p>
        </w:tc>
        <w:tc>
          <w:tcPr>
            <w:tcW w:w="3510" w:type="dxa"/>
          </w:tcPr>
          <w:p w14:paraId="00564036" w14:textId="77777777" w:rsidR="005A5832" w:rsidRPr="00B2456C" w:rsidRDefault="005A5832">
            <w:pPr>
              <w:jc w:val="center"/>
              <w:rPr>
                <w:kern w:val="2"/>
                <w:szCs w:val="24"/>
              </w:rPr>
            </w:pPr>
          </w:p>
        </w:tc>
      </w:tr>
      <w:tr w:rsidR="005A5832" w:rsidRPr="00B2456C" w14:paraId="7D41C86F" w14:textId="77777777" w:rsidTr="55BAD12E">
        <w:tc>
          <w:tcPr>
            <w:tcW w:w="2808" w:type="dxa"/>
            <w:vMerge/>
          </w:tcPr>
          <w:p w14:paraId="39FA5AE9" w14:textId="77777777" w:rsidR="005A5832" w:rsidRPr="00B2456C" w:rsidRDefault="005A5832">
            <w:pPr>
              <w:rPr>
                <w:b/>
                <w:bCs/>
                <w:kern w:val="2"/>
                <w:szCs w:val="24"/>
              </w:rPr>
            </w:pPr>
          </w:p>
        </w:tc>
        <w:tc>
          <w:tcPr>
            <w:tcW w:w="3240" w:type="dxa"/>
          </w:tcPr>
          <w:p w14:paraId="547E5CD9" w14:textId="77777777" w:rsidR="005A5832" w:rsidRPr="00B2456C" w:rsidRDefault="00A10867">
            <w:pPr>
              <w:rPr>
                <w:kern w:val="2"/>
                <w:szCs w:val="24"/>
              </w:rPr>
            </w:pPr>
            <w:r w:rsidRPr="00B2456C">
              <w:rPr>
                <w:kern w:val="2"/>
                <w:szCs w:val="24"/>
              </w:rPr>
              <w:t>1.2.4. PVM mokėtojo kodas</w:t>
            </w:r>
          </w:p>
        </w:tc>
        <w:tc>
          <w:tcPr>
            <w:tcW w:w="3510" w:type="dxa"/>
          </w:tcPr>
          <w:p w14:paraId="0EBCD4F1" w14:textId="77777777" w:rsidR="005A5832" w:rsidRPr="00B2456C" w:rsidRDefault="005A5832">
            <w:pPr>
              <w:jc w:val="center"/>
              <w:rPr>
                <w:kern w:val="2"/>
                <w:szCs w:val="24"/>
              </w:rPr>
            </w:pPr>
          </w:p>
        </w:tc>
      </w:tr>
      <w:tr w:rsidR="005A5832" w:rsidRPr="00B2456C" w14:paraId="2F28885B" w14:textId="77777777" w:rsidTr="55BAD12E">
        <w:tc>
          <w:tcPr>
            <w:tcW w:w="2808" w:type="dxa"/>
            <w:vMerge/>
          </w:tcPr>
          <w:p w14:paraId="5FB354F1" w14:textId="77777777" w:rsidR="005A5832" w:rsidRPr="00B2456C" w:rsidRDefault="005A5832">
            <w:pPr>
              <w:rPr>
                <w:b/>
                <w:bCs/>
                <w:kern w:val="2"/>
                <w:szCs w:val="24"/>
              </w:rPr>
            </w:pPr>
          </w:p>
        </w:tc>
        <w:tc>
          <w:tcPr>
            <w:tcW w:w="3240" w:type="dxa"/>
          </w:tcPr>
          <w:p w14:paraId="7DCE7CE3" w14:textId="77777777" w:rsidR="005A5832" w:rsidRPr="00B2456C" w:rsidRDefault="00A10867">
            <w:pPr>
              <w:rPr>
                <w:kern w:val="2"/>
                <w:szCs w:val="24"/>
              </w:rPr>
            </w:pPr>
            <w:r w:rsidRPr="00B2456C">
              <w:rPr>
                <w:kern w:val="2"/>
                <w:szCs w:val="24"/>
              </w:rPr>
              <w:t>1.2.5. Atsiskaitomoji sąskaita</w:t>
            </w:r>
          </w:p>
        </w:tc>
        <w:tc>
          <w:tcPr>
            <w:tcW w:w="3510" w:type="dxa"/>
          </w:tcPr>
          <w:p w14:paraId="7599FA69" w14:textId="77777777" w:rsidR="005A5832" w:rsidRPr="00B2456C" w:rsidRDefault="005A5832">
            <w:pPr>
              <w:jc w:val="center"/>
              <w:rPr>
                <w:kern w:val="2"/>
                <w:szCs w:val="24"/>
              </w:rPr>
            </w:pPr>
          </w:p>
        </w:tc>
      </w:tr>
      <w:tr w:rsidR="005A5832" w:rsidRPr="00B2456C" w14:paraId="325F570B" w14:textId="77777777" w:rsidTr="55BAD12E">
        <w:tc>
          <w:tcPr>
            <w:tcW w:w="2808" w:type="dxa"/>
            <w:vMerge/>
          </w:tcPr>
          <w:p w14:paraId="4103C86D" w14:textId="77777777" w:rsidR="005A5832" w:rsidRPr="00B2456C" w:rsidRDefault="005A5832">
            <w:pPr>
              <w:rPr>
                <w:b/>
                <w:bCs/>
                <w:kern w:val="2"/>
                <w:szCs w:val="24"/>
              </w:rPr>
            </w:pPr>
          </w:p>
        </w:tc>
        <w:tc>
          <w:tcPr>
            <w:tcW w:w="3240" w:type="dxa"/>
          </w:tcPr>
          <w:p w14:paraId="492CCE5F" w14:textId="77777777" w:rsidR="005A5832" w:rsidRPr="00B2456C" w:rsidRDefault="00A10867">
            <w:pPr>
              <w:rPr>
                <w:kern w:val="2"/>
                <w:szCs w:val="24"/>
              </w:rPr>
            </w:pPr>
            <w:r w:rsidRPr="00B2456C">
              <w:rPr>
                <w:kern w:val="2"/>
                <w:szCs w:val="24"/>
              </w:rPr>
              <w:t>1.2.6. Bankas, banko kodas</w:t>
            </w:r>
          </w:p>
        </w:tc>
        <w:tc>
          <w:tcPr>
            <w:tcW w:w="3510" w:type="dxa"/>
          </w:tcPr>
          <w:p w14:paraId="56F5E502" w14:textId="77777777" w:rsidR="005A5832" w:rsidRPr="00B2456C" w:rsidRDefault="005A5832">
            <w:pPr>
              <w:jc w:val="center"/>
              <w:rPr>
                <w:kern w:val="2"/>
                <w:szCs w:val="24"/>
              </w:rPr>
            </w:pPr>
          </w:p>
        </w:tc>
      </w:tr>
      <w:tr w:rsidR="005A5832" w:rsidRPr="00B2456C" w14:paraId="40A03F92" w14:textId="77777777" w:rsidTr="55BAD12E">
        <w:tc>
          <w:tcPr>
            <w:tcW w:w="2808" w:type="dxa"/>
            <w:vMerge/>
          </w:tcPr>
          <w:p w14:paraId="0E9B0842" w14:textId="77777777" w:rsidR="005A5832" w:rsidRPr="00B2456C" w:rsidRDefault="005A5832">
            <w:pPr>
              <w:rPr>
                <w:b/>
                <w:bCs/>
                <w:kern w:val="2"/>
                <w:szCs w:val="24"/>
              </w:rPr>
            </w:pPr>
          </w:p>
        </w:tc>
        <w:tc>
          <w:tcPr>
            <w:tcW w:w="3240" w:type="dxa"/>
          </w:tcPr>
          <w:p w14:paraId="6C98757C" w14:textId="77777777" w:rsidR="005A5832" w:rsidRPr="00B2456C" w:rsidRDefault="00A10867">
            <w:pPr>
              <w:rPr>
                <w:kern w:val="2"/>
                <w:szCs w:val="24"/>
              </w:rPr>
            </w:pPr>
            <w:r w:rsidRPr="00B2456C">
              <w:rPr>
                <w:kern w:val="2"/>
                <w:szCs w:val="24"/>
              </w:rPr>
              <w:t>1.2.7. Telefonas</w:t>
            </w:r>
          </w:p>
        </w:tc>
        <w:tc>
          <w:tcPr>
            <w:tcW w:w="3510" w:type="dxa"/>
          </w:tcPr>
          <w:p w14:paraId="2FE00804" w14:textId="77777777" w:rsidR="005A5832" w:rsidRPr="00B2456C" w:rsidRDefault="005A5832">
            <w:pPr>
              <w:jc w:val="center"/>
              <w:rPr>
                <w:kern w:val="2"/>
                <w:szCs w:val="24"/>
              </w:rPr>
            </w:pPr>
          </w:p>
        </w:tc>
      </w:tr>
      <w:tr w:rsidR="005A5832" w:rsidRPr="00B2456C" w14:paraId="6A62BD66" w14:textId="77777777" w:rsidTr="55BAD12E">
        <w:tc>
          <w:tcPr>
            <w:tcW w:w="2808" w:type="dxa"/>
            <w:vMerge/>
          </w:tcPr>
          <w:p w14:paraId="5EB38DC4" w14:textId="77777777" w:rsidR="005A5832" w:rsidRPr="00B2456C" w:rsidRDefault="005A5832">
            <w:pPr>
              <w:rPr>
                <w:b/>
                <w:bCs/>
                <w:kern w:val="2"/>
                <w:szCs w:val="24"/>
              </w:rPr>
            </w:pPr>
          </w:p>
        </w:tc>
        <w:tc>
          <w:tcPr>
            <w:tcW w:w="3240" w:type="dxa"/>
          </w:tcPr>
          <w:p w14:paraId="29528E38" w14:textId="77777777" w:rsidR="005A5832" w:rsidRPr="00B2456C" w:rsidRDefault="00A10867">
            <w:pPr>
              <w:rPr>
                <w:kern w:val="2"/>
                <w:szCs w:val="24"/>
              </w:rPr>
            </w:pPr>
            <w:r w:rsidRPr="00B2456C">
              <w:rPr>
                <w:kern w:val="2"/>
                <w:szCs w:val="24"/>
              </w:rPr>
              <w:t>1.2.8. El. paštas</w:t>
            </w:r>
          </w:p>
        </w:tc>
        <w:tc>
          <w:tcPr>
            <w:tcW w:w="3510" w:type="dxa"/>
          </w:tcPr>
          <w:p w14:paraId="5F26B10A" w14:textId="77777777" w:rsidR="005A5832" w:rsidRPr="00B2456C" w:rsidRDefault="005A5832">
            <w:pPr>
              <w:jc w:val="center"/>
              <w:rPr>
                <w:kern w:val="2"/>
                <w:szCs w:val="24"/>
              </w:rPr>
            </w:pPr>
          </w:p>
        </w:tc>
      </w:tr>
      <w:tr w:rsidR="005A5832" w:rsidRPr="00B2456C" w14:paraId="7BBA5564" w14:textId="77777777" w:rsidTr="55BAD12E">
        <w:tc>
          <w:tcPr>
            <w:tcW w:w="2808" w:type="dxa"/>
            <w:vMerge/>
          </w:tcPr>
          <w:p w14:paraId="6908DA0E" w14:textId="77777777" w:rsidR="005A5832" w:rsidRPr="00B2456C" w:rsidRDefault="005A5832">
            <w:pPr>
              <w:rPr>
                <w:b/>
                <w:bCs/>
                <w:kern w:val="2"/>
                <w:szCs w:val="24"/>
              </w:rPr>
            </w:pPr>
          </w:p>
        </w:tc>
        <w:tc>
          <w:tcPr>
            <w:tcW w:w="3240" w:type="dxa"/>
          </w:tcPr>
          <w:p w14:paraId="13A2296C" w14:textId="77777777" w:rsidR="005A5832" w:rsidRPr="00B2456C" w:rsidRDefault="00A10867">
            <w:pPr>
              <w:rPr>
                <w:kern w:val="2"/>
                <w:szCs w:val="24"/>
              </w:rPr>
            </w:pPr>
            <w:r w:rsidRPr="00B2456C">
              <w:rPr>
                <w:kern w:val="2"/>
                <w:szCs w:val="24"/>
              </w:rPr>
              <w:t>1.2.9. Šalies atstovas</w:t>
            </w:r>
          </w:p>
        </w:tc>
        <w:tc>
          <w:tcPr>
            <w:tcW w:w="3510" w:type="dxa"/>
          </w:tcPr>
          <w:p w14:paraId="4F1BE202" w14:textId="77777777" w:rsidR="005A5832" w:rsidRPr="00B2456C" w:rsidRDefault="005A5832">
            <w:pPr>
              <w:jc w:val="center"/>
              <w:rPr>
                <w:kern w:val="2"/>
                <w:szCs w:val="24"/>
              </w:rPr>
            </w:pPr>
          </w:p>
        </w:tc>
      </w:tr>
      <w:tr w:rsidR="005A5832" w:rsidRPr="00B2456C" w14:paraId="38A73CA9" w14:textId="77777777" w:rsidTr="55BAD12E">
        <w:tc>
          <w:tcPr>
            <w:tcW w:w="2808" w:type="dxa"/>
            <w:vMerge/>
          </w:tcPr>
          <w:p w14:paraId="366AE865" w14:textId="77777777" w:rsidR="005A5832" w:rsidRPr="00B2456C" w:rsidRDefault="005A5832">
            <w:pPr>
              <w:rPr>
                <w:b/>
                <w:bCs/>
                <w:kern w:val="2"/>
                <w:szCs w:val="24"/>
              </w:rPr>
            </w:pPr>
          </w:p>
        </w:tc>
        <w:tc>
          <w:tcPr>
            <w:tcW w:w="3240" w:type="dxa"/>
          </w:tcPr>
          <w:p w14:paraId="3E624954" w14:textId="77777777" w:rsidR="005A5832" w:rsidRPr="00B2456C" w:rsidRDefault="00A10867">
            <w:pPr>
              <w:rPr>
                <w:kern w:val="2"/>
                <w:szCs w:val="24"/>
              </w:rPr>
            </w:pPr>
            <w:r w:rsidRPr="00B2456C">
              <w:rPr>
                <w:kern w:val="2"/>
                <w:szCs w:val="24"/>
              </w:rPr>
              <w:t>1.2.10. Atstovavimo pagrindas</w:t>
            </w:r>
          </w:p>
        </w:tc>
        <w:tc>
          <w:tcPr>
            <w:tcW w:w="3510" w:type="dxa"/>
          </w:tcPr>
          <w:p w14:paraId="5BA3DECD" w14:textId="77777777" w:rsidR="005A5832" w:rsidRPr="00B2456C" w:rsidRDefault="005A5832">
            <w:pPr>
              <w:jc w:val="center"/>
              <w:rPr>
                <w:kern w:val="2"/>
                <w:szCs w:val="24"/>
              </w:rPr>
            </w:pP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32983E36"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w:t>
            </w:r>
            <w:r w:rsidR="0084468D">
              <w:rPr>
                <w:b/>
                <w:bCs/>
                <w:kern w:val="2"/>
                <w:szCs w:val="24"/>
              </w:rPr>
              <w:t>SABIS</w:t>
            </w:r>
            <w:r w:rsidRPr="00B2456C">
              <w:rPr>
                <w:b/>
                <w:bCs/>
                <w:kern w:val="2"/>
                <w:szCs w:val="24"/>
              </w:rPr>
              <w:t>“ priėmimą</w:t>
            </w:r>
          </w:p>
        </w:tc>
        <w:tc>
          <w:tcPr>
            <w:tcW w:w="6640" w:type="dxa"/>
            <w:gridSpan w:val="2"/>
          </w:tcPr>
          <w:p w14:paraId="1E8377F1"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lastRenderedPageBreak/>
              <w:t>2.2. Tiekėjo kontaktiniai asmenys, atsakingi už Sutarties vykdymą</w:t>
            </w:r>
          </w:p>
        </w:tc>
        <w:tc>
          <w:tcPr>
            <w:tcW w:w="6640" w:type="dxa"/>
            <w:gridSpan w:val="2"/>
          </w:tcPr>
          <w:p w14:paraId="6277054A"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22A9079D"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4468D">
              <w:rPr>
                <w:kern w:val="2"/>
                <w:szCs w:val="24"/>
              </w:rPr>
              <w:t>vaistus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6BC39839"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0084468D">
              <w:rPr>
                <w:color w:val="000000"/>
                <w:kern w:val="2"/>
                <w:szCs w:val="24"/>
              </w:rPr>
              <w:t>1</w:t>
            </w:r>
            <w:r w:rsidRPr="00B2456C">
              <w:rPr>
                <w:color w:val="000000"/>
                <w:kern w:val="2"/>
                <w:szCs w:val="24"/>
              </w:rPr>
              <w:t xml:space="preserve"> „Techninė specifikacija“ (toliau – Techninė specifikacija) ir Sutarties priede Nr. </w:t>
            </w:r>
            <w:r w:rsidR="0084468D">
              <w:rPr>
                <w:color w:val="000000"/>
                <w:kern w:val="2"/>
                <w:szCs w:val="24"/>
              </w:rPr>
              <w:t>4</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1CA27515" w:rsidR="005A5832" w:rsidRPr="00B2456C" w:rsidRDefault="0095714E">
            <w:pPr>
              <w:rPr>
                <w:kern w:val="2"/>
                <w:szCs w:val="24"/>
              </w:rPr>
            </w:pPr>
            <w:r w:rsidRPr="00B2456C">
              <w:rPr>
                <w:color w:val="000000"/>
                <w:kern w:val="2"/>
                <w:szCs w:val="24"/>
                <w:highlight w:val="yellow"/>
              </w:rPr>
              <w:t>[_]</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r w:rsidR="00FD7186" w:rsidRPr="00B2456C">
              <w:rPr>
                <w:i/>
                <w:iCs/>
                <w:szCs w:val="24"/>
              </w:rPr>
              <w:t>Development and Maintenance of RescEU medical stockpile in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321FA21E" w14:textId="04FF96FF" w:rsidR="00097455" w:rsidRPr="00097455" w:rsidRDefault="00334787" w:rsidP="00097455">
            <w:pPr>
              <w:jc w:val="both"/>
            </w:pPr>
            <w:r w:rsidRPr="00C24B91">
              <w:t>P</w:t>
            </w:r>
            <w:r w:rsidR="00097455" w:rsidRPr="00C24B91">
              <w:t xml:space="preserve">o sutarties įsigaliojimo, </w:t>
            </w:r>
            <w:r w:rsidR="00487812">
              <w:t>Pirkėjas</w:t>
            </w:r>
            <w:r w:rsidR="00097455" w:rsidRPr="00C24B91">
              <w:t xml:space="preserve"> prekes įsigys pateikdama</w:t>
            </w:r>
            <w:r w:rsidR="00487812">
              <w:t>s</w:t>
            </w:r>
            <w:r w:rsidR="00097455" w:rsidRPr="00C24B91">
              <w:t xml:space="preserve"> užsakymus tiekėjui. Pirmąjį užsakymą, kuris bus ne mažesnis kaip 50 proc. nuo preliminaraus pirkimo objekto kiekio (atitinkamai pirkimo daliai), </w:t>
            </w:r>
            <w:r w:rsidR="00487812">
              <w:t>Pirkėjas</w:t>
            </w:r>
            <w:r w:rsidR="00097455" w:rsidRPr="00C24B91">
              <w:t xml:space="preserve">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6C2B3B26" w14:textId="07DC1602" w:rsidR="005A5832" w:rsidRPr="00B2456C" w:rsidRDefault="00A10867" w:rsidP="00E92145">
            <w:pPr>
              <w:jc w:val="both"/>
              <w:rPr>
                <w:color w:val="4472C4"/>
                <w:kern w:val="2"/>
                <w:szCs w:val="24"/>
              </w:rPr>
            </w:pPr>
            <w:r w:rsidRPr="00A12DAC">
              <w:rPr>
                <w:kern w:val="2"/>
              </w:rPr>
              <w:t xml:space="preserve">Tiekėjas įsipareigoja pristatyti Prekes </w:t>
            </w:r>
            <w:r w:rsidRPr="00A12DAC">
              <w:rPr>
                <w:color w:val="000000"/>
                <w:kern w:val="2"/>
              </w:rPr>
              <w:t>adresu</w:t>
            </w:r>
            <w:r w:rsidR="00A12DAC">
              <w:rPr>
                <w:color w:val="000000"/>
                <w:kern w:val="2"/>
              </w:rPr>
              <w:t>, kuris</w:t>
            </w:r>
            <w:r w:rsidRPr="00A12DAC">
              <w:rPr>
                <w:color w:val="000000"/>
                <w:kern w:val="2"/>
              </w:rPr>
              <w:t xml:space="preserve"> </w:t>
            </w:r>
            <w:r w:rsidR="00013792" w:rsidRPr="00A12DAC">
              <w:rPr>
                <w:color w:val="000000"/>
                <w:kern w:val="2"/>
              </w:rPr>
              <w:t>bus patikslintas</w:t>
            </w:r>
            <w:r w:rsidR="001F1780">
              <w:rPr>
                <w:color w:val="000000"/>
                <w:kern w:val="2"/>
              </w:rPr>
              <w:t xml:space="preserve"> prieš protingą terminą</w:t>
            </w:r>
            <w:r w:rsidR="004D5841">
              <w:rPr>
                <w:color w:val="000000"/>
                <w:kern w:val="2"/>
              </w:rPr>
              <w:t xml:space="preserve"> (ne mažiau kaip 14 dienų) iki numatomos pristatymo dienos</w:t>
            </w:r>
            <w:r w:rsidR="00013792" w:rsidRPr="00A12DAC">
              <w:rPr>
                <w:color w:val="000000"/>
                <w:kern w:val="2"/>
              </w:rPr>
              <w:t xml:space="preserve">, </w:t>
            </w:r>
            <w:r w:rsidR="003E7E27" w:rsidRPr="00A12DAC">
              <w:rPr>
                <w:color w:val="000000"/>
                <w:kern w:val="2"/>
              </w:rPr>
              <w:t>sandėlis bus Lietuvos Respublikos teritorijoje</w:t>
            </w:r>
            <w:r w:rsidRPr="00A12DA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 xml:space="preserve">4.2. </w:t>
            </w:r>
            <w:r w:rsidRPr="00946797">
              <w:rPr>
                <w:b/>
                <w:bCs/>
                <w:kern w:val="2"/>
                <w:szCs w:val="24"/>
              </w:rPr>
              <w:t>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946797">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946797">
              <w:rPr>
                <w:kern w:val="2"/>
              </w:rPr>
              <w:t>5</w:t>
            </w:r>
            <w:r w:rsidR="00144F21" w:rsidRPr="00946797">
              <w:rPr>
                <w:kern w:val="2"/>
              </w:rPr>
              <w:t xml:space="preserve"> (</w:t>
            </w:r>
            <w:r w:rsidR="6F6ED570" w:rsidRPr="00946797">
              <w:t>penkias</w:t>
            </w:r>
            <w:r w:rsidR="00144F21" w:rsidRPr="00946797">
              <w:rPr>
                <w:kern w:val="2"/>
              </w:rPr>
              <w:t>) darbo dienas nuo aplinkybių atsiradimo momento</w:t>
            </w:r>
            <w:r w:rsidRPr="00946797">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79B0D86E" w:rsidRPr="00946797">
              <w:rPr>
                <w:kern w:val="2"/>
              </w:rPr>
              <w:t>2</w:t>
            </w:r>
            <w:r w:rsidR="00144F21" w:rsidRPr="00946797">
              <w:t xml:space="preserve"> (</w:t>
            </w:r>
            <w:r w:rsidR="0A9BEEB0" w:rsidRPr="00946797">
              <w:t>dviejų</w:t>
            </w:r>
            <w:r w:rsidR="00144F21" w:rsidRPr="00946797">
              <w:t>) mėnesių</w:t>
            </w:r>
            <w:r w:rsidRPr="00946797">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t>4.3. Užsakymų teikimo tvarka</w:t>
            </w:r>
          </w:p>
        </w:tc>
        <w:tc>
          <w:tcPr>
            <w:tcW w:w="6640" w:type="dxa"/>
            <w:gridSpan w:val="2"/>
          </w:tcPr>
          <w:p w14:paraId="7B30A543" w14:textId="48062FD2" w:rsidR="005A5832" w:rsidRPr="0084468D" w:rsidRDefault="00A10867" w:rsidP="00B2456C">
            <w:pPr>
              <w:jc w:val="both"/>
              <w:rPr>
                <w:kern w:val="2"/>
                <w:highlight w:val="yellow"/>
              </w:rPr>
            </w:pPr>
            <w:r w:rsidRPr="00EB7A98">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0277D8" w:rsidRDefault="00A10867" w:rsidP="216F1EDB">
            <w:pPr>
              <w:rPr>
                <w:b/>
                <w:bCs/>
                <w:kern w:val="2"/>
              </w:rPr>
            </w:pPr>
            <w:r w:rsidRPr="000277D8">
              <w:rPr>
                <w:b/>
                <w:bCs/>
                <w:kern w:val="2"/>
              </w:rPr>
              <w:t>4.4. Dėl Prekių pristatymo dalimis vertės / apimties</w:t>
            </w:r>
          </w:p>
        </w:tc>
        <w:tc>
          <w:tcPr>
            <w:tcW w:w="6640" w:type="dxa"/>
            <w:gridSpan w:val="2"/>
          </w:tcPr>
          <w:p w14:paraId="7F2FF8CD" w14:textId="322647E3" w:rsidR="005A5832" w:rsidRPr="000277D8" w:rsidRDefault="00851B94" w:rsidP="00B2456C">
            <w:pPr>
              <w:jc w:val="both"/>
              <w:rPr>
                <w:color w:val="4471C4"/>
              </w:rPr>
            </w:pPr>
            <w:r>
              <w:rPr>
                <w:kern w:val="2"/>
              </w:rPr>
              <w:t xml:space="preserve">Pirmojo užsakymo metu Pirkėjas </w:t>
            </w:r>
            <w:r w:rsidR="00C93E91">
              <w:rPr>
                <w:kern w:val="2"/>
              </w:rPr>
              <w:t>užsakys preliminariai 50 proc. vaistinio preparato doz</w:t>
            </w:r>
            <w:r w:rsidR="00931949">
              <w:rPr>
                <w:kern w:val="2"/>
              </w:rPr>
              <w:t>uočių kiekio, k</w:t>
            </w:r>
            <w:r w:rsidR="00A10867" w:rsidRPr="000277D8">
              <w:rPr>
                <w:kern w:val="2"/>
              </w:rPr>
              <w:t>iekvien</w:t>
            </w:r>
            <w:r w:rsidR="00931949">
              <w:rPr>
                <w:kern w:val="2"/>
              </w:rPr>
              <w:t>as kitas</w:t>
            </w:r>
            <w:r w:rsidR="00A10867" w:rsidRPr="000277D8">
              <w:rPr>
                <w:kern w:val="2"/>
              </w:rPr>
              <w:t xml:space="preserve"> Prekių užsakym</w:t>
            </w:r>
            <w:r w:rsidR="00931949">
              <w:rPr>
                <w:kern w:val="2"/>
              </w:rPr>
              <w:t xml:space="preserve">as bus vykdomas pagal </w:t>
            </w:r>
            <w:r w:rsidR="00E7573C">
              <w:rPr>
                <w:kern w:val="2"/>
              </w:rPr>
              <w:t>Pirkėjo poreikį</w:t>
            </w:r>
            <w:r w:rsidR="00E7573C">
              <w:t xml:space="preserve"> </w:t>
            </w:r>
            <w:r w:rsidR="00E7573C" w:rsidRPr="00E7573C">
              <w:t xml:space="preserve">Bendras užsakymų </w:t>
            </w:r>
            <w:r w:rsidR="00E7573C" w:rsidRPr="00E7573C">
              <w:lastRenderedPageBreak/>
              <w:t>kiekis negali viršyti kiekvienai vaistų eilutei numatytos sumos Eur be PVM</w:t>
            </w:r>
            <w:r w:rsidR="00E7573C">
              <w:t>.</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lastRenderedPageBreak/>
              <w:t xml:space="preserve">4.5. Kartu su Prekėmis pateikiami dokumentai </w:t>
            </w:r>
          </w:p>
        </w:tc>
        <w:tc>
          <w:tcPr>
            <w:tcW w:w="6640" w:type="dxa"/>
            <w:gridSpan w:val="2"/>
          </w:tcPr>
          <w:p w14:paraId="6EC4D2FF" w14:textId="77777777" w:rsidR="009C49C8" w:rsidRDefault="009C49C8" w:rsidP="00B2456C">
            <w:pPr>
              <w:jc w:val="both"/>
            </w:pPr>
            <w:r>
              <w:t>Jei</w:t>
            </w:r>
            <w:r w:rsidRPr="00597C0C">
              <w:t xml:space="preserve">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p w14:paraId="0939AE11" w14:textId="77777777" w:rsidR="009C49C8" w:rsidRDefault="009C49C8" w:rsidP="00B2456C">
            <w:pPr>
              <w:jc w:val="both"/>
              <w:rPr>
                <w:szCs w:val="24"/>
              </w:rPr>
            </w:pPr>
          </w:p>
          <w:p w14:paraId="46839EFF" w14:textId="0FDF6BDD"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3C667DF5" w14:textId="0721D485" w:rsidR="005A5832" w:rsidRPr="00814955" w:rsidRDefault="00A10867" w:rsidP="00B2456C">
            <w:pPr>
              <w:jc w:val="both"/>
            </w:pPr>
            <w:r w:rsidRPr="00814955">
              <w:rPr>
                <w:kern w:val="2"/>
              </w:rPr>
              <w:t>Pradinės Sutarties vertė yra</w:t>
            </w:r>
            <w:r w:rsidR="00C5454A" w:rsidRPr="00814955">
              <w:rPr>
                <w:kern w:val="2"/>
              </w:rPr>
              <w:t>______</w:t>
            </w:r>
            <w:r w:rsidRPr="00814955">
              <w:rPr>
                <w:kern w:val="2"/>
              </w:rPr>
              <w:t>Eur, (</w:t>
            </w:r>
            <w:r w:rsidR="0099243A" w:rsidRPr="00814955">
              <w:rPr>
                <w:kern w:val="2"/>
              </w:rPr>
              <w:t>suma</w:t>
            </w:r>
            <w:r w:rsidR="007D4CE1">
              <w:rPr>
                <w:kern w:val="2"/>
              </w:rPr>
              <w:t xml:space="preserve"> </w:t>
            </w:r>
            <w:r w:rsidR="0099243A" w:rsidRPr="00814955">
              <w:rPr>
                <w:kern w:val="2"/>
              </w:rPr>
              <w:t>žodžiais</w:t>
            </w:r>
            <w:r w:rsidR="00144F21" w:rsidRPr="00814955">
              <w:rPr>
                <w:kern w:val="2"/>
              </w:rPr>
              <w:t xml:space="preserve"> Eur</w:t>
            </w:r>
            <w:r w:rsidRPr="00814955">
              <w:rPr>
                <w:kern w:val="2"/>
              </w:rPr>
              <w:t>) be PVM</w:t>
            </w:r>
            <w:r w:rsidR="009A3DAD">
              <w:rPr>
                <w:kern w:val="2"/>
              </w:rPr>
              <w:t xml:space="preserve"> (jeigu sutartis sudaroma dėl kelių pirkimo dalių, nurodoma kiekvienai daliai atskirai)</w:t>
            </w:r>
            <w:r w:rsidRPr="00814955">
              <w:rPr>
                <w:kern w:val="2"/>
              </w:rPr>
              <w:t xml:space="preserve">. </w:t>
            </w:r>
          </w:p>
          <w:p w14:paraId="42FAF08D" w14:textId="7C4888D8" w:rsidR="005A5832" w:rsidRPr="00814955" w:rsidRDefault="00A10867" w:rsidP="00B2456C">
            <w:pPr>
              <w:jc w:val="both"/>
            </w:pPr>
            <w:r w:rsidRPr="00814955">
              <w:rPr>
                <w:kern w:val="2"/>
              </w:rPr>
              <w:t xml:space="preserve">PVM sudaro </w:t>
            </w:r>
            <w:r w:rsidR="00C5454A" w:rsidRPr="00814955">
              <w:rPr>
                <w:kern w:val="2"/>
              </w:rPr>
              <w:t>________</w:t>
            </w:r>
            <w:r w:rsidRPr="00814955">
              <w:rPr>
                <w:kern w:val="2"/>
              </w:rPr>
              <w:t>Eur (</w:t>
            </w:r>
            <w:r w:rsidR="007D4CE1">
              <w:rPr>
                <w:kern w:val="2"/>
              </w:rPr>
              <w:t>suma žodžiais</w:t>
            </w:r>
            <w:r w:rsidR="00144F21" w:rsidRPr="00814955">
              <w:rPr>
                <w:kern w:val="2"/>
              </w:rPr>
              <w:t xml:space="preserve"> Eur</w:t>
            </w:r>
            <w:r w:rsidRPr="00814955">
              <w:rPr>
                <w:kern w:val="2"/>
              </w:rPr>
              <w:t>)</w:t>
            </w:r>
            <w:r w:rsidR="009A3DAD">
              <w:rPr>
                <w:kern w:val="2"/>
              </w:rPr>
              <w:t xml:space="preserve"> (jeigu sutartis sudaroma dėl kelių pirkimo dalių, nurodoma kiekvienai daliai atskirai)</w:t>
            </w:r>
            <w:r w:rsidRPr="00814955">
              <w:rPr>
                <w:kern w:val="2"/>
                <w:szCs w:val="24"/>
              </w:rPr>
              <w:t>.</w:t>
            </w:r>
          </w:p>
          <w:p w14:paraId="068088A8" w14:textId="0D7A2518" w:rsidR="00720A1A" w:rsidRPr="006836D5" w:rsidRDefault="00A10867" w:rsidP="00B2456C">
            <w:pPr>
              <w:jc w:val="both"/>
              <w:rPr>
                <w:kern w:val="2"/>
              </w:rPr>
            </w:pPr>
            <w:r w:rsidRPr="00C834A0">
              <w:rPr>
                <w:kern w:val="2"/>
              </w:rPr>
              <w:t>Šioje Sutartyje Pradinės Sutarties vertė yra lygi </w:t>
            </w:r>
            <w:r w:rsidRPr="00C834A0">
              <w:rPr>
                <w:b/>
                <w:bCs/>
                <w:kern w:val="2"/>
              </w:rPr>
              <w:t>maksimaliai</w:t>
            </w:r>
            <w:r w:rsidR="002F2DF1">
              <w:rPr>
                <w:b/>
                <w:bCs/>
                <w:kern w:val="2"/>
              </w:rPr>
              <w:t xml:space="preserve"> atitinkamai pirkimo daliai</w:t>
            </w:r>
            <w:r w:rsidRPr="00C834A0">
              <w:rPr>
                <w:b/>
                <w:bCs/>
                <w:kern w:val="2"/>
              </w:rPr>
              <w:t xml:space="preserve"> 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Sutartyje arba jos priede Nr. [...]</w:t>
            </w:r>
            <w:r w:rsidRPr="006836D5">
              <w:rPr>
                <w:kern w:val="2"/>
                <w:szCs w:val="24"/>
              </w:rPr>
              <w:t xml:space="preserve"> </w:t>
            </w:r>
            <w:r w:rsidRPr="006836D5">
              <w:rPr>
                <w:kern w:val="2"/>
              </w:rPr>
              <w:t>nurodytais įkainiais, neviršijant</w:t>
            </w:r>
            <w:r w:rsidR="00E82388" w:rsidRPr="006836D5">
              <w:rPr>
                <w:kern w:val="2"/>
              </w:rPr>
              <w:t xml:space="preserve"> kiekvienai pirkimo daliai nustatytos lėšų sumos</w:t>
            </w:r>
            <w:r w:rsidRPr="006836D5">
              <w:rPr>
                <w:kern w:val="2"/>
              </w:rPr>
              <w:t xml:space="preserve">. Sutartyje arba jos priede Nr. </w:t>
            </w:r>
            <w:r w:rsidR="006836D5" w:rsidRPr="006836D5">
              <w:rPr>
                <w:kern w:val="2"/>
              </w:rPr>
              <w:t>2</w:t>
            </w:r>
            <w:r w:rsidRPr="006836D5">
              <w:rPr>
                <w:kern w:val="2"/>
                <w:szCs w:val="24"/>
              </w:rPr>
              <w:t xml:space="preserve"> </w:t>
            </w:r>
            <w:r w:rsidRPr="006836D5">
              <w:rPr>
                <w:kern w:val="2"/>
              </w:rPr>
              <w:t xml:space="preserve"> atskirose eilutėse nurodytas Prekių kiekis gali būti keičiamas (didėti ar mažėti).</w:t>
            </w:r>
          </w:p>
          <w:p w14:paraId="1C212E72" w14:textId="13FE6BAC" w:rsidR="005A5832" w:rsidRPr="00B2456C" w:rsidRDefault="004D263D" w:rsidP="006170B4">
            <w:pPr>
              <w:jc w:val="both"/>
              <w:rPr>
                <w:kern w:val="2"/>
                <w:szCs w:val="24"/>
              </w:rPr>
            </w:pPr>
            <w:r w:rsidRPr="006836D5">
              <w:t xml:space="preserve">Pirkėjas įsipareigoja išpirkti </w:t>
            </w:r>
            <w:r w:rsidR="00E729EE" w:rsidRPr="006836D5">
              <w:t xml:space="preserve">ne mažiau kaip </w:t>
            </w:r>
            <w:r w:rsidR="004A73C4" w:rsidRPr="006836D5">
              <w:t>9</w:t>
            </w:r>
            <w:r w:rsidR="00E729EE" w:rsidRPr="006836D5">
              <w:t xml:space="preserve">0 proc. </w:t>
            </w:r>
            <w:r w:rsidRPr="006836D5">
              <w:t>preliminar</w:t>
            </w:r>
            <w:r w:rsidR="00E729EE" w:rsidRPr="006836D5">
              <w:t>aus</w:t>
            </w:r>
            <w:r w:rsidR="00E309DF" w:rsidRPr="006836D5">
              <w:t xml:space="preserve"> kiekvienos pirkimo dalies</w:t>
            </w:r>
            <w:r w:rsidRPr="006836D5">
              <w:t xml:space="preserve"> </w:t>
            </w:r>
            <w:r w:rsidR="00A57D5B" w:rsidRPr="006836D5">
              <w:t xml:space="preserve">vaistų </w:t>
            </w:r>
            <w:r w:rsidR="0072659D" w:rsidRPr="006836D5">
              <w:t>kiek</w:t>
            </w:r>
            <w:r w:rsidR="00E729EE" w:rsidRPr="006836D5">
              <w:t>io</w:t>
            </w:r>
            <w:r w:rsidRPr="006836D5">
              <w:t>.</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t>5.3.2.</w:t>
            </w:r>
            <w:r w:rsidRPr="00B2456C">
              <w:rPr>
                <w:kern w:val="2"/>
                <w:szCs w:val="24"/>
              </w:rPr>
              <w:t xml:space="preserve"> </w:t>
            </w:r>
            <w:r w:rsidRPr="00B2456C">
              <w:rPr>
                <w:b/>
                <w:bCs/>
                <w:kern w:val="2"/>
                <w:szCs w:val="24"/>
              </w:rPr>
              <w:t xml:space="preserve">Sutarties kainos / įkainių peržiūra dėl kitų </w:t>
            </w:r>
            <w:r w:rsidRPr="00B2456C">
              <w:rPr>
                <w:b/>
                <w:bCs/>
                <w:kern w:val="2"/>
                <w:szCs w:val="24"/>
              </w:rPr>
              <w:lastRenderedPageBreak/>
              <w:t>mokesčių, lemiančių 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lastRenderedPageBreak/>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lastRenderedPageBreak/>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000000"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r w:rsidRPr="00B2456C">
              <w:rPr>
                <w:kern w:val="2"/>
              </w:rPr>
              <w:t>Ind</w:t>
            </w:r>
            <w:r w:rsidRPr="00B2456C">
              <w:rPr>
                <w:kern w:val="2"/>
                <w:vertAlign w:val="subscript"/>
              </w:rPr>
              <w:t>naujausias</w:t>
            </w:r>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r w:rsidRPr="00B2456C">
              <w:rPr>
                <w:kern w:val="2"/>
              </w:rPr>
              <w:t>Ind</w:t>
            </w:r>
            <w:r w:rsidRPr="00B2456C">
              <w:rPr>
                <w:kern w:val="2"/>
                <w:vertAlign w:val="subscript"/>
              </w:rPr>
              <w:t>pradžia</w:t>
            </w:r>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lastRenderedPageBreak/>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2CB98897" w14:textId="77F8666F" w:rsidR="005A5832" w:rsidRPr="00B2456C" w:rsidRDefault="00C24A3F" w:rsidP="00B2456C">
            <w:pPr>
              <w:jc w:val="both"/>
              <w:rPr>
                <w:kern w:val="2"/>
                <w:highlight w:val="yellow"/>
              </w:rPr>
            </w:pPr>
            <w:r w:rsidRPr="00DA59F5">
              <w:t>Vaistinių preparatų pristatymo Pirkėjui metu turi būti likę ne mažiau kaip 75% jų bendro tinkamumo vartoti termino.</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677C898F" w14:textId="77777777" w:rsidR="005A5832" w:rsidRPr="00B2456C" w:rsidRDefault="005A5832" w:rsidP="00B2456C">
            <w:pPr>
              <w:jc w:val="both"/>
              <w:rPr>
                <w:kern w:val="2"/>
                <w:szCs w:val="24"/>
              </w:rPr>
            </w:pPr>
          </w:p>
          <w:p w14:paraId="2FB62A63" w14:textId="77777777" w:rsidR="005A5832" w:rsidRPr="00B2456C" w:rsidRDefault="00A10867" w:rsidP="00B2456C">
            <w:pPr>
              <w:jc w:val="both"/>
              <w:rPr>
                <w:color w:val="FF0000"/>
                <w:kern w:val="2"/>
                <w:szCs w:val="24"/>
              </w:rPr>
            </w:pPr>
            <w:r w:rsidRPr="00B2456C">
              <w:rPr>
                <w:color w:val="FF0000"/>
                <w:kern w:val="2"/>
                <w:szCs w:val="24"/>
              </w:rPr>
              <w:t>arba</w:t>
            </w:r>
          </w:p>
          <w:p w14:paraId="7A84DFF8" w14:textId="77777777" w:rsidR="005A5832" w:rsidRPr="00B2456C" w:rsidRDefault="005A5832" w:rsidP="00B2456C">
            <w:pPr>
              <w:jc w:val="both"/>
              <w:rPr>
                <w:kern w:val="2"/>
                <w:szCs w:val="24"/>
              </w:rPr>
            </w:pPr>
          </w:p>
          <w:p w14:paraId="56911C49" w14:textId="77777777" w:rsidR="005A5832" w:rsidRPr="00B2456C" w:rsidRDefault="00A10867" w:rsidP="00B2456C">
            <w:pPr>
              <w:jc w:val="both"/>
              <w:rPr>
                <w:b/>
                <w:bCs/>
                <w:kern w:val="2"/>
                <w:szCs w:val="24"/>
              </w:rPr>
            </w:pPr>
            <w:r w:rsidRPr="00B2456C">
              <w:rPr>
                <w:kern w:val="2"/>
                <w:szCs w:val="24"/>
              </w:rPr>
              <w:t xml:space="preserve">Sutarties vykdymui pasitelkiami subtiekėjai ir (ar) specialistai yra nurodyti Sutarties priede Nr. </w:t>
            </w:r>
            <w:r w:rsidRPr="00B2456C">
              <w:rPr>
                <w:kern w:val="2"/>
                <w:szCs w:val="24"/>
                <w:highlight w:val="yellow"/>
              </w:rPr>
              <w:t>[...]</w:t>
            </w:r>
            <w:r w:rsidRPr="00B2456C">
              <w:rPr>
                <w:kern w:val="2"/>
                <w:szCs w:val="24"/>
              </w:rPr>
              <w:t xml:space="preserve"> „Sutarties vykdymui pasitelkiami subtiekėjai ir (ar) specialistai“</w:t>
            </w: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4089DBB0" w14:textId="03E8D97E" w:rsidR="005A5832" w:rsidRPr="00B2456C" w:rsidRDefault="00A10867" w:rsidP="216F1EDB">
            <w:pPr>
              <w:rPr>
                <w:kern w:val="2"/>
              </w:rPr>
            </w:pPr>
            <w:r w:rsidRPr="00B2456C">
              <w:rPr>
                <w:kern w:val="2"/>
              </w:rPr>
              <w:t>Draudimo bendrovės laidavimo draudimu</w:t>
            </w:r>
            <w:r w:rsidR="00C56430" w:rsidRPr="00B2456C">
              <w:rPr>
                <w:kern w:val="2"/>
              </w:rPr>
              <w:t>.</w:t>
            </w:r>
          </w:p>
          <w:p w14:paraId="03BDD585" w14:textId="1EE0002B" w:rsidR="005A5832" w:rsidRPr="00B2456C" w:rsidRDefault="005A5832">
            <w:pPr>
              <w:rPr>
                <w:kern w:val="2"/>
                <w:szCs w:val="24"/>
              </w:rPr>
            </w:pPr>
          </w:p>
        </w:tc>
      </w:tr>
      <w:tr w:rsidR="005A5832" w:rsidRPr="00E262FB"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7604AC15" w14:textId="37F208B3" w:rsidR="005A5832" w:rsidRPr="00E12889" w:rsidRDefault="00050033" w:rsidP="00E12889">
            <w:pPr>
              <w:tabs>
                <w:tab w:val="left" w:pos="709"/>
                <w:tab w:val="left" w:pos="993"/>
              </w:tabs>
              <w:jc w:val="both"/>
              <w:rPr>
                <w:color w:val="000000"/>
                <w:kern w:val="2"/>
                <w:shd w:val="clear" w:color="auto" w:fill="FFFFFF"/>
              </w:rPr>
            </w:pPr>
            <w:r w:rsidRPr="00E12889">
              <w:rPr>
                <w:color w:val="000000"/>
                <w:kern w:val="2"/>
              </w:rPr>
              <w:t xml:space="preserve"> II-ai, IV-ai, IX-ai, X-ai, XI-ai</w:t>
            </w:r>
            <w:r w:rsidR="004A3A3D" w:rsidRPr="00E12889">
              <w:rPr>
                <w:color w:val="000000"/>
                <w:kern w:val="2"/>
              </w:rPr>
              <w:t>, X</w:t>
            </w:r>
            <w:r w:rsidR="004A3A3D">
              <w:rPr>
                <w:color w:val="000000"/>
                <w:kern w:val="2"/>
              </w:rPr>
              <w:t>I</w:t>
            </w:r>
            <w:r w:rsidR="004A3A3D" w:rsidRPr="00E12889">
              <w:rPr>
                <w:color w:val="000000"/>
                <w:kern w:val="2"/>
              </w:rPr>
              <w:t>I-ai</w:t>
            </w:r>
            <w:r w:rsidR="0036256E" w:rsidRPr="00E12889">
              <w:rPr>
                <w:color w:val="000000"/>
                <w:kern w:val="2"/>
              </w:rPr>
              <w:t xml:space="preserve"> pirkimo dalims,</w:t>
            </w:r>
            <w:r w:rsidR="00475F32" w:rsidRPr="00E12889">
              <w:rPr>
                <w:color w:val="000000"/>
                <w:kern w:val="2"/>
                <w:shd w:val="clear" w:color="auto" w:fill="FFFFFF"/>
              </w:rPr>
              <w:t xml:space="preserve"> </w:t>
            </w:r>
            <w:r w:rsidR="00A10867" w:rsidRPr="00E12889">
              <w:rPr>
                <w:color w:val="000000"/>
                <w:kern w:val="2"/>
                <w:shd w:val="clear" w:color="auto" w:fill="FFFFFF"/>
              </w:rPr>
              <w:t>Tiekėjas ne vėliau kaip per</w:t>
            </w:r>
            <w:r w:rsidR="00A10867" w:rsidRPr="00E12889">
              <w:rPr>
                <w:kern w:val="2"/>
                <w:shd w:val="clear" w:color="auto" w:fill="FFFFFF"/>
              </w:rPr>
              <w:t xml:space="preserve"> 10 (dešimt) darbo dienų nuo Sutarties pasirašymo dienos turi pateikti Pirkėjui </w:t>
            </w:r>
            <w:r w:rsidR="00C56430" w:rsidRPr="00E12889">
              <w:rPr>
                <w:kern w:val="2"/>
                <w:shd w:val="clear" w:color="auto" w:fill="FFFFFF"/>
              </w:rPr>
              <w:t>ne mažesnį kaip 5 proc.</w:t>
            </w:r>
            <w:r w:rsidR="006762C9" w:rsidRPr="00E12889">
              <w:rPr>
                <w:kern w:val="2"/>
                <w:shd w:val="clear" w:color="auto" w:fill="FFFFFF"/>
              </w:rPr>
              <w:t xml:space="preserve"> </w:t>
            </w:r>
            <w:r w:rsidR="00C56430" w:rsidRPr="00E12889">
              <w:rPr>
                <w:kern w:val="2"/>
                <w:shd w:val="clear" w:color="auto" w:fill="FFFFFF"/>
              </w:rPr>
              <w:t xml:space="preserve">nuo </w:t>
            </w:r>
            <w:r w:rsidR="00475F32" w:rsidRPr="00E12889">
              <w:rPr>
                <w:kern w:val="2"/>
                <w:shd w:val="clear" w:color="auto" w:fill="FFFFFF"/>
              </w:rPr>
              <w:t xml:space="preserve">atitinkamos pirkimo dalies </w:t>
            </w:r>
            <w:r w:rsidR="00C56430" w:rsidRPr="00E12889">
              <w:rPr>
                <w:kern w:val="2"/>
                <w:shd w:val="clear" w:color="auto" w:fill="FFFFFF"/>
              </w:rPr>
              <w:t>Pradinės Sutarties vertės, Eur</w:t>
            </w:r>
            <w:r w:rsidR="00A10867" w:rsidRPr="00E12889">
              <w:rPr>
                <w:kern w:val="2"/>
                <w:shd w:val="clear" w:color="auto" w:fill="FFFFFF"/>
              </w:rPr>
              <w:t xml:space="preserve"> be PVM,</w:t>
            </w:r>
            <w:r w:rsidR="00A10867" w:rsidRPr="00E12889">
              <w:rPr>
                <w:kern w:val="2"/>
              </w:rPr>
              <w:t xml:space="preserve"> </w:t>
            </w:r>
            <w:r w:rsidR="00A10867" w:rsidRPr="00E12889">
              <w:rPr>
                <w:kern w:val="2"/>
                <w:shd w:val="clear" w:color="auto" w:fill="FFFFFF"/>
              </w:rPr>
              <w:t xml:space="preserve">nurodytos </w:t>
            </w:r>
            <w:r w:rsidR="00A10867" w:rsidRPr="00E12889">
              <w:rPr>
                <w:kern w:val="2"/>
              </w:rPr>
              <w:t xml:space="preserve">Specialiųjų sąlygų </w:t>
            </w:r>
            <w:r w:rsidR="00A10867" w:rsidRPr="00E12889">
              <w:rPr>
                <w:kern w:val="2"/>
                <w:shd w:val="clear" w:color="auto" w:fill="FFFFFF"/>
              </w:rPr>
              <w:t>5.2 punkte, pirmo pareikalavimo banko garantiją arba draudimo bendrovės laidavimo draudimo raštą, ati</w:t>
            </w:r>
            <w:r w:rsidR="00A10867" w:rsidRPr="00E12889">
              <w:rPr>
                <w:color w:val="000000"/>
                <w:kern w:val="2"/>
                <w:shd w:val="clear" w:color="auto" w:fill="FFFFFF"/>
              </w:rPr>
              <w:t>tinkančius Bendrųjų sąlygų 10 skyriaus reikalavimus. Esant poreikiui, gavus tiekėjo prašymą, šis terminas gali būti pratęstas Šalių suderintam terminui.</w:t>
            </w:r>
          </w:p>
          <w:p w14:paraId="545FE3A8" w14:textId="523B170E" w:rsidR="00475F32" w:rsidRPr="00E262FB" w:rsidRDefault="00475F32" w:rsidP="00F37120">
            <w:pPr>
              <w:jc w:val="both"/>
            </w:pP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37D28A70" w14:textId="74B8E87F" w:rsidR="005A5832" w:rsidRPr="00B2456C" w:rsidRDefault="00A10867" w:rsidP="216F1EDB">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79DDB0" w14:textId="478B4DF1" w:rsidR="005A5832" w:rsidRPr="00B2456C" w:rsidRDefault="005A5832">
            <w:pPr>
              <w:spacing w:line="259" w:lineRule="auto"/>
              <w:rPr>
                <w:color w:val="000000"/>
                <w:kern w:val="2"/>
                <w:szCs w:val="24"/>
              </w:rPr>
            </w:pP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lastRenderedPageBreak/>
              <w:t>9.2. Tiekėjui taikomos netesybos</w:t>
            </w:r>
          </w:p>
        </w:tc>
        <w:tc>
          <w:tcPr>
            <w:tcW w:w="6640" w:type="dxa"/>
            <w:gridSpan w:val="2"/>
          </w:tcPr>
          <w:p w14:paraId="50EC511E" w14:textId="671C18AF" w:rsidR="005A5832" w:rsidRPr="00AE07DE" w:rsidRDefault="00A10867" w:rsidP="00AE07D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9.7. Tiekėjui taikomos netesybos dėl pirkimo dokumentuose nustatytų kokybinių kriterijų nepasiekimo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4DA0C72C" w:rsidR="005A5832" w:rsidRPr="00B2456C" w:rsidRDefault="00F22B83" w:rsidP="00B2456C">
            <w:pPr>
              <w:jc w:val="both"/>
              <w:rPr>
                <w:kern w:val="2"/>
                <w:szCs w:val="24"/>
              </w:rPr>
            </w:pPr>
            <w:r>
              <w:rPr>
                <w:szCs w:val="24"/>
              </w:rPr>
              <w:t>Netaikoma</w:t>
            </w:r>
            <w:r w:rsidR="3A0DF44B" w:rsidRPr="00B2456C">
              <w:rPr>
                <w:szCs w:val="24"/>
              </w:rPr>
              <w:t>.</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lastRenderedPageBreak/>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08140083" w:rsidR="005A5832" w:rsidRPr="00E262FB" w:rsidRDefault="00A10867" w:rsidP="00870892">
            <w:pPr>
              <w:pStyle w:val="ListParagraph"/>
              <w:numPr>
                <w:ilvl w:val="1"/>
                <w:numId w:val="4"/>
              </w:numPr>
              <w:tabs>
                <w:tab w:val="left" w:pos="709"/>
                <w:tab w:val="left" w:pos="993"/>
              </w:tabs>
              <w:ind w:left="0" w:firstLine="107"/>
              <w:jc w:val="both"/>
            </w:pPr>
            <w:r w:rsidRPr="00E262FB">
              <w:rPr>
                <w:kern w:val="2"/>
                <w:szCs w:val="24"/>
              </w:rPr>
              <w:t>Ši Sutartis laikoma sudaryta, kai (pirma) ją pasirašo abi Šalys, ir (antra) pateikiamas sutarties įvykdymo užtikrinimas</w:t>
            </w:r>
            <w:r w:rsidR="00607FDF" w:rsidRPr="00E262FB">
              <w:rPr>
                <w:kern w:val="2"/>
                <w:szCs w:val="24"/>
              </w:rPr>
              <w:t xml:space="preserve"> (taikoma </w:t>
            </w:r>
            <w:r w:rsidR="004A3A3D" w:rsidRPr="00E12889">
              <w:rPr>
                <w:color w:val="000000"/>
                <w:kern w:val="2"/>
              </w:rPr>
              <w:t>II-ai, IV-ai, IX-ai, X-ai, XI-ai, X</w:t>
            </w:r>
            <w:r w:rsidR="004A3A3D">
              <w:rPr>
                <w:color w:val="000000"/>
                <w:kern w:val="2"/>
              </w:rPr>
              <w:t>I</w:t>
            </w:r>
            <w:r w:rsidR="004A3A3D" w:rsidRPr="00E12889">
              <w:rPr>
                <w:color w:val="000000"/>
                <w:kern w:val="2"/>
              </w:rPr>
              <w:t xml:space="preserve">I-ai </w:t>
            </w:r>
            <w:r w:rsidR="00870892" w:rsidRPr="00E262FB">
              <w:rPr>
                <w:color w:val="000000"/>
                <w:kern w:val="2"/>
              </w:rPr>
              <w:t>pirkimo dalims.</w:t>
            </w:r>
            <w:r w:rsidR="00870892" w:rsidRPr="00E262FB">
              <w:t xml:space="preserve"> </w:t>
            </w:r>
          </w:p>
          <w:p w14:paraId="06ECD620" w14:textId="56C93E75" w:rsidR="005A5832" w:rsidRPr="00E262FB" w:rsidRDefault="00A10867" w:rsidP="00B2456C">
            <w:pPr>
              <w:jc w:val="both"/>
              <w:rPr>
                <w:color w:val="4472C4"/>
                <w:kern w:val="2"/>
              </w:rPr>
            </w:pPr>
            <w:r w:rsidRPr="00E262FB">
              <w:rPr>
                <w:kern w:val="2"/>
              </w:rPr>
              <w:t>Sutartis galioja iki visiško prievolių įvykdymo (kol bus išnaudota Pradinės Sutarties vertė</w:t>
            </w:r>
            <w:r w:rsidR="00617F77" w:rsidRPr="00E262FB">
              <w:rPr>
                <w:kern w:val="2"/>
              </w:rPr>
              <w:t>)</w:t>
            </w:r>
            <w:r w:rsidRPr="00E262FB">
              <w:rPr>
                <w:kern w:val="2"/>
              </w:rPr>
              <w:t xml:space="preserve">, bet jos terminas negali būti ilgesnis kaip </w:t>
            </w:r>
            <w:r w:rsidR="00AE4E8C" w:rsidRPr="00E262FB">
              <w:t>2026-09-30</w:t>
            </w:r>
            <w:r w:rsidR="4B4FEC5B" w:rsidRPr="00E262FB">
              <w:rPr>
                <w:kern w:val="2"/>
              </w:rPr>
              <w:t xml:space="preserve">. </w:t>
            </w:r>
          </w:p>
          <w:p w14:paraId="5861ADB8" w14:textId="540EACC0" w:rsidR="005A5832" w:rsidRPr="00E262FB" w:rsidRDefault="005A5832" w:rsidP="00B2456C">
            <w:pPr>
              <w:jc w:val="both"/>
              <w:rPr>
                <w:color w:val="4472C4"/>
                <w:kern w:val="2"/>
                <w:szCs w:val="24"/>
              </w:rPr>
            </w:pP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t>10.2. Sutarties galiojimo termino pratęsimas</w:t>
            </w:r>
          </w:p>
        </w:tc>
        <w:tc>
          <w:tcPr>
            <w:tcW w:w="6640" w:type="dxa"/>
            <w:gridSpan w:val="2"/>
          </w:tcPr>
          <w:p w14:paraId="1356EA2E" w14:textId="7A049196"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703462">
              <w:rPr>
                <w:kern w:val="2"/>
              </w:rPr>
              <w:t xml:space="preserve">, </w:t>
            </w:r>
            <w:r w:rsidR="00703462" w:rsidRPr="00FC3972">
              <w:rPr>
                <w:szCs w:val="24"/>
              </w:rPr>
              <w:t>su sąlyga, jeigu bus pratęsta LTU RescEU Health projekto finansavimo sutartis, pagal kurią teikiamas finansavimas sutarčiai vykdyti</w:t>
            </w:r>
            <w:r w:rsidR="37CDA192" w:rsidRPr="00B2456C">
              <w:rPr>
                <w:kern w:val="2"/>
              </w:rPr>
              <w:t xml:space="preserve">. </w:t>
            </w:r>
            <w:r w:rsidRPr="00B2456C">
              <w:rPr>
                <w:kern w:val="2"/>
              </w:rPr>
              <w:t xml:space="preserve"> </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550A1EB" w14:textId="1E5B49B5" w:rsidR="005A5832" w:rsidRPr="00B2456C" w:rsidRDefault="71D2FD19" w:rsidP="00B2456C">
            <w:pPr>
              <w:jc w:val="both"/>
            </w:pPr>
            <w:r w:rsidRPr="00B2456C">
              <w:t>Sutartis taip pat gali būti nutraukta, jeigu nutraukiama</w:t>
            </w:r>
            <w:r w:rsidR="522305D1" w:rsidRPr="00B2456C">
              <w:t xml:space="preserve">s projektas (projekto sutartis), kurio įgyvendinimui įsigyjamos Prekės. </w:t>
            </w:r>
          </w:p>
          <w:p w14:paraId="216076C2" w14:textId="77777777" w:rsidR="005A5832" w:rsidRPr="00B2456C" w:rsidRDefault="005A5832" w:rsidP="00B2456C">
            <w:pPr>
              <w:spacing w:line="259" w:lineRule="auto"/>
              <w:jc w:val="both"/>
            </w:pP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C3E631A" w14:textId="54F18C60" w:rsidR="005A5832" w:rsidRPr="00B2456C" w:rsidRDefault="00A10867" w:rsidP="0050758A">
            <w:pPr>
              <w:tabs>
                <w:tab w:val="left" w:pos="567"/>
                <w:tab w:val="left" w:pos="851"/>
                <w:tab w:val="left" w:pos="992"/>
                <w:tab w:val="left" w:pos="1134"/>
              </w:tabs>
              <w:spacing w:line="257" w:lineRule="auto"/>
              <w:jc w:val="both"/>
              <w:rPr>
                <w:rFonts w:eastAsia="Arial"/>
                <w:kern w:val="2"/>
                <w:szCs w:val="24"/>
              </w:rPr>
            </w:pPr>
            <w:r w:rsidRPr="00B2456C">
              <w:rPr>
                <w:rFonts w:eastAsia="Arial"/>
                <w:kern w:val="2"/>
                <w:lang w:val="lt"/>
              </w:rPr>
              <w:t>11.2.9. Tiekėjas pažeidžia šios Sutarties nuostatas, reglamentuojančias konkurenciją, intelektinės nuosavybės ar konfidencialios informacijos valdymą</w:t>
            </w:r>
            <w:r w:rsidRPr="00B2456C">
              <w:rPr>
                <w:rFonts w:eastAsia="Arial"/>
                <w:kern w:val="2"/>
                <w:szCs w:val="24"/>
                <w:lang w:val="lt"/>
              </w:rPr>
              <w:t>.</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lastRenderedPageBreak/>
              <w:t>12.1. Aplinkosauginių kriterijų nustatymo teisinis pagrindas</w:t>
            </w:r>
          </w:p>
        </w:tc>
        <w:tc>
          <w:tcPr>
            <w:tcW w:w="6705" w:type="dxa"/>
            <w:gridSpan w:val="3"/>
          </w:tcPr>
          <w:p w14:paraId="6F88E380" w14:textId="61452DD8" w:rsidR="00C56457"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C56457" w:rsidRPr="00EE7651">
              <w:t xml:space="preserve">4.4.4.1. </w:t>
            </w:r>
            <w:r w:rsidR="00C56457">
              <w:t>papunkči</w:t>
            </w:r>
            <w:r w:rsidR="00870892">
              <w:t>u</w:t>
            </w:r>
            <w:r w:rsidR="00C56457">
              <w:t>.</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1B9CF8C9" w:rsidR="005A5832" w:rsidRPr="00AE07DE" w:rsidRDefault="00A10867" w:rsidP="00AE07DE">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lastRenderedPageBreak/>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lastRenderedPageBreak/>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7FF69762" w:rsidR="005A5832" w:rsidRPr="00B2456C" w:rsidRDefault="00503A68" w:rsidP="00B2456C">
            <w:pPr>
              <w:jc w:val="both"/>
              <w:rPr>
                <w:szCs w:val="24"/>
              </w:rPr>
            </w:pPr>
            <w:r w:rsidRPr="00B2456C">
              <w:rPr>
                <w:szCs w:val="24"/>
              </w:rPr>
              <w:t>1</w:t>
            </w:r>
            <w:r>
              <w:rPr>
                <w:szCs w:val="24"/>
              </w:rPr>
              <w:t>3</w:t>
            </w:r>
            <w:r w:rsidR="62C0DABE" w:rsidRPr="00B2456C">
              <w:rPr>
                <w:szCs w:val="24"/>
              </w:rPr>
              <w:t xml:space="preserve">.1.1. </w:t>
            </w:r>
            <w:r w:rsidR="0050758A" w:rsidRPr="00B2456C">
              <w:rPr>
                <w:szCs w:val="24"/>
              </w:rPr>
              <w:t>elektronin</w:t>
            </w:r>
            <w:r w:rsidR="00A90044">
              <w:rPr>
                <w:szCs w:val="24"/>
              </w:rPr>
              <w:t>ę</w:t>
            </w:r>
            <w:r w:rsidR="0050758A" w:rsidRPr="00B2456C">
              <w:rPr>
                <w:szCs w:val="24"/>
              </w:rPr>
              <w:t xml:space="preserve"> sąskait</w:t>
            </w:r>
            <w:r w:rsidR="00A90044">
              <w:rPr>
                <w:szCs w:val="24"/>
              </w:rPr>
              <w:t>ą</w:t>
            </w:r>
            <w:r w:rsidR="0050758A" w:rsidRPr="00B2456C">
              <w:rPr>
                <w:szCs w:val="24"/>
              </w:rPr>
              <w:t xml:space="preserve"> faktūr</w:t>
            </w:r>
            <w:r w:rsidR="00A90044">
              <w:rPr>
                <w:szCs w:val="24"/>
              </w:rPr>
              <w:t>ą</w:t>
            </w:r>
            <w:r w:rsidR="62C0DABE" w:rsidRPr="00B2456C">
              <w:rPr>
                <w:szCs w:val="24"/>
              </w:rPr>
              <w:t xml:space="preserve">,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62C0DABE" w:rsidRPr="00B2456C">
              <w:rPr>
                <w:szCs w:val="24"/>
                <w:u w:val="single"/>
              </w:rPr>
              <w:t>2014/55/ES</w:t>
            </w:r>
            <w:r w:rsidR="62C0DABE" w:rsidRPr="00B2456C">
              <w:rPr>
                <w:szCs w:val="24"/>
              </w:rPr>
              <w:t xml:space="preserve"> (toliau – </w:t>
            </w:r>
            <w:r w:rsidR="62C0DABE" w:rsidRPr="00B2456C">
              <w:rPr>
                <w:b/>
                <w:bCs/>
                <w:szCs w:val="24"/>
              </w:rPr>
              <w:t>Europos elektroninių sąskaitų faktūrų</w:t>
            </w:r>
            <w:r w:rsidR="62C0DABE" w:rsidRPr="00B2456C">
              <w:rPr>
                <w:szCs w:val="24"/>
              </w:rPr>
              <w:t xml:space="preserve"> </w:t>
            </w:r>
            <w:r w:rsidR="62C0DABE" w:rsidRPr="00B2456C">
              <w:rPr>
                <w:b/>
                <w:bCs/>
                <w:szCs w:val="24"/>
              </w:rPr>
              <w:t>standartas</w:t>
            </w:r>
            <w:r w:rsidR="62C0DABE" w:rsidRPr="00B2456C">
              <w:rPr>
                <w:szCs w:val="24"/>
              </w:rPr>
              <w:t xml:space="preserve">), </w:t>
            </w:r>
            <w:r w:rsidR="00A90044">
              <w:rPr>
                <w:szCs w:val="24"/>
              </w:rPr>
              <w:t xml:space="preserve">Lietuvos tiekėjai </w:t>
            </w:r>
            <w:r w:rsidR="00860C25">
              <w:rPr>
                <w:szCs w:val="24"/>
              </w:rPr>
              <w:t>privalo</w:t>
            </w:r>
            <w:r w:rsidR="00860C25" w:rsidRPr="00B2456C">
              <w:rPr>
                <w:szCs w:val="24"/>
              </w:rPr>
              <w:t xml:space="preserve"> </w:t>
            </w:r>
            <w:r w:rsidR="62C0DABE" w:rsidRPr="00B2456C">
              <w:rPr>
                <w:szCs w:val="24"/>
              </w:rPr>
              <w:t>pateikt</w:t>
            </w:r>
            <w:r w:rsidR="00A90044">
              <w:rPr>
                <w:szCs w:val="24"/>
              </w:rPr>
              <w:t>i</w:t>
            </w:r>
            <w:r w:rsidR="62C0DABE" w:rsidRPr="00B2456C">
              <w:rPr>
                <w:szCs w:val="24"/>
              </w:rPr>
              <w:t xml:space="preserve"> per informacinę sistemą „SABIS“ (</w:t>
            </w:r>
            <w:hyperlink r:id="rId12" w:history="1">
              <w:r w:rsidR="62C0DABE" w:rsidRPr="00B2456C">
                <w:rPr>
                  <w:rStyle w:val="Hyperlink"/>
                  <w:sz w:val="22"/>
                  <w:szCs w:val="22"/>
                </w:rPr>
                <w:t>https://sabis.nbfc.lt/</w:t>
              </w:r>
            </w:hyperlink>
            <w:r w:rsidR="62C0DABE" w:rsidRPr="00B2456C">
              <w:rPr>
                <w:szCs w:val="24"/>
              </w:rPr>
              <w:t>)</w:t>
            </w:r>
            <w:r w:rsidR="00860C25">
              <w:rPr>
                <w:szCs w:val="24"/>
              </w:rPr>
              <w:t>.</w:t>
            </w:r>
          </w:p>
          <w:p w14:paraId="4B3467B2" w14:textId="2B5833CA" w:rsidR="005A5832" w:rsidRPr="00B2456C" w:rsidRDefault="62C0DABE" w:rsidP="00B2456C">
            <w:pPr>
              <w:jc w:val="both"/>
              <w:rPr>
                <w:szCs w:val="24"/>
              </w:rPr>
            </w:pPr>
            <w:r w:rsidRPr="00B2456C">
              <w:rPr>
                <w:szCs w:val="24"/>
              </w:rPr>
              <w:t>1</w:t>
            </w:r>
            <w:r w:rsidR="00503A68">
              <w:rPr>
                <w:szCs w:val="24"/>
              </w:rPr>
              <w:t>3</w:t>
            </w:r>
            <w:r w:rsidRPr="00B2456C">
              <w:rPr>
                <w:szCs w:val="24"/>
              </w:rPr>
              <w:t>.1.2. Europos elektroninių sąskaitų faktūrų standarto neatitinkančią elektroninę sąskaitą faktūrą Tiekėjas privalo pateikti, naudodamasis informacinės sistemos „SABIS“ priemonėmis (</w:t>
            </w:r>
            <w:hyperlink r:id="rId13" w:history="1">
              <w:r w:rsidRPr="00B2456C">
                <w:rPr>
                  <w:rStyle w:val="Hyperlink"/>
                  <w:sz w:val="22"/>
                  <w:szCs w:val="22"/>
                </w:rPr>
                <w:t>https://sabis.nbfc.lt/</w:t>
              </w:r>
            </w:hyperlink>
            <w:r w:rsidRPr="00B2456C">
              <w:rPr>
                <w:szCs w:val="24"/>
              </w:rPr>
              <w:t>).</w:t>
            </w:r>
          </w:p>
          <w:p w14:paraId="033F0994" w14:textId="07A34662" w:rsidR="005A5832" w:rsidRPr="00B2456C" w:rsidRDefault="62C0DABE" w:rsidP="00B2456C">
            <w:pPr>
              <w:jc w:val="both"/>
              <w:rPr>
                <w:kern w:val="2"/>
                <w:szCs w:val="24"/>
              </w:rPr>
            </w:pPr>
            <w:r w:rsidRPr="00B2456C">
              <w:rPr>
                <w:szCs w:val="24"/>
              </w:rPr>
              <w:t>1</w:t>
            </w:r>
            <w:r w:rsidR="00503A68">
              <w:rPr>
                <w:szCs w:val="24"/>
              </w:rPr>
              <w:t>3</w:t>
            </w:r>
            <w:r w:rsidRPr="00B2456C">
              <w:rPr>
                <w:szCs w:val="24"/>
              </w:rPr>
              <w:t xml:space="preserve">.2.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0C8E35E5"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6836D5" w:rsidRPr="00B2456C" w14:paraId="47D75E19" w14:textId="77777777" w:rsidTr="00591F37">
        <w:trPr>
          <w:trHeight w:val="300"/>
        </w:trPr>
        <w:tc>
          <w:tcPr>
            <w:tcW w:w="2830" w:type="dxa"/>
          </w:tcPr>
          <w:p w14:paraId="7A2ACFC6" w14:textId="77777777" w:rsidR="006836D5" w:rsidRPr="00B2456C" w:rsidRDefault="006836D5" w:rsidP="006836D5">
            <w:pPr>
              <w:rPr>
                <w:b/>
                <w:bCs/>
                <w:kern w:val="2"/>
                <w:szCs w:val="24"/>
              </w:rPr>
            </w:pPr>
            <w:r w:rsidRPr="00B2456C">
              <w:rPr>
                <w:b/>
                <w:bCs/>
                <w:kern w:val="2"/>
                <w:szCs w:val="24"/>
              </w:rPr>
              <w:t>14.2. Priedas Nr. 2</w:t>
            </w:r>
          </w:p>
        </w:tc>
        <w:tc>
          <w:tcPr>
            <w:tcW w:w="6705" w:type="dxa"/>
            <w:gridSpan w:val="3"/>
          </w:tcPr>
          <w:p w14:paraId="5408136F" w14:textId="443F06CE" w:rsidR="006836D5" w:rsidRPr="00095295" w:rsidRDefault="006836D5" w:rsidP="006836D5">
            <w:pPr>
              <w:rPr>
                <w:rFonts w:eastAsia="Cambria"/>
                <w:szCs w:val="24"/>
              </w:rPr>
            </w:pPr>
            <w:r w:rsidRPr="00095295">
              <w:rPr>
                <w:rFonts w:eastAsia="Cambria"/>
                <w:szCs w:val="24"/>
              </w:rPr>
              <w:t>Tiekėjo pasiūlymas;</w:t>
            </w:r>
          </w:p>
        </w:tc>
      </w:tr>
      <w:tr w:rsidR="006836D5" w:rsidRPr="00B2456C" w14:paraId="7E800E75" w14:textId="77777777" w:rsidTr="00591F37">
        <w:trPr>
          <w:trHeight w:val="300"/>
        </w:trPr>
        <w:tc>
          <w:tcPr>
            <w:tcW w:w="2830" w:type="dxa"/>
          </w:tcPr>
          <w:p w14:paraId="2C41B3C2" w14:textId="77777777" w:rsidR="006836D5" w:rsidRPr="00B2456C" w:rsidRDefault="006836D5" w:rsidP="006836D5">
            <w:pPr>
              <w:rPr>
                <w:b/>
                <w:bCs/>
                <w:kern w:val="2"/>
                <w:szCs w:val="24"/>
              </w:rPr>
            </w:pPr>
            <w:r w:rsidRPr="00B2456C">
              <w:rPr>
                <w:b/>
                <w:bCs/>
                <w:kern w:val="2"/>
                <w:szCs w:val="24"/>
              </w:rPr>
              <w:t>14.3. Priedas Nr. 3</w:t>
            </w:r>
          </w:p>
        </w:tc>
        <w:tc>
          <w:tcPr>
            <w:tcW w:w="6705" w:type="dxa"/>
            <w:gridSpan w:val="3"/>
          </w:tcPr>
          <w:p w14:paraId="5D7F6D71" w14:textId="40F4EEFE" w:rsidR="006836D5" w:rsidRPr="00095295" w:rsidRDefault="006836D5" w:rsidP="006836D5">
            <w:pPr>
              <w:jc w:val="both"/>
              <w:rPr>
                <w:rFonts w:eastAsia="Cambria"/>
                <w:szCs w:val="24"/>
              </w:rPr>
            </w:pPr>
            <w:r w:rsidRPr="00095295">
              <w:rPr>
                <w:rFonts w:eastAsia="Cambria"/>
                <w:szCs w:val="24"/>
              </w:rPr>
              <w:t>Kiti dokumentai (jei tokių yra).</w:t>
            </w:r>
          </w:p>
        </w:tc>
      </w:tr>
      <w:tr w:rsidR="006836D5" w:rsidRPr="00B2456C" w14:paraId="2B54F44D" w14:textId="77777777" w:rsidTr="00591F37">
        <w:trPr>
          <w:trHeight w:val="300"/>
        </w:trPr>
        <w:tc>
          <w:tcPr>
            <w:tcW w:w="2830" w:type="dxa"/>
          </w:tcPr>
          <w:p w14:paraId="11B7A800" w14:textId="77777777" w:rsidR="006836D5" w:rsidRPr="00B2456C" w:rsidRDefault="006836D5" w:rsidP="006836D5">
            <w:pPr>
              <w:rPr>
                <w:b/>
                <w:bCs/>
                <w:kern w:val="2"/>
                <w:szCs w:val="24"/>
              </w:rPr>
            </w:pPr>
            <w:r w:rsidRPr="00B2456C">
              <w:rPr>
                <w:b/>
                <w:bCs/>
                <w:kern w:val="2"/>
                <w:szCs w:val="24"/>
              </w:rPr>
              <w:t>14.4. Priedas Nr. 4</w:t>
            </w:r>
          </w:p>
        </w:tc>
        <w:tc>
          <w:tcPr>
            <w:tcW w:w="6705" w:type="dxa"/>
            <w:gridSpan w:val="3"/>
          </w:tcPr>
          <w:p w14:paraId="45BF9B58" w14:textId="213C8C39" w:rsidR="006836D5" w:rsidRPr="00095295" w:rsidRDefault="006836D5" w:rsidP="006836D5">
            <w:pPr>
              <w:rPr>
                <w:rFonts w:eastAsia="Cambria"/>
                <w:szCs w:val="24"/>
              </w:rPr>
            </w:pPr>
          </w:p>
        </w:tc>
      </w:tr>
      <w:tr w:rsidR="006836D5" w:rsidRPr="00B2456C" w14:paraId="09160E58" w14:textId="77777777" w:rsidTr="00591F37">
        <w:trPr>
          <w:trHeight w:val="300"/>
        </w:trPr>
        <w:tc>
          <w:tcPr>
            <w:tcW w:w="2830" w:type="dxa"/>
          </w:tcPr>
          <w:p w14:paraId="752D002B" w14:textId="77777777" w:rsidR="006836D5" w:rsidRPr="00B2456C" w:rsidRDefault="006836D5" w:rsidP="006836D5">
            <w:pPr>
              <w:rPr>
                <w:b/>
                <w:bCs/>
                <w:kern w:val="2"/>
                <w:szCs w:val="24"/>
              </w:rPr>
            </w:pPr>
            <w:r w:rsidRPr="00B2456C">
              <w:rPr>
                <w:b/>
                <w:bCs/>
                <w:kern w:val="2"/>
                <w:szCs w:val="24"/>
              </w:rPr>
              <w:t>14.5. Priedas Nr. 5</w:t>
            </w:r>
          </w:p>
        </w:tc>
        <w:tc>
          <w:tcPr>
            <w:tcW w:w="6705" w:type="dxa"/>
            <w:gridSpan w:val="3"/>
          </w:tcPr>
          <w:p w14:paraId="490EE265" w14:textId="1CE158A0" w:rsidR="006836D5" w:rsidRPr="00095295" w:rsidRDefault="006836D5" w:rsidP="006836D5">
            <w:pPr>
              <w:rPr>
                <w:rFonts w:eastAsia="Cambria"/>
                <w:szCs w:val="24"/>
              </w:rPr>
            </w:pPr>
          </w:p>
        </w:tc>
      </w:tr>
      <w:tr w:rsidR="006836D5" w:rsidRPr="00B2456C" w14:paraId="26268FE0" w14:textId="77777777" w:rsidTr="55BAD12E">
        <w:trPr>
          <w:trHeight w:val="300"/>
        </w:trPr>
        <w:tc>
          <w:tcPr>
            <w:tcW w:w="9535" w:type="dxa"/>
            <w:gridSpan w:val="4"/>
          </w:tcPr>
          <w:p w14:paraId="2E30EDFB" w14:textId="77777777" w:rsidR="006836D5" w:rsidRPr="00B2456C" w:rsidRDefault="006836D5" w:rsidP="006836D5">
            <w:pPr>
              <w:jc w:val="center"/>
              <w:rPr>
                <w:b/>
                <w:bCs/>
                <w:kern w:val="2"/>
                <w:szCs w:val="24"/>
              </w:rPr>
            </w:pPr>
            <w:r w:rsidRPr="00B2456C">
              <w:rPr>
                <w:b/>
                <w:bCs/>
                <w:kern w:val="2"/>
                <w:szCs w:val="24"/>
              </w:rPr>
              <w:t>15. ŠALIŲ ATSTOVŲ PARAŠAI</w:t>
            </w:r>
          </w:p>
        </w:tc>
      </w:tr>
      <w:tr w:rsidR="006836D5" w:rsidRPr="00B2456C" w14:paraId="2BCC1B50" w14:textId="77777777" w:rsidTr="55BAD12E">
        <w:trPr>
          <w:trHeight w:val="300"/>
        </w:trPr>
        <w:tc>
          <w:tcPr>
            <w:tcW w:w="4788" w:type="dxa"/>
            <w:gridSpan w:val="3"/>
          </w:tcPr>
          <w:p w14:paraId="306A481D" w14:textId="77777777" w:rsidR="006836D5" w:rsidRPr="00B2456C" w:rsidRDefault="006836D5" w:rsidP="006836D5">
            <w:pPr>
              <w:jc w:val="center"/>
              <w:rPr>
                <w:b/>
                <w:bCs/>
                <w:kern w:val="2"/>
                <w:szCs w:val="24"/>
              </w:rPr>
            </w:pPr>
            <w:r w:rsidRPr="00B2456C">
              <w:rPr>
                <w:b/>
                <w:bCs/>
                <w:kern w:val="2"/>
                <w:szCs w:val="24"/>
              </w:rPr>
              <w:t>PIRKĖJAS</w:t>
            </w:r>
          </w:p>
        </w:tc>
        <w:tc>
          <w:tcPr>
            <w:tcW w:w="4747" w:type="dxa"/>
          </w:tcPr>
          <w:p w14:paraId="785D3BCD" w14:textId="77777777" w:rsidR="006836D5" w:rsidRPr="00B2456C" w:rsidRDefault="006836D5" w:rsidP="006836D5">
            <w:pPr>
              <w:jc w:val="center"/>
              <w:rPr>
                <w:b/>
                <w:bCs/>
                <w:kern w:val="2"/>
                <w:szCs w:val="24"/>
              </w:rPr>
            </w:pPr>
            <w:r w:rsidRPr="00B2456C">
              <w:rPr>
                <w:b/>
                <w:bCs/>
                <w:kern w:val="2"/>
                <w:szCs w:val="24"/>
              </w:rPr>
              <w:t>TIEKĖJAS</w:t>
            </w:r>
          </w:p>
        </w:tc>
      </w:tr>
      <w:tr w:rsidR="006836D5" w:rsidRPr="00B2456C" w14:paraId="3C1D4C4E" w14:textId="77777777" w:rsidTr="55BAD12E">
        <w:trPr>
          <w:trHeight w:val="300"/>
        </w:trPr>
        <w:tc>
          <w:tcPr>
            <w:tcW w:w="4788" w:type="dxa"/>
            <w:gridSpan w:val="3"/>
          </w:tcPr>
          <w:p w14:paraId="50409F02" w14:textId="77777777" w:rsidR="006836D5" w:rsidRPr="00B2456C" w:rsidRDefault="006836D5" w:rsidP="006836D5">
            <w:pPr>
              <w:jc w:val="center"/>
              <w:rPr>
                <w:color w:val="4472C4"/>
                <w:kern w:val="2"/>
                <w:szCs w:val="24"/>
              </w:rPr>
            </w:pPr>
            <w:r w:rsidRPr="00B2456C">
              <w:rPr>
                <w:color w:val="4472C4"/>
                <w:kern w:val="2"/>
                <w:szCs w:val="24"/>
              </w:rPr>
              <w:t>(nurodomos atstovo pareigos, vardas, pavardė)</w:t>
            </w:r>
          </w:p>
        </w:tc>
        <w:tc>
          <w:tcPr>
            <w:tcW w:w="4747" w:type="dxa"/>
          </w:tcPr>
          <w:p w14:paraId="5A20EC7D" w14:textId="77777777" w:rsidR="006836D5" w:rsidRPr="00B2456C" w:rsidRDefault="006836D5" w:rsidP="006836D5">
            <w:pPr>
              <w:jc w:val="center"/>
              <w:rPr>
                <w:b/>
                <w:bCs/>
                <w:kern w:val="2"/>
                <w:szCs w:val="24"/>
              </w:rPr>
            </w:pPr>
            <w:r w:rsidRPr="00B2456C">
              <w:rPr>
                <w:color w:val="4472C4"/>
                <w:kern w:val="2"/>
                <w:szCs w:val="24"/>
              </w:rPr>
              <w:t>(nurodomos atstovo pareigos, vardas, pavardė)</w:t>
            </w:r>
          </w:p>
        </w:tc>
      </w:tr>
      <w:tr w:rsidR="006836D5" w:rsidRPr="00B2456C" w14:paraId="5A6002BB" w14:textId="77777777" w:rsidTr="55BAD12E">
        <w:trPr>
          <w:trHeight w:val="300"/>
        </w:trPr>
        <w:tc>
          <w:tcPr>
            <w:tcW w:w="4788" w:type="dxa"/>
            <w:gridSpan w:val="3"/>
          </w:tcPr>
          <w:p w14:paraId="4B051E75" w14:textId="77777777" w:rsidR="006836D5" w:rsidRPr="00B2456C" w:rsidRDefault="006836D5" w:rsidP="006836D5">
            <w:pPr>
              <w:jc w:val="center"/>
              <w:rPr>
                <w:b/>
                <w:bCs/>
                <w:color w:val="4472C4"/>
                <w:kern w:val="2"/>
                <w:szCs w:val="24"/>
              </w:rPr>
            </w:pPr>
          </w:p>
          <w:p w14:paraId="127CDD99" w14:textId="77777777" w:rsidR="006836D5" w:rsidRPr="00B2456C" w:rsidRDefault="006836D5" w:rsidP="006836D5">
            <w:pPr>
              <w:jc w:val="center"/>
              <w:rPr>
                <w:b/>
                <w:bCs/>
                <w:color w:val="4472C4"/>
                <w:kern w:val="2"/>
              </w:rPr>
            </w:pPr>
            <w:r w:rsidRPr="00B2456C">
              <w:rPr>
                <w:b/>
                <w:bCs/>
                <w:color w:val="4472C4"/>
                <w:kern w:val="2"/>
              </w:rPr>
              <w:t>(parašas)</w:t>
            </w:r>
          </w:p>
        </w:tc>
        <w:tc>
          <w:tcPr>
            <w:tcW w:w="4747" w:type="dxa"/>
          </w:tcPr>
          <w:p w14:paraId="5B4DED6E" w14:textId="77777777" w:rsidR="006836D5" w:rsidRPr="00B2456C" w:rsidRDefault="006836D5" w:rsidP="006836D5">
            <w:pPr>
              <w:jc w:val="center"/>
              <w:rPr>
                <w:b/>
                <w:bCs/>
                <w:color w:val="4472C4"/>
                <w:kern w:val="2"/>
                <w:szCs w:val="24"/>
              </w:rPr>
            </w:pPr>
          </w:p>
          <w:p w14:paraId="579A6D4D" w14:textId="77777777" w:rsidR="006836D5" w:rsidRPr="00B2456C" w:rsidRDefault="006836D5" w:rsidP="006836D5">
            <w:pPr>
              <w:jc w:val="center"/>
              <w:rPr>
                <w:b/>
                <w:bCs/>
                <w:color w:val="4472C4"/>
                <w:kern w:val="2"/>
                <w:szCs w:val="24"/>
              </w:rPr>
            </w:pPr>
            <w:r w:rsidRPr="00B2456C">
              <w:rPr>
                <w:b/>
                <w:bCs/>
                <w:color w:val="4472C4"/>
                <w:kern w:val="2"/>
                <w:szCs w:val="24"/>
              </w:rPr>
              <w:t>(parašas)</w:t>
            </w:r>
          </w:p>
        </w:tc>
      </w:tr>
    </w:tbl>
    <w:p w14:paraId="30559F05" w14:textId="201E034B" w:rsidR="005A5832" w:rsidRDefault="005A5832">
      <w:pPr>
        <w:jc w:val="center"/>
        <w:rPr>
          <w:color w:val="000000"/>
          <w:szCs w:val="24"/>
        </w:rPr>
      </w:pPr>
    </w:p>
    <w:p w14:paraId="1D9E11BE" w14:textId="77777777" w:rsidR="00D56F75" w:rsidRPr="00D56F75" w:rsidRDefault="00D56F75" w:rsidP="00D56F75">
      <w:pPr>
        <w:rPr>
          <w:szCs w:val="24"/>
        </w:rPr>
      </w:pPr>
    </w:p>
    <w:p w14:paraId="3B6FF0B4" w14:textId="77777777" w:rsidR="00D56F75" w:rsidRPr="00D56F75" w:rsidRDefault="00D56F75" w:rsidP="00D56F75">
      <w:pPr>
        <w:rPr>
          <w:szCs w:val="24"/>
        </w:rPr>
      </w:pPr>
    </w:p>
    <w:p w14:paraId="3F325448" w14:textId="77777777" w:rsidR="00D56F75" w:rsidRPr="00D56F75" w:rsidRDefault="00D56F75" w:rsidP="00D56F75">
      <w:pPr>
        <w:rPr>
          <w:szCs w:val="24"/>
        </w:rPr>
      </w:pPr>
    </w:p>
    <w:p w14:paraId="660D841E" w14:textId="77777777" w:rsidR="00D56F75" w:rsidRPr="00D56F75" w:rsidRDefault="00D56F75" w:rsidP="00D56F75">
      <w:pPr>
        <w:rPr>
          <w:szCs w:val="24"/>
        </w:rPr>
      </w:pPr>
    </w:p>
    <w:p w14:paraId="20118139" w14:textId="77777777" w:rsidR="00D56F75" w:rsidRDefault="00D56F75" w:rsidP="00D56F75">
      <w:pPr>
        <w:rPr>
          <w:color w:val="000000"/>
          <w:szCs w:val="24"/>
        </w:rPr>
      </w:pPr>
    </w:p>
    <w:p w14:paraId="753C463D" w14:textId="0E46D848" w:rsidR="00D56F75" w:rsidRDefault="00D56F75" w:rsidP="00D56F75">
      <w:pPr>
        <w:tabs>
          <w:tab w:val="left" w:pos="3754"/>
        </w:tabs>
        <w:rPr>
          <w:szCs w:val="24"/>
        </w:rPr>
      </w:pPr>
      <w:r>
        <w:rPr>
          <w:szCs w:val="24"/>
        </w:rPr>
        <w:tab/>
      </w:r>
    </w:p>
    <w:p w14:paraId="4EE3E84B" w14:textId="77777777" w:rsidR="00D56F75" w:rsidRDefault="00D56F75">
      <w:pPr>
        <w:rPr>
          <w:szCs w:val="24"/>
        </w:rPr>
      </w:pPr>
      <w:r>
        <w:rPr>
          <w:szCs w:val="24"/>
        </w:rPr>
        <w:br w:type="page"/>
      </w:r>
    </w:p>
    <w:p w14:paraId="1853708C" w14:textId="77777777" w:rsidR="00D56F75" w:rsidRDefault="00D56F75" w:rsidP="00D56F75">
      <w:pPr>
        <w:spacing w:line="259" w:lineRule="auto"/>
        <w:jc w:val="center"/>
        <w:rPr>
          <w:b/>
          <w:bCs/>
          <w:caps/>
        </w:rPr>
      </w:pPr>
      <w:r>
        <w:rPr>
          <w:b/>
          <w:bCs/>
          <w:caps/>
        </w:rPr>
        <w:lastRenderedPageBreak/>
        <w:t>VAISTŲ</w:t>
      </w:r>
      <w:r w:rsidRPr="57EDF640">
        <w:rPr>
          <w:b/>
          <w:bCs/>
          <w:caps/>
        </w:rPr>
        <w:t xml:space="preserve"> pirkimo</w:t>
      </w:r>
      <w:r w:rsidRPr="57EDF640">
        <w:rPr>
          <w:rFonts w:eastAsia="Arial"/>
        </w:rPr>
        <w:t>–</w:t>
      </w:r>
      <w:r w:rsidRPr="57EDF640">
        <w:rPr>
          <w:b/>
          <w:bCs/>
          <w:caps/>
        </w:rPr>
        <w:t>pardavimo sutarties Bendrosios sąlygos</w:t>
      </w:r>
    </w:p>
    <w:p w14:paraId="54116288" w14:textId="77777777" w:rsidR="00D56F75" w:rsidRDefault="00D56F75" w:rsidP="00D56F75">
      <w:pPr>
        <w:spacing w:line="259" w:lineRule="auto"/>
        <w:jc w:val="center"/>
        <w:rPr>
          <w:szCs w:val="24"/>
        </w:rPr>
      </w:pPr>
    </w:p>
    <w:p w14:paraId="39FDD3AC" w14:textId="77777777" w:rsidR="00D56F75" w:rsidRDefault="00D56F75" w:rsidP="00D56F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E4646" w14:textId="77777777" w:rsidR="00D56F75" w:rsidRDefault="00D56F75" w:rsidP="00D56F75">
      <w:pPr>
        <w:keepNext/>
        <w:keepLines/>
        <w:tabs>
          <w:tab w:val="left" w:pos="426"/>
        </w:tabs>
        <w:spacing w:line="259" w:lineRule="auto"/>
        <w:jc w:val="both"/>
        <w:rPr>
          <w:rFonts w:eastAsia="Cambria"/>
          <w:b/>
          <w:bCs/>
          <w:caps/>
          <w:szCs w:val="24"/>
          <w14:numSpacing w14:val="tabular"/>
        </w:rPr>
      </w:pPr>
    </w:p>
    <w:p w14:paraId="0DCACEA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866099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D8A1562" w14:textId="77777777" w:rsidR="00D56F75" w:rsidRDefault="00D56F75" w:rsidP="00D56F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563274A"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7E7482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EC7ED2F"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E32F5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CF666"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58B4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DE30E4"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065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4D1421"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10A06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8B5193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4DB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7B39E0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C21E7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22170C8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94950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CAF3D3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CC638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1126E1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15FF2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75E99D94" w14:textId="77777777" w:rsidR="00D56F75" w:rsidRDefault="00D56F75" w:rsidP="00D56F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4F3BFE" w14:textId="77777777" w:rsidR="00D56F75" w:rsidRDefault="00D56F75" w:rsidP="00D56F75">
      <w:pPr>
        <w:keepNext/>
        <w:keepLines/>
        <w:tabs>
          <w:tab w:val="left" w:pos="567"/>
        </w:tabs>
        <w:spacing w:line="259" w:lineRule="auto"/>
        <w:ind w:left="792"/>
        <w:jc w:val="both"/>
        <w:rPr>
          <w:rFonts w:eastAsia="Cambria"/>
          <w:b/>
          <w:bCs/>
          <w:szCs w:val="24"/>
          <w14:numSpacing w14:val="tabular"/>
        </w:rPr>
      </w:pPr>
    </w:p>
    <w:p w14:paraId="60BD314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17440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898DFC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CEF54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A52A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4BB69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A9FA0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EAD48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1E76ED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952D5D"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FA2626"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963FB8"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5174D5C"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p>
    <w:p w14:paraId="79FFA24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007DA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E1CBE2"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770DF"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291F7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D85BF3"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4C75E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533B91"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720E2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3A5A946"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5B9768"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CC345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01CDD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E42AD3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FADC7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E956EB"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B82F25"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6F553A4"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969312"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p>
    <w:p w14:paraId="2794E0DF"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583A1D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E5160A"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08B6269"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B3B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42D3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C6805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2DDBAC">
        <w:rPr>
          <w:rFonts w:eastAsia="Arial"/>
        </w:rPr>
        <w:t>3.1.1.2.</w:t>
      </w:r>
      <w:r>
        <w:tab/>
      </w:r>
      <w:r w:rsidRPr="622DDBAC">
        <w:rPr>
          <w:rFonts w:eastAsia="Arial"/>
        </w:rPr>
        <w:t xml:space="preserve">atitiktų tiekėjų kvalifikacijai pirkimo dokumentuose nustatytus Sutarties tinkamam vykdymui </w:t>
      </w:r>
      <w:r w:rsidRPr="622DDBAC">
        <w:rPr>
          <w:rFonts w:eastAsia="Arial"/>
        </w:rPr>
        <w:lastRenderedPageBreak/>
        <w:t>būtinus reikalavimus bei neturėtų pirkimo dokumentuose nustatytų pašalinimo pagrindų;</w:t>
      </w:r>
    </w:p>
    <w:p w14:paraId="4F35F5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4161C0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F3D73C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8EBD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F7AB4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72EA4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91BE8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47A8C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A236CD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C12EF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70B20D" w14:textId="77777777" w:rsidR="00D56F75" w:rsidRDefault="00D56F75" w:rsidP="00D56F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6B941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51CD10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8BECD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C0A7C4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94F81A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2D717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66592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3D777AF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6613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BBD6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turi turėti ne žemesnę nei pirkimo dokumentuose specialistui keliamą 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714E88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829248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6B7D0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A8468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7038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3F6BB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14609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 xml:space="preserve">Jei Tiekėjas pakeičia esamą arba pasitelkia naują subtiekėją ar specialistą, negavęs Pirkėjo </w:t>
      </w:r>
      <w:r w:rsidRPr="622DDBAC">
        <w:rPr>
          <w:rFonts w:eastAsia="Cambria"/>
          <w:color w:val="000000"/>
          <w:shd w:val="clear" w:color="auto" w:fill="FFFFFF"/>
        </w:rPr>
        <w:lastRenderedPageBreak/>
        <w:t>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2FCA46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F2AA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8E4EE3" w14:textId="77777777" w:rsidR="00D56F75" w:rsidRDefault="00D56F75" w:rsidP="00D56F75">
      <w:pPr>
        <w:widowControl w:val="0"/>
        <w:pBdr>
          <w:top w:val="nil"/>
          <w:left w:val="nil"/>
          <w:bottom w:val="nil"/>
          <w:right w:val="nil"/>
          <w:between w:val="nil"/>
        </w:pBdr>
        <w:tabs>
          <w:tab w:val="left" w:pos="567"/>
        </w:tabs>
        <w:spacing w:line="259" w:lineRule="auto"/>
        <w:jc w:val="both"/>
        <w:rPr>
          <w:rFonts w:eastAsia="Cambria"/>
          <w:szCs w:val="24"/>
        </w:rPr>
      </w:pPr>
    </w:p>
    <w:p w14:paraId="2B75361B" w14:textId="77777777" w:rsidR="00D56F75" w:rsidRDefault="00D56F75" w:rsidP="00D56F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A962E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44217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3C5B5F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2E395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0EE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33C879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29B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B604A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DC71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0EE994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AE8A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3CEB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1105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00211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E02E48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5A8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427667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932DE9"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7552A7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4A395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86CE5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A5E21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DFCF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32879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898414"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9CB845"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6563A6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50C887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DC3CC1"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2813BE5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1878C2D4" w14:textId="77777777" w:rsidR="00D56F75" w:rsidRDefault="00D56F75" w:rsidP="00D56F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D70898"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71974C"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5FDA0"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9FB3B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16BF915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36655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7DA3B5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23E4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0F746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F0B0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9B9140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425A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8A76F7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C36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485A2E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35C77DD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32851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292FE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F9B9E"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A1C90D"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AACA9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2AFF0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85EF1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32B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CAC17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1F690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0CB0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ECFC5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09A94CA"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54ADF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77995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4202A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E6CCA63"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9D0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EC271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A401B6"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E2559F"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FB7893"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4D61A4"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BA799E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7C938F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C5A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238FA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FB3BA8" w14:textId="77777777" w:rsidR="00D56F75" w:rsidRDefault="00D56F75" w:rsidP="00D56F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2C6F0C"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EAD2973"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1C17FD" w14:textId="77777777" w:rsidR="00D56F75" w:rsidRDefault="00D56F75" w:rsidP="00D56F75">
      <w:pPr>
        <w:tabs>
          <w:tab w:val="left" w:pos="567"/>
          <w:tab w:val="left" w:pos="851"/>
          <w:tab w:val="left" w:pos="992"/>
          <w:tab w:val="left" w:pos="1134"/>
        </w:tabs>
        <w:spacing w:line="259" w:lineRule="auto"/>
        <w:jc w:val="both"/>
        <w:rPr>
          <w:rFonts w:eastAsia="Arial"/>
          <w:szCs w:val="24"/>
        </w:rPr>
      </w:pPr>
    </w:p>
    <w:p w14:paraId="54D11E7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89FDF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DFCA1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2957949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ED2BD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B7CB0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F458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F716D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33C6F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64C68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521DA6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C375D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8C47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7FADE1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CA4207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F7D3F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7.4.1.3. grąžinti Prekes Tiekėjui ir nemokėti už tokias Prekes ar reikalauti grąžinti už Prekes sumokėtą sumą bei nutraukti Sutartį.</w:t>
      </w:r>
    </w:p>
    <w:p w14:paraId="12EF8C6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A40A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C0375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416EB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C3019"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1AE30A2"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C92F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5EDE417"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543D9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CAD42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395BA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77D985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4B164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A385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8FD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C56259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C845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EF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F5D9E6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2592DE77"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6D372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EA78D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997A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AAF40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61542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E6A70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A17974" w14:textId="77777777" w:rsidR="00D56F75" w:rsidRDefault="00D56F75" w:rsidP="00D56F7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BD1170" w14:textId="77777777" w:rsidR="00D56F75" w:rsidRDefault="00D56F75" w:rsidP="00D56F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52B54C" w14:textId="77777777" w:rsidR="00D56F75" w:rsidRDefault="00D56F75" w:rsidP="00D56F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CFB" w14:textId="77777777" w:rsidR="00D56F75" w:rsidRDefault="00D56F75" w:rsidP="00D56F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846323" w14:textId="77777777" w:rsidR="00D56F75" w:rsidRDefault="00D56F75" w:rsidP="00D56F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DC1A45" w14:textId="77777777" w:rsidR="00D56F75" w:rsidRDefault="00D56F75" w:rsidP="00D56F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E899C4" w14:textId="77777777" w:rsidR="00D56F75" w:rsidRDefault="00D56F75" w:rsidP="00D56F75">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7E5FBFBA" w14:textId="77777777" w:rsidR="00D56F75" w:rsidRDefault="00D56F75" w:rsidP="00D56F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B465F" w14:textId="77777777" w:rsidR="00D56F75" w:rsidRDefault="00D56F75" w:rsidP="00D56F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D77177" w14:textId="77777777" w:rsidR="00D56F75" w:rsidRDefault="00D56F75" w:rsidP="00D56F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2F6" w14:textId="77777777" w:rsidR="00D56F75" w:rsidRDefault="00D56F75" w:rsidP="00D56F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397AD3E" w14:textId="77777777" w:rsidR="00D56F75" w:rsidRDefault="00D56F75" w:rsidP="00D56F7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DEE01" w14:textId="77777777" w:rsidR="00D56F75" w:rsidRDefault="00D56F75" w:rsidP="00D56F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064F8" w14:textId="77777777" w:rsidR="00D56F75" w:rsidRDefault="00D56F75" w:rsidP="00D56F7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2E584E" w14:textId="77777777" w:rsidR="00D56F75" w:rsidRDefault="00D56F75" w:rsidP="00D56F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FE9CDA" w14:textId="77777777" w:rsidR="00D56F75" w:rsidRDefault="00D56F75" w:rsidP="00D56F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41BFB" w14:textId="77777777" w:rsidR="00D56F75" w:rsidRDefault="00D56F75" w:rsidP="00D56F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423C49" w14:textId="77777777" w:rsidR="00D56F75" w:rsidRDefault="00D56F75" w:rsidP="00D56F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0F76A9" w14:textId="77777777" w:rsidR="00D56F75" w:rsidRDefault="00D56F75" w:rsidP="00D56F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482FCC" w14:textId="77777777" w:rsidR="00D56F75" w:rsidRDefault="00D56F75" w:rsidP="00D56F75">
      <w:pPr>
        <w:tabs>
          <w:tab w:val="left" w:pos="567"/>
        </w:tabs>
        <w:spacing w:line="259" w:lineRule="auto"/>
        <w:jc w:val="both"/>
        <w:textAlignment w:val="baseline"/>
        <w:rPr>
          <w:szCs w:val="24"/>
        </w:rPr>
      </w:pPr>
    </w:p>
    <w:p w14:paraId="295E8F6F" w14:textId="77777777" w:rsidR="00D56F75" w:rsidRDefault="00D56F75" w:rsidP="00D56F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BB165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FA09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4117AF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A6CD4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1D6F6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46F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62F6C"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CE61EC6"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3751E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4C4E82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EE744" w14:textId="77777777" w:rsidR="00D56F75" w:rsidRDefault="00D56F75" w:rsidP="00D56F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FB287F" w14:textId="77777777" w:rsidR="00D56F75" w:rsidRDefault="00D56F75" w:rsidP="00D56F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4D4F4E" w14:textId="77777777" w:rsidR="00D56F75" w:rsidRDefault="00D56F75" w:rsidP="00D56F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DE81B89" w14:textId="77777777" w:rsidR="00D56F75" w:rsidRDefault="00D56F75" w:rsidP="00D56F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751317" w14:textId="77777777" w:rsidR="00D56F75" w:rsidRDefault="00D56F75" w:rsidP="00D56F7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6A20CC" w14:textId="77777777" w:rsidR="00D56F75" w:rsidRDefault="00D56F75" w:rsidP="00D56F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792696" w14:textId="77777777" w:rsidR="00D56F75" w:rsidRDefault="00D56F75" w:rsidP="00D56F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CA1D02" w14:textId="77777777" w:rsidR="00D56F75" w:rsidRDefault="00D56F75" w:rsidP="00D56F75">
      <w:pPr>
        <w:tabs>
          <w:tab w:val="left" w:pos="567"/>
        </w:tabs>
        <w:spacing w:line="259" w:lineRule="auto"/>
        <w:jc w:val="both"/>
        <w:textAlignment w:val="baseline"/>
        <w:rPr>
          <w:szCs w:val="24"/>
        </w:rPr>
      </w:pPr>
      <w:r>
        <w:rPr>
          <w:szCs w:val="24"/>
        </w:rPr>
        <w:t>12.1.7. Avanso užtikrinimo suma turi būti nurodoma ir išmokama eurais. </w:t>
      </w:r>
    </w:p>
    <w:p w14:paraId="0AC7D1BD" w14:textId="77777777" w:rsidR="00D56F75" w:rsidRDefault="00D56F75" w:rsidP="00D56F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C5E460" w14:textId="77777777" w:rsidR="00D56F75" w:rsidRDefault="00D56F75" w:rsidP="00D56F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D710DC" w14:textId="77777777" w:rsidR="00D56F75" w:rsidRDefault="00D56F75" w:rsidP="00D56F75">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CDE4" w14:textId="77777777" w:rsidR="00D56F75" w:rsidRDefault="00D56F75" w:rsidP="00D56F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1D9B56" w14:textId="77777777" w:rsidR="00D56F75" w:rsidRDefault="00D56F75" w:rsidP="00D56F75">
      <w:pPr>
        <w:tabs>
          <w:tab w:val="left" w:pos="567"/>
        </w:tabs>
        <w:spacing w:line="259"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DD27A8" w14:textId="77777777" w:rsidR="00D56F75" w:rsidRDefault="00D56F75" w:rsidP="00D56F75">
      <w:pPr>
        <w:tabs>
          <w:tab w:val="left" w:pos="567"/>
        </w:tabs>
        <w:spacing w:line="259" w:lineRule="auto"/>
        <w:jc w:val="both"/>
        <w:textAlignment w:val="baseline"/>
        <w:rPr>
          <w:szCs w:val="24"/>
        </w:rPr>
      </w:pPr>
    </w:p>
    <w:p w14:paraId="774723B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31C21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F12A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16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436F07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58A39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2C26166" w14:textId="77777777" w:rsidR="00D56F75" w:rsidRDefault="00D56F75" w:rsidP="00D56F7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61F858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251A5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1346DA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5FB2C1"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595F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A1F26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DD860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C8D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038696E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6FC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1214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998808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6B4D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D4B67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887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8F5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89857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14F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115E47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B71F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7EFEE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1066B7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6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FBF92C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DB66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FB616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D4EA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33E1639" w14:textId="77777777" w:rsidR="00D56F75" w:rsidRDefault="00D56F75" w:rsidP="00D56F7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76025" w14:textId="77777777" w:rsidR="00D56F75" w:rsidRDefault="00D56F75" w:rsidP="00D56F75">
      <w:pPr>
        <w:tabs>
          <w:tab w:val="left" w:pos="567"/>
          <w:tab w:val="left" w:pos="851"/>
          <w:tab w:val="left" w:pos="992"/>
          <w:tab w:val="left" w:pos="1134"/>
        </w:tabs>
        <w:spacing w:line="259" w:lineRule="auto"/>
        <w:ind w:left="360" w:firstLine="53"/>
        <w:jc w:val="both"/>
        <w:rPr>
          <w:rFonts w:eastAsia="Arial"/>
          <w:szCs w:val="24"/>
        </w:rPr>
      </w:pPr>
    </w:p>
    <w:p w14:paraId="1A606AA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FE90C7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8F4197" w14:textId="77777777" w:rsidR="00D56F75" w:rsidRDefault="00D56F75" w:rsidP="00D56F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D3FF1E" w14:textId="77777777" w:rsidR="00D56F75" w:rsidRDefault="00D56F75" w:rsidP="00D56F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2F5F">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EF03C1" w14:textId="77777777" w:rsidR="00D56F75" w:rsidRDefault="00D56F75" w:rsidP="00D56F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6FE57E" w14:textId="77777777" w:rsidR="00D56F75" w:rsidRDefault="00D56F75" w:rsidP="00D56F75">
      <w:pPr>
        <w:tabs>
          <w:tab w:val="left" w:pos="567"/>
        </w:tabs>
        <w:spacing w:line="259" w:lineRule="auto"/>
        <w:jc w:val="both"/>
        <w:textAlignment w:val="baseline"/>
        <w:rPr>
          <w:szCs w:val="24"/>
        </w:rPr>
      </w:pPr>
    </w:p>
    <w:p w14:paraId="56C3FF9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3053F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12E37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ADC5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1907E3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476D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479AB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07CE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6918F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94A90D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A2A4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68BB9A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5E08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77C46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68B670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18B3DC"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B8C9A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DCA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EC27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386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69CA5B" w14:textId="77777777" w:rsidR="00D56F75" w:rsidRDefault="00D56F75" w:rsidP="00D56F75">
      <w:pPr>
        <w:widowControl w:val="0"/>
        <w:tabs>
          <w:tab w:val="left" w:pos="567"/>
          <w:tab w:val="left" w:pos="851"/>
          <w:tab w:val="left" w:pos="992"/>
          <w:tab w:val="left" w:pos="1134"/>
        </w:tabs>
        <w:spacing w:line="259" w:lineRule="auto"/>
        <w:ind w:firstLine="53"/>
        <w:jc w:val="both"/>
        <w:rPr>
          <w:rFonts w:eastAsia="Arial"/>
          <w:szCs w:val="24"/>
        </w:rPr>
      </w:pPr>
    </w:p>
    <w:p w14:paraId="5E850A6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0EE04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1FAF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8AD4BE5"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2B459BDC"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9109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7DC672"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2E49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788B9D"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1190CB3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AD009B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289E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42231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8E29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29FF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92C0AB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31385" w14:textId="77777777" w:rsidR="00D56F75" w:rsidRDefault="00D56F75" w:rsidP="00D56F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30D2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C11C5C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DD155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C88B7B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C02A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FDA19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2D2C8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11BE2A" w14:textId="77777777" w:rsidR="00D56F75" w:rsidRDefault="00D56F75" w:rsidP="00D56F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B90E8D" w14:textId="77777777" w:rsidR="00D56F75" w:rsidRDefault="00D56F75" w:rsidP="00D56F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3700106" w14:textId="77777777" w:rsidR="00D56F75" w:rsidRDefault="00D56F75" w:rsidP="00D56F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44029" w14:textId="77777777" w:rsidR="00D56F75" w:rsidRDefault="00D56F75" w:rsidP="00D56F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7E3DD6" w14:textId="77777777" w:rsidR="00D56F75" w:rsidRDefault="00D56F75" w:rsidP="00D56F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3170586" w14:textId="77777777" w:rsidR="00D56F75" w:rsidRDefault="00D56F75" w:rsidP="00D56F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53BA3CC" w14:textId="77777777" w:rsidR="00D56F75" w:rsidRDefault="00D56F75" w:rsidP="00D56F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C0792D7" w14:textId="77777777" w:rsidR="00D56F75" w:rsidRDefault="00D56F75" w:rsidP="00D56F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9911C1" w14:textId="77777777" w:rsidR="00D56F75" w:rsidRDefault="00D56F75" w:rsidP="00D56F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04AF62D" w14:textId="77777777" w:rsidR="00D56F75" w:rsidRDefault="00D56F75" w:rsidP="00D56F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D2E6C1" w14:textId="77777777" w:rsidR="00D56F75" w:rsidRDefault="00D56F75" w:rsidP="00D56F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EB3BC0" w14:textId="77777777" w:rsidR="00D56F75" w:rsidRDefault="00D56F75" w:rsidP="00D56F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601315" w14:textId="77777777" w:rsidR="00D56F75" w:rsidRDefault="00D56F75" w:rsidP="00D56F7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AC900C5" w14:textId="77777777" w:rsidR="00D56F75" w:rsidRDefault="00D56F75" w:rsidP="00D56F7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C2F4DE0" w14:textId="77777777" w:rsidR="00D56F75" w:rsidRDefault="00D56F75" w:rsidP="00D56F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B48B7" w14:textId="77777777" w:rsidR="00D56F75" w:rsidRDefault="00D56F75" w:rsidP="00D56F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B1731D" w14:textId="77777777" w:rsidR="00D56F75" w:rsidRDefault="00D56F75" w:rsidP="00D56F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A092F" w14:textId="77777777" w:rsidR="00D56F75" w:rsidRDefault="00D56F75" w:rsidP="00D56F75">
      <w:pPr>
        <w:spacing w:line="264" w:lineRule="auto"/>
        <w:jc w:val="both"/>
        <w:rPr>
          <w:szCs w:val="24"/>
        </w:rPr>
      </w:pPr>
      <w:r>
        <w:rPr>
          <w:szCs w:val="24"/>
        </w:rPr>
        <w:t>21.7. Sutartinių įsipareigojimų vykdymas stabdomas ne ilgesniam kaip konkrečios, pagrįstos aplinkybės egzistavimo laikotarpiui.</w:t>
      </w:r>
    </w:p>
    <w:p w14:paraId="145F2E43" w14:textId="77777777" w:rsidR="00D56F75" w:rsidRDefault="00D56F75" w:rsidP="00D56F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E802E" w14:textId="77777777" w:rsidR="00D56F75" w:rsidRDefault="00D56F75" w:rsidP="00D56F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A083542" w14:textId="77777777" w:rsidR="00D56F75" w:rsidRDefault="00D56F75" w:rsidP="00D56F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F008EE" w14:textId="77777777" w:rsidR="00D56F75" w:rsidRDefault="00D56F75" w:rsidP="00D56F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37824" w14:textId="77777777" w:rsidR="00D56F75" w:rsidRDefault="00D56F75" w:rsidP="00D56F75">
      <w:pPr>
        <w:tabs>
          <w:tab w:val="left" w:pos="567"/>
        </w:tabs>
        <w:spacing w:line="259" w:lineRule="auto"/>
        <w:jc w:val="both"/>
        <w:textAlignment w:val="baseline"/>
        <w:rPr>
          <w:szCs w:val="24"/>
        </w:rPr>
      </w:pPr>
    </w:p>
    <w:p w14:paraId="6A74C33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71C90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B0124"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A7A0DC"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p>
    <w:p w14:paraId="17D30F8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706C42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08C92" w14:textId="77777777" w:rsidR="00D56F75" w:rsidRDefault="00D56F75" w:rsidP="00D56F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3DACE9" w14:textId="77777777" w:rsidR="00D56F75" w:rsidRDefault="00D56F75" w:rsidP="00D56F75">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1F2177" w14:textId="77777777" w:rsidR="00D56F75" w:rsidRDefault="00D56F75" w:rsidP="00D56F75">
      <w:pPr>
        <w:tabs>
          <w:tab w:val="left" w:pos="567"/>
        </w:tabs>
        <w:spacing w:line="259" w:lineRule="auto"/>
        <w:jc w:val="both"/>
        <w:textAlignment w:val="baseline"/>
        <w:rPr>
          <w:szCs w:val="24"/>
        </w:rPr>
      </w:pPr>
    </w:p>
    <w:p w14:paraId="71539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9E7B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F4AA26" w14:textId="77777777" w:rsidR="00D56F75" w:rsidRDefault="00D56F75" w:rsidP="00D56F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06D0A" w14:textId="77777777" w:rsidR="00D56F75" w:rsidRDefault="00D56F75" w:rsidP="00D56F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D3EE94" w14:textId="77777777" w:rsidR="00D56F75" w:rsidRDefault="00D56F75" w:rsidP="00D56F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74645B" w14:textId="77777777" w:rsidR="00D56F75" w:rsidRDefault="00D56F75" w:rsidP="00D56F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73AC090" w14:textId="77777777" w:rsidR="00D56F75" w:rsidRDefault="00D56F75" w:rsidP="00D56F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FA4C6C" w14:textId="77777777" w:rsidR="00D56F75" w:rsidRDefault="00D56F75" w:rsidP="00D56F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452AB98" w14:textId="77777777" w:rsidR="00D56F75" w:rsidRDefault="00D56F75" w:rsidP="00D56F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8DB053" w14:textId="77777777" w:rsidR="00D56F75" w:rsidRDefault="00D56F75" w:rsidP="00D56F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0B22C49" w14:textId="77777777" w:rsidR="00D56F75" w:rsidRDefault="00D56F75" w:rsidP="00D56F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598E9D" w14:textId="77777777" w:rsidR="00D56F75" w:rsidRDefault="00D56F75" w:rsidP="00D56F75">
      <w:pPr>
        <w:tabs>
          <w:tab w:val="left" w:pos="567"/>
        </w:tabs>
        <w:spacing w:line="259" w:lineRule="auto"/>
        <w:jc w:val="both"/>
        <w:textAlignment w:val="baseline"/>
        <w:rPr>
          <w:szCs w:val="24"/>
        </w:rPr>
      </w:pPr>
      <w:r>
        <w:rPr>
          <w:szCs w:val="24"/>
        </w:rPr>
        <w:t>22.2.2.8. nebelieka perkamų Prekių poreikio; </w:t>
      </w:r>
    </w:p>
    <w:p w14:paraId="5CC0E950" w14:textId="77777777" w:rsidR="00D56F75" w:rsidRDefault="00D56F75" w:rsidP="00D56F7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C383EB" w14:textId="77777777" w:rsidR="00D56F75" w:rsidRDefault="00D56F75" w:rsidP="00D56F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A8B0C1" w14:textId="77777777" w:rsidR="00D56F75" w:rsidRDefault="00D56F75" w:rsidP="00D56F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491A29E" w14:textId="77777777" w:rsidR="00D56F75" w:rsidRDefault="00D56F75" w:rsidP="00D56F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1884AF" w14:textId="77777777" w:rsidR="00D56F75" w:rsidRDefault="00D56F75" w:rsidP="00D56F75">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51A6D5A9" w14:textId="77777777" w:rsidR="00D56F75" w:rsidRDefault="00D56F75" w:rsidP="00D56F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950E" w14:textId="77777777" w:rsidR="00D56F75" w:rsidRDefault="00D56F75" w:rsidP="00D56F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5F9B3" w14:textId="77777777" w:rsidR="00D56F75" w:rsidRDefault="00D56F75" w:rsidP="00D56F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A92A08" w14:textId="77777777" w:rsidR="00D56F75" w:rsidRDefault="00D56F75" w:rsidP="00D56F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EBE6539" w14:textId="77777777" w:rsidR="00D56F75" w:rsidRDefault="00D56F75" w:rsidP="00D56F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3E2056" w14:textId="77777777" w:rsidR="00D56F75" w:rsidRDefault="00D56F75" w:rsidP="00D56F75">
      <w:pPr>
        <w:tabs>
          <w:tab w:val="left" w:pos="567"/>
        </w:tabs>
        <w:spacing w:line="259" w:lineRule="auto"/>
        <w:jc w:val="both"/>
        <w:textAlignment w:val="baseline"/>
        <w:rPr>
          <w:szCs w:val="24"/>
        </w:rPr>
      </w:pPr>
    </w:p>
    <w:p w14:paraId="6F6B5AE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8B640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8A249B" w14:textId="77777777" w:rsidR="00D56F75" w:rsidRDefault="00D56F75" w:rsidP="00D56F7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AB3F00" w14:textId="77777777" w:rsidR="00D56F75" w:rsidRDefault="00D56F75" w:rsidP="00D56F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C9CC409" w14:textId="77777777" w:rsidR="00D56F75" w:rsidRDefault="00D56F75" w:rsidP="00D56F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9495D" w14:textId="77777777" w:rsidR="00D56F75" w:rsidRDefault="00D56F75" w:rsidP="00D56F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20422F" w14:textId="77777777" w:rsidR="00D56F75" w:rsidRDefault="00D56F75" w:rsidP="00D56F7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97F744" w14:textId="77777777" w:rsidR="00D56F75" w:rsidRDefault="00D56F75" w:rsidP="00D56F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6F5BEA6" w14:textId="77777777" w:rsidR="00D56F75" w:rsidRDefault="00D56F75" w:rsidP="00D56F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FC312" w14:textId="77777777" w:rsidR="00D56F75" w:rsidRDefault="00D56F75" w:rsidP="00D56F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0B3811" w14:textId="77777777" w:rsidR="00D56F75" w:rsidRDefault="00D56F75" w:rsidP="00D56F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72DCAA" w14:textId="77777777" w:rsidR="00D56F75" w:rsidRDefault="00D56F75" w:rsidP="00D56F75">
      <w:pPr>
        <w:tabs>
          <w:tab w:val="left" w:pos="567"/>
        </w:tabs>
        <w:spacing w:line="259" w:lineRule="auto"/>
        <w:jc w:val="both"/>
        <w:textAlignment w:val="baseline"/>
        <w:rPr>
          <w:szCs w:val="24"/>
        </w:rPr>
      </w:pPr>
    </w:p>
    <w:p w14:paraId="7E881C3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AFDF4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1634C2" w14:textId="77777777" w:rsidR="00D56F75" w:rsidRDefault="00D56F75" w:rsidP="00D56F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2F2E1A0" w14:textId="77777777" w:rsidR="00D56F75" w:rsidRDefault="00D56F75" w:rsidP="00D56F75">
      <w:pPr>
        <w:tabs>
          <w:tab w:val="left" w:pos="567"/>
        </w:tabs>
        <w:spacing w:line="259" w:lineRule="auto"/>
        <w:jc w:val="both"/>
        <w:textAlignment w:val="baseline"/>
        <w:rPr>
          <w:szCs w:val="24"/>
        </w:rPr>
      </w:pPr>
      <w:r>
        <w:rPr>
          <w:szCs w:val="24"/>
        </w:rPr>
        <w:t>22.4.2. Nutraukus Sutartį, Šalys privalo: </w:t>
      </w:r>
    </w:p>
    <w:p w14:paraId="7AC68738" w14:textId="77777777" w:rsidR="00D56F75" w:rsidRDefault="00D56F75" w:rsidP="00D56F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D3E7637" w14:textId="77777777" w:rsidR="00D56F75" w:rsidRDefault="00D56F75" w:rsidP="00D56F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049F405" w14:textId="77777777" w:rsidR="00D56F75" w:rsidRDefault="00D56F75" w:rsidP="00D56F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0234E11" w14:textId="77777777" w:rsidR="00D56F75" w:rsidRDefault="00D56F75" w:rsidP="00D56F75">
      <w:pPr>
        <w:tabs>
          <w:tab w:val="left" w:pos="567"/>
        </w:tabs>
        <w:spacing w:line="259" w:lineRule="auto"/>
        <w:jc w:val="both"/>
        <w:textAlignment w:val="baseline"/>
        <w:rPr>
          <w:szCs w:val="24"/>
        </w:rPr>
      </w:pPr>
    </w:p>
    <w:p w14:paraId="2576AB6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49993D6"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94C4A" w14:textId="77777777" w:rsidR="00D56F75" w:rsidRDefault="00D56F75" w:rsidP="00D56F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F807AAB" w14:textId="77777777" w:rsidR="00D56F75" w:rsidRDefault="00D56F75" w:rsidP="00D56F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EEA60C" w14:textId="77777777" w:rsidR="00D56F75" w:rsidRDefault="00D56F75" w:rsidP="00D56F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64EF7A" w14:textId="77777777" w:rsidR="00D56F75" w:rsidRDefault="00D56F75" w:rsidP="00D56F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6F440258" w14:textId="77777777" w:rsidR="00D56F75" w:rsidRDefault="00D56F75" w:rsidP="00D56F75">
      <w:pPr>
        <w:spacing w:line="259" w:lineRule="auto"/>
        <w:jc w:val="both"/>
        <w:rPr>
          <w:szCs w:val="24"/>
        </w:rPr>
      </w:pPr>
      <w:r>
        <w:rPr>
          <w:szCs w:val="24"/>
        </w:rPr>
        <w:t>23.1.4. Šalys sudarė rašytinį susitarimą prie Sutarties dėl Prekių keitimo.</w:t>
      </w:r>
    </w:p>
    <w:p w14:paraId="1F1AE0C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52F1BF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50F0D4"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33D8E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14A7E7" w14:textId="77777777" w:rsidR="00D56F75" w:rsidRDefault="00D56F75" w:rsidP="00D56F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7A132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E590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EB0817"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A20EF5"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124941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p>
    <w:p w14:paraId="5352DE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2D9BC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EEB21" w14:textId="77777777" w:rsidR="00D56F75" w:rsidRDefault="00D56F75" w:rsidP="00D56F7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4F1ACB" w14:textId="77777777" w:rsidR="00D56F75" w:rsidRDefault="00D56F75" w:rsidP="00D56F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1C3B45D" w14:textId="77777777" w:rsidR="00D56F75" w:rsidRDefault="00D56F75" w:rsidP="00D56F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3841F3" w14:textId="77777777" w:rsidR="00D56F75" w:rsidRPr="00D56F75" w:rsidRDefault="00D56F75" w:rsidP="00D56F75">
      <w:pPr>
        <w:tabs>
          <w:tab w:val="left" w:pos="3754"/>
        </w:tabs>
        <w:rPr>
          <w:szCs w:val="24"/>
        </w:rPr>
      </w:pPr>
    </w:p>
    <w:sectPr w:rsidR="00D56F75" w:rsidRPr="00D56F75" w:rsidSect="00F41E7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7FA0" w14:textId="77777777" w:rsidR="00B06DE1" w:rsidRDefault="00B06DE1">
      <w:pPr>
        <w:rPr>
          <w:kern w:val="2"/>
          <w:sz w:val="22"/>
          <w:szCs w:val="22"/>
          <w:lang w:val="en-US"/>
        </w:rPr>
      </w:pPr>
      <w:r>
        <w:rPr>
          <w:kern w:val="2"/>
          <w:sz w:val="22"/>
          <w:szCs w:val="22"/>
          <w:lang w:val="en-US"/>
        </w:rPr>
        <w:separator/>
      </w:r>
    </w:p>
  </w:endnote>
  <w:endnote w:type="continuationSeparator" w:id="0">
    <w:p w14:paraId="77C7D62C" w14:textId="77777777" w:rsidR="00B06DE1" w:rsidRDefault="00B06DE1">
      <w:pPr>
        <w:rPr>
          <w:kern w:val="2"/>
          <w:sz w:val="22"/>
          <w:szCs w:val="22"/>
          <w:lang w:val="en-US"/>
        </w:rPr>
      </w:pPr>
      <w:r>
        <w:rPr>
          <w:kern w:val="2"/>
          <w:sz w:val="22"/>
          <w:szCs w:val="22"/>
          <w:lang w:val="en-US"/>
        </w:rPr>
        <w:continuationSeparator/>
      </w:r>
    </w:p>
  </w:endnote>
  <w:endnote w:type="continuationNotice" w:id="1">
    <w:p w14:paraId="16FDD454" w14:textId="77777777" w:rsidR="00B06DE1" w:rsidRDefault="00B06D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FDD7" w14:textId="77777777" w:rsidR="00B06DE1" w:rsidRDefault="00B06DE1">
      <w:pPr>
        <w:rPr>
          <w:kern w:val="2"/>
          <w:sz w:val="22"/>
          <w:szCs w:val="22"/>
          <w:lang w:val="en-US"/>
        </w:rPr>
      </w:pPr>
      <w:r>
        <w:rPr>
          <w:kern w:val="2"/>
          <w:sz w:val="22"/>
          <w:szCs w:val="22"/>
          <w:lang w:val="en-US"/>
        </w:rPr>
        <w:separator/>
      </w:r>
    </w:p>
  </w:footnote>
  <w:footnote w:type="continuationSeparator" w:id="0">
    <w:p w14:paraId="68B28409" w14:textId="77777777" w:rsidR="00B06DE1" w:rsidRDefault="00B06DE1">
      <w:pPr>
        <w:rPr>
          <w:kern w:val="2"/>
          <w:sz w:val="22"/>
          <w:szCs w:val="22"/>
          <w:lang w:val="en-US"/>
        </w:rPr>
      </w:pPr>
      <w:r>
        <w:rPr>
          <w:kern w:val="2"/>
          <w:sz w:val="22"/>
          <w:szCs w:val="22"/>
          <w:lang w:val="en-US"/>
        </w:rPr>
        <w:continuationSeparator/>
      </w:r>
    </w:p>
  </w:footnote>
  <w:footnote w:type="continuationNotice" w:id="1">
    <w:p w14:paraId="09FB45B9" w14:textId="77777777" w:rsidR="00B06DE1" w:rsidRDefault="00B06D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8E9"/>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3"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3"/>
  </w:num>
  <w:num w:numId="2" w16cid:durableId="69943038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0432112">
    <w:abstractNumId w:val="1"/>
  </w:num>
  <w:num w:numId="4" w16cid:durableId="14701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0A"/>
    <w:rsid w:val="0000567E"/>
    <w:rsid w:val="0000732E"/>
    <w:rsid w:val="0001212F"/>
    <w:rsid w:val="00013792"/>
    <w:rsid w:val="000139E1"/>
    <w:rsid w:val="00015018"/>
    <w:rsid w:val="000277D8"/>
    <w:rsid w:val="00050033"/>
    <w:rsid w:val="0005795C"/>
    <w:rsid w:val="00093036"/>
    <w:rsid w:val="00095295"/>
    <w:rsid w:val="00097455"/>
    <w:rsid w:val="000A22A1"/>
    <w:rsid w:val="000B5F79"/>
    <w:rsid w:val="000C2952"/>
    <w:rsid w:val="000D72BE"/>
    <w:rsid w:val="001072BD"/>
    <w:rsid w:val="001127D4"/>
    <w:rsid w:val="00144F21"/>
    <w:rsid w:val="00146C67"/>
    <w:rsid w:val="00180919"/>
    <w:rsid w:val="001B0D90"/>
    <w:rsid w:val="001C6CA3"/>
    <w:rsid w:val="001D3BFB"/>
    <w:rsid w:val="001E5C23"/>
    <w:rsid w:val="001F009F"/>
    <w:rsid w:val="001F1780"/>
    <w:rsid w:val="002300A3"/>
    <w:rsid w:val="0024072D"/>
    <w:rsid w:val="00243877"/>
    <w:rsid w:val="002721E9"/>
    <w:rsid w:val="002758A7"/>
    <w:rsid w:val="002B6477"/>
    <w:rsid w:val="002C02B8"/>
    <w:rsid w:val="002C3ABF"/>
    <w:rsid w:val="002E1D33"/>
    <w:rsid w:val="002F161E"/>
    <w:rsid w:val="002F2DF1"/>
    <w:rsid w:val="0031086B"/>
    <w:rsid w:val="0031220E"/>
    <w:rsid w:val="003246E4"/>
    <w:rsid w:val="00334787"/>
    <w:rsid w:val="003472A5"/>
    <w:rsid w:val="0036256E"/>
    <w:rsid w:val="003658D3"/>
    <w:rsid w:val="00394658"/>
    <w:rsid w:val="003B0F14"/>
    <w:rsid w:val="003C5740"/>
    <w:rsid w:val="003D2D40"/>
    <w:rsid w:val="003E0BAF"/>
    <w:rsid w:val="003E7E27"/>
    <w:rsid w:val="00412CFE"/>
    <w:rsid w:val="00415A2A"/>
    <w:rsid w:val="00453491"/>
    <w:rsid w:val="004554AD"/>
    <w:rsid w:val="00464964"/>
    <w:rsid w:val="0047491D"/>
    <w:rsid w:val="0047581E"/>
    <w:rsid w:val="00475F32"/>
    <w:rsid w:val="00487812"/>
    <w:rsid w:val="004A3A3D"/>
    <w:rsid w:val="004A73C4"/>
    <w:rsid w:val="004B3513"/>
    <w:rsid w:val="004C41A2"/>
    <w:rsid w:val="004C568A"/>
    <w:rsid w:val="004D263D"/>
    <w:rsid w:val="004D5841"/>
    <w:rsid w:val="004F58BF"/>
    <w:rsid w:val="005037D0"/>
    <w:rsid w:val="00503A68"/>
    <w:rsid w:val="0050758A"/>
    <w:rsid w:val="005106C2"/>
    <w:rsid w:val="00517B3A"/>
    <w:rsid w:val="005318A3"/>
    <w:rsid w:val="00532776"/>
    <w:rsid w:val="0056058A"/>
    <w:rsid w:val="005663E2"/>
    <w:rsid w:val="00591F37"/>
    <w:rsid w:val="00592F15"/>
    <w:rsid w:val="005A3A93"/>
    <w:rsid w:val="005A3FA7"/>
    <w:rsid w:val="005A5832"/>
    <w:rsid w:val="005A5D2B"/>
    <w:rsid w:val="005B500D"/>
    <w:rsid w:val="005D57F4"/>
    <w:rsid w:val="005F5B23"/>
    <w:rsid w:val="00607FDF"/>
    <w:rsid w:val="00616C46"/>
    <w:rsid w:val="006170B4"/>
    <w:rsid w:val="00617241"/>
    <w:rsid w:val="00617F77"/>
    <w:rsid w:val="00662163"/>
    <w:rsid w:val="006762C9"/>
    <w:rsid w:val="0067735E"/>
    <w:rsid w:val="006836D5"/>
    <w:rsid w:val="00693274"/>
    <w:rsid w:val="00695ABC"/>
    <w:rsid w:val="006D6088"/>
    <w:rsid w:val="00702F26"/>
    <w:rsid w:val="00703462"/>
    <w:rsid w:val="00720A1A"/>
    <w:rsid w:val="0072659D"/>
    <w:rsid w:val="0075520D"/>
    <w:rsid w:val="00780DCA"/>
    <w:rsid w:val="00787748"/>
    <w:rsid w:val="007B5AD1"/>
    <w:rsid w:val="007B6F5A"/>
    <w:rsid w:val="007B7B1E"/>
    <w:rsid w:val="007C2083"/>
    <w:rsid w:val="007D4CE1"/>
    <w:rsid w:val="00802DFE"/>
    <w:rsid w:val="00805345"/>
    <w:rsid w:val="008147AD"/>
    <w:rsid w:val="00814955"/>
    <w:rsid w:val="00825C89"/>
    <w:rsid w:val="00835153"/>
    <w:rsid w:val="0083773C"/>
    <w:rsid w:val="008441ED"/>
    <w:rsid w:val="0084468D"/>
    <w:rsid w:val="00851B94"/>
    <w:rsid w:val="00860C25"/>
    <w:rsid w:val="00870892"/>
    <w:rsid w:val="0087367A"/>
    <w:rsid w:val="00885043"/>
    <w:rsid w:val="00891A54"/>
    <w:rsid w:val="008A3BFC"/>
    <w:rsid w:val="008C0361"/>
    <w:rsid w:val="008C21B5"/>
    <w:rsid w:val="008C6A4D"/>
    <w:rsid w:val="008D3CC9"/>
    <w:rsid w:val="00903B5E"/>
    <w:rsid w:val="00923DB9"/>
    <w:rsid w:val="00931949"/>
    <w:rsid w:val="009375AB"/>
    <w:rsid w:val="00937661"/>
    <w:rsid w:val="00940D17"/>
    <w:rsid w:val="009433E7"/>
    <w:rsid w:val="00946797"/>
    <w:rsid w:val="0095714E"/>
    <w:rsid w:val="00964721"/>
    <w:rsid w:val="00971641"/>
    <w:rsid w:val="00976336"/>
    <w:rsid w:val="0098711E"/>
    <w:rsid w:val="0099243A"/>
    <w:rsid w:val="00997BD0"/>
    <w:rsid w:val="009A1495"/>
    <w:rsid w:val="009A3DAD"/>
    <w:rsid w:val="009C2169"/>
    <w:rsid w:val="009C49C8"/>
    <w:rsid w:val="009C648B"/>
    <w:rsid w:val="009C64B4"/>
    <w:rsid w:val="009D25FD"/>
    <w:rsid w:val="009D2F92"/>
    <w:rsid w:val="009E0686"/>
    <w:rsid w:val="009E7566"/>
    <w:rsid w:val="009F3B53"/>
    <w:rsid w:val="00A0325B"/>
    <w:rsid w:val="00A10867"/>
    <w:rsid w:val="00A12DAC"/>
    <w:rsid w:val="00A2736A"/>
    <w:rsid w:val="00A3016E"/>
    <w:rsid w:val="00A5090A"/>
    <w:rsid w:val="00A57D5B"/>
    <w:rsid w:val="00A665C1"/>
    <w:rsid w:val="00A77AEC"/>
    <w:rsid w:val="00A90044"/>
    <w:rsid w:val="00AC5984"/>
    <w:rsid w:val="00AD16D7"/>
    <w:rsid w:val="00AE07DE"/>
    <w:rsid w:val="00AE4E8C"/>
    <w:rsid w:val="00AF611E"/>
    <w:rsid w:val="00B06DE1"/>
    <w:rsid w:val="00B10484"/>
    <w:rsid w:val="00B15ABF"/>
    <w:rsid w:val="00B2456C"/>
    <w:rsid w:val="00B42478"/>
    <w:rsid w:val="00B52843"/>
    <w:rsid w:val="00B60F34"/>
    <w:rsid w:val="00B651A9"/>
    <w:rsid w:val="00B81670"/>
    <w:rsid w:val="00BA03E0"/>
    <w:rsid w:val="00BA2CE0"/>
    <w:rsid w:val="00BA57EF"/>
    <w:rsid w:val="00BB3A21"/>
    <w:rsid w:val="00BD7D00"/>
    <w:rsid w:val="00BF47D1"/>
    <w:rsid w:val="00C01BA5"/>
    <w:rsid w:val="00C1181A"/>
    <w:rsid w:val="00C24A3F"/>
    <w:rsid w:val="00C24B91"/>
    <w:rsid w:val="00C47AFD"/>
    <w:rsid w:val="00C5454A"/>
    <w:rsid w:val="00C56430"/>
    <w:rsid w:val="00C56457"/>
    <w:rsid w:val="00C834A0"/>
    <w:rsid w:val="00C93E91"/>
    <w:rsid w:val="00CB6017"/>
    <w:rsid w:val="00CD31B1"/>
    <w:rsid w:val="00CD55EF"/>
    <w:rsid w:val="00D00271"/>
    <w:rsid w:val="00D23154"/>
    <w:rsid w:val="00D46CFC"/>
    <w:rsid w:val="00D56F75"/>
    <w:rsid w:val="00D87944"/>
    <w:rsid w:val="00DB0C8A"/>
    <w:rsid w:val="00DD15FB"/>
    <w:rsid w:val="00DF3635"/>
    <w:rsid w:val="00E125FF"/>
    <w:rsid w:val="00E12889"/>
    <w:rsid w:val="00E262FB"/>
    <w:rsid w:val="00E309DF"/>
    <w:rsid w:val="00E729EE"/>
    <w:rsid w:val="00E7573C"/>
    <w:rsid w:val="00E82388"/>
    <w:rsid w:val="00E92145"/>
    <w:rsid w:val="00EA7FC5"/>
    <w:rsid w:val="00EB42FD"/>
    <w:rsid w:val="00EB7A98"/>
    <w:rsid w:val="00EC2B75"/>
    <w:rsid w:val="00ED366A"/>
    <w:rsid w:val="00EF0066"/>
    <w:rsid w:val="00F10689"/>
    <w:rsid w:val="00F22B83"/>
    <w:rsid w:val="00F238FA"/>
    <w:rsid w:val="00F272F5"/>
    <w:rsid w:val="00F34CC9"/>
    <w:rsid w:val="00F37120"/>
    <w:rsid w:val="00F41E74"/>
    <w:rsid w:val="00F51548"/>
    <w:rsid w:val="00F71D8B"/>
    <w:rsid w:val="00F84927"/>
    <w:rsid w:val="00F9732B"/>
    <w:rsid w:val="00FC70EE"/>
    <w:rsid w:val="00FD49DE"/>
    <w:rsid w:val="00FD7186"/>
    <w:rsid w:val="00FF57EF"/>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D7186"/>
  </w:style>
  <w:style w:type="character" w:styleId="CommentReference">
    <w:name w:val="annotation reference"/>
    <w:basedOn w:val="DefaultParagraphFont"/>
    <w:uiPriority w:val="99"/>
    <w:semiHidden/>
    <w:unhideWhenUsed/>
    <w:rsid w:val="00F41E74"/>
    <w:rPr>
      <w:sz w:val="16"/>
      <w:szCs w:val="16"/>
    </w:rPr>
  </w:style>
  <w:style w:type="paragraph" w:styleId="CommentText">
    <w:name w:val="annotation text"/>
    <w:basedOn w:val="Normal"/>
    <w:link w:val="CommentTextChar"/>
    <w:unhideWhenUsed/>
    <w:rsid w:val="00F41E74"/>
    <w:rPr>
      <w:sz w:val="20"/>
    </w:rPr>
  </w:style>
  <w:style w:type="character" w:customStyle="1" w:styleId="CommentTextChar">
    <w:name w:val="Comment Text Char"/>
    <w:basedOn w:val="DefaultParagraphFont"/>
    <w:link w:val="CommentText"/>
    <w:rsid w:val="00F41E74"/>
    <w:rPr>
      <w:sz w:val="20"/>
    </w:rPr>
  </w:style>
  <w:style w:type="paragraph" w:styleId="CommentSubject">
    <w:name w:val="annotation subject"/>
    <w:basedOn w:val="CommentText"/>
    <w:next w:val="CommentText"/>
    <w:link w:val="CommentSubjectChar"/>
    <w:semiHidden/>
    <w:unhideWhenUsed/>
    <w:rsid w:val="00F41E74"/>
    <w:rPr>
      <w:b/>
      <w:bCs/>
    </w:rPr>
  </w:style>
  <w:style w:type="character" w:customStyle="1" w:styleId="CommentSubjectChar">
    <w:name w:val="Comment Subject Char"/>
    <w:basedOn w:val="CommentTextChar"/>
    <w:link w:val="CommentSubject"/>
    <w:semiHidden/>
    <w:rsid w:val="00F41E74"/>
    <w:rPr>
      <w:b/>
      <w:bCs/>
      <w:sz w:val="20"/>
    </w:rPr>
  </w:style>
  <w:style w:type="character" w:styleId="Hyperlink">
    <w:name w:val="Hyperlink"/>
    <w:basedOn w:val="DefaultParagraphFont"/>
    <w:unhideWhenUsed/>
    <w:rsid w:val="00144F21"/>
    <w:rPr>
      <w:color w:val="0563C1" w:themeColor="hyperlink"/>
      <w:u w:val="single"/>
    </w:rPr>
  </w:style>
  <w:style w:type="character" w:styleId="UnresolvedMention">
    <w:name w:val="Unresolved Mention"/>
    <w:basedOn w:val="DefaultParagraphFont"/>
    <w:uiPriority w:val="99"/>
    <w:semiHidden/>
    <w:unhideWhenUsed/>
    <w:rsid w:val="00144F21"/>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92145"/>
    <w:pPr>
      <w:ind w:left="720"/>
      <w:contextualSpacing/>
    </w:pPr>
  </w:style>
  <w:style w:type="paragraph" w:customStyle="1" w:styleId="BodyText1">
    <w:name w:val="Body Text1"/>
    <w:rsid w:val="0084468D"/>
    <w:pPr>
      <w:suppressAutoHyphens/>
      <w:ind w:firstLine="312"/>
      <w:jc w:val="both"/>
    </w:pPr>
    <w:rPr>
      <w:rFonts w:ascii="TimesLT" w:hAnsi="TimesLT"/>
      <w:color w:val="00000A"/>
      <w:sz w:val="22"/>
      <w:lang w:val="en-US"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3">
      <w:bodyDiv w:val="1"/>
      <w:marLeft w:val="0"/>
      <w:marRight w:val="0"/>
      <w:marTop w:val="0"/>
      <w:marBottom w:val="0"/>
      <w:divBdr>
        <w:top w:val="none" w:sz="0" w:space="0" w:color="auto"/>
        <w:left w:val="none" w:sz="0" w:space="0" w:color="auto"/>
        <w:bottom w:val="none" w:sz="0" w:space="0" w:color="auto"/>
        <w:right w:val="none" w:sz="0" w:space="0" w:color="auto"/>
      </w:divBdr>
    </w:div>
    <w:div w:id="547387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 w:id="1899784454">
      <w:bodyDiv w:val="1"/>
      <w:marLeft w:val="0"/>
      <w:marRight w:val="0"/>
      <w:marTop w:val="0"/>
      <w:marBottom w:val="0"/>
      <w:divBdr>
        <w:top w:val="none" w:sz="0" w:space="0" w:color="auto"/>
        <w:left w:val="none" w:sz="0" w:space="0" w:color="auto"/>
        <w:bottom w:val="none" w:sz="0" w:space="0" w:color="auto"/>
        <w:right w:val="none" w:sz="0" w:space="0" w:color="auto"/>
      </w:divBdr>
    </w:div>
    <w:div w:id="1970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15408</Words>
  <Characters>87827</Characters>
  <Application>Microsoft Office Word</Application>
  <DocSecurity>0</DocSecurity>
  <Lines>731</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Vilkaitienė</cp:lastModifiedBy>
  <cp:revision>16</cp:revision>
  <dcterms:created xsi:type="dcterms:W3CDTF">2025-01-22T18:06:00Z</dcterms:created>
  <dcterms:modified xsi:type="dcterms:W3CDTF">2025-02-21T07:04:00Z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