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50D92B9" w:rsidR="00096D0D" w:rsidRDefault="001D78BC" w:rsidP="002D7A24">
      <w:pPr>
        <w:widowControl w:val="0"/>
        <w:spacing w:after="0" w:line="240" w:lineRule="auto"/>
        <w:jc w:val="cente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t>TARPTAUTINIO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1A594C" w:rsidRPr="001A594C">
        <w:rPr>
          <w:rFonts w:ascii="Times New Roman" w:eastAsia="Calibri" w:hAnsi="Times New Roman" w:cs="Times New Roman"/>
          <w:b/>
          <w:bCs/>
          <w:caps/>
          <w:sz w:val="28"/>
          <w:szCs w:val="28"/>
          <w:lang w:eastAsia="lt-LT"/>
        </w:rPr>
        <w:t>STATINIŲ PROJEKTŲ BENDROSIOS EKSPERTIZĖS PASLAUGOS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D296" w14:textId="77777777" w:rsidR="00962A89" w:rsidRDefault="00962A89" w:rsidP="00096D0D">
      <w:pPr>
        <w:spacing w:after="0" w:line="240" w:lineRule="auto"/>
      </w:pPr>
      <w:r>
        <w:separator/>
      </w:r>
    </w:p>
  </w:endnote>
  <w:endnote w:type="continuationSeparator" w:id="0">
    <w:p w14:paraId="6508DDCA" w14:textId="77777777" w:rsidR="00962A89" w:rsidRDefault="00962A89"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E833" w14:textId="77777777" w:rsidR="00962A89" w:rsidRDefault="00962A89" w:rsidP="00096D0D">
      <w:pPr>
        <w:spacing w:after="0" w:line="240" w:lineRule="auto"/>
      </w:pPr>
      <w:r>
        <w:separator/>
      </w:r>
    </w:p>
  </w:footnote>
  <w:footnote w:type="continuationSeparator" w:id="0">
    <w:p w14:paraId="420DA2E6" w14:textId="77777777" w:rsidR="00962A89" w:rsidRDefault="00962A89"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A594C"/>
    <w:rsid w:val="001D78BC"/>
    <w:rsid w:val="00203C95"/>
    <w:rsid w:val="00211D8C"/>
    <w:rsid w:val="0025014A"/>
    <w:rsid w:val="00264A1F"/>
    <w:rsid w:val="002758A6"/>
    <w:rsid w:val="002B7330"/>
    <w:rsid w:val="002D237D"/>
    <w:rsid w:val="002D7A24"/>
    <w:rsid w:val="00325CDC"/>
    <w:rsid w:val="00372CAC"/>
    <w:rsid w:val="003912ED"/>
    <w:rsid w:val="00391A08"/>
    <w:rsid w:val="003D220C"/>
    <w:rsid w:val="003D318B"/>
    <w:rsid w:val="0043142C"/>
    <w:rsid w:val="00441E09"/>
    <w:rsid w:val="004544C7"/>
    <w:rsid w:val="005174C6"/>
    <w:rsid w:val="00535E42"/>
    <w:rsid w:val="005626FA"/>
    <w:rsid w:val="0059124B"/>
    <w:rsid w:val="00593A6D"/>
    <w:rsid w:val="005D507B"/>
    <w:rsid w:val="005E3722"/>
    <w:rsid w:val="005F015D"/>
    <w:rsid w:val="006373A7"/>
    <w:rsid w:val="006428E4"/>
    <w:rsid w:val="00712A9D"/>
    <w:rsid w:val="00736D13"/>
    <w:rsid w:val="007A5432"/>
    <w:rsid w:val="00834946"/>
    <w:rsid w:val="008572D6"/>
    <w:rsid w:val="00861725"/>
    <w:rsid w:val="008A4F3A"/>
    <w:rsid w:val="008B6853"/>
    <w:rsid w:val="008D227E"/>
    <w:rsid w:val="00902AEE"/>
    <w:rsid w:val="00916C0B"/>
    <w:rsid w:val="00920141"/>
    <w:rsid w:val="00920182"/>
    <w:rsid w:val="00921452"/>
    <w:rsid w:val="009444DF"/>
    <w:rsid w:val="00955DD3"/>
    <w:rsid w:val="00962A89"/>
    <w:rsid w:val="009970C4"/>
    <w:rsid w:val="009B5B34"/>
    <w:rsid w:val="009C5204"/>
    <w:rsid w:val="00A04C0F"/>
    <w:rsid w:val="00A24B23"/>
    <w:rsid w:val="00A618B7"/>
    <w:rsid w:val="00A875AA"/>
    <w:rsid w:val="00AA31B5"/>
    <w:rsid w:val="00B81609"/>
    <w:rsid w:val="00BD6D43"/>
    <w:rsid w:val="00C00E84"/>
    <w:rsid w:val="00C206F5"/>
    <w:rsid w:val="00C3003A"/>
    <w:rsid w:val="00C373AC"/>
    <w:rsid w:val="00C41096"/>
    <w:rsid w:val="00C650AF"/>
    <w:rsid w:val="00CD1447"/>
    <w:rsid w:val="00CE6219"/>
    <w:rsid w:val="00D076B1"/>
    <w:rsid w:val="00D139BE"/>
    <w:rsid w:val="00D257FD"/>
    <w:rsid w:val="00DE7A9C"/>
    <w:rsid w:val="00DE7B03"/>
    <w:rsid w:val="00DF5D0A"/>
    <w:rsid w:val="00E061D3"/>
    <w:rsid w:val="00E15B06"/>
    <w:rsid w:val="00E23FC9"/>
    <w:rsid w:val="00EC416C"/>
    <w:rsid w:val="00EE153D"/>
    <w:rsid w:val="00EF40FF"/>
    <w:rsid w:val="00F07516"/>
    <w:rsid w:val="00F979B0"/>
    <w:rsid w:val="00FA7112"/>
    <w:rsid w:val="00FD7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40191</Words>
  <Characters>22909</Characters>
  <Application>Microsoft Office Word</Application>
  <DocSecurity>0</DocSecurity>
  <Lines>190</Lines>
  <Paragraphs>125</Paragraphs>
  <ScaleCrop>false</ScaleCrop>
  <Company/>
  <LinksUpToDate>false</LinksUpToDate>
  <CharactersWithSpaces>62975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61</cp:revision>
  <dcterms:created xsi:type="dcterms:W3CDTF">2024-02-23T12:40:00Z</dcterms:created>
  <dcterms:modified xsi:type="dcterms:W3CDTF">2025-03-12T19:12:00Z</dcterms:modified>
</cp:coreProperties>
</file>