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396" w:rsidRPr="005B56F2" w:rsidRDefault="00967396" w:rsidP="00393FE9">
      <w:pPr>
        <w:spacing w:line="240" w:lineRule="auto"/>
        <w:ind w:left="7088" w:firstLine="0"/>
        <w:rPr>
          <w:rFonts w:cstheme="minorHAnsi"/>
          <w:sz w:val="22"/>
          <w:szCs w:val="22"/>
        </w:rPr>
      </w:pPr>
      <w:bookmarkStart w:id="0" w:name="_Hlk86825377"/>
      <w:bookmarkStart w:id="1" w:name="_Ref38540913"/>
      <w:bookmarkStart w:id="2" w:name="_Ref38898051"/>
      <w:bookmarkStart w:id="3" w:name="_Ref38901392"/>
      <w:bookmarkStart w:id="4" w:name="_Toc48053189"/>
      <w:bookmarkStart w:id="5" w:name="_Toc85706892"/>
      <w:r w:rsidRPr="005B56F2">
        <w:rPr>
          <w:rFonts w:cstheme="minorHAnsi"/>
          <w:sz w:val="22"/>
          <w:szCs w:val="22"/>
        </w:rPr>
        <w:t xml:space="preserve">Pirkimo sąlygų </w:t>
      </w:r>
      <w:r w:rsidR="00393FE9">
        <w:rPr>
          <w:rFonts w:cstheme="minorHAnsi"/>
          <w:sz w:val="22"/>
          <w:szCs w:val="22"/>
        </w:rPr>
        <w:t>4</w:t>
      </w:r>
      <w:r w:rsidRPr="005B56F2">
        <w:rPr>
          <w:rFonts w:cstheme="minorHAnsi"/>
          <w:sz w:val="22"/>
          <w:szCs w:val="22"/>
        </w:rPr>
        <w:t xml:space="preserve"> priedas „Pasiūlymo forma“</w:t>
      </w:r>
    </w:p>
    <w:bookmarkEnd w:id="0"/>
    <w:bookmarkEnd w:id="1"/>
    <w:bookmarkEnd w:id="2"/>
    <w:bookmarkEnd w:id="3"/>
    <w:bookmarkEnd w:id="4"/>
    <w:bookmarkEnd w:id="5"/>
    <w:p w:rsidR="00967396" w:rsidRPr="005B56F2" w:rsidRDefault="00967396" w:rsidP="005B56F2">
      <w:pPr>
        <w:spacing w:line="240" w:lineRule="auto"/>
        <w:rPr>
          <w:rFonts w:cstheme="minorHAnsi"/>
          <w:b/>
          <w:bCs/>
          <w:smallCaps/>
          <w:sz w:val="22"/>
          <w:szCs w:val="22"/>
        </w:rPr>
      </w:pPr>
    </w:p>
    <w:p w:rsidR="00967396" w:rsidRPr="00891B65" w:rsidRDefault="00967396" w:rsidP="005B56F2">
      <w:pPr>
        <w:spacing w:after="160" w:line="240" w:lineRule="auto"/>
        <w:ind w:firstLine="0"/>
        <w:jc w:val="center"/>
        <w:rPr>
          <w:rFonts w:eastAsia="Times New Roman" w:cstheme="minorHAnsi"/>
          <w:b/>
          <w:bCs/>
          <w:sz w:val="22"/>
          <w:szCs w:val="22"/>
          <w:lang w:eastAsia="en-US"/>
        </w:rPr>
      </w:pPr>
      <w:r w:rsidRPr="00891B65">
        <w:rPr>
          <w:rFonts w:eastAsia="Times New Roman" w:cstheme="minorHAnsi"/>
          <w:b/>
          <w:bCs/>
          <w:sz w:val="22"/>
          <w:szCs w:val="22"/>
          <w:lang w:eastAsia="en-US"/>
        </w:rPr>
        <w:t>PASIŪLYMAS</w:t>
      </w:r>
    </w:p>
    <w:p w:rsidR="00967396" w:rsidRPr="00891B65" w:rsidRDefault="00967396" w:rsidP="005B56F2">
      <w:pPr>
        <w:spacing w:after="120" w:line="240" w:lineRule="auto"/>
        <w:ind w:firstLine="0"/>
        <w:contextualSpacing/>
        <w:jc w:val="center"/>
        <w:rPr>
          <w:rFonts w:eastAsia="Times New Roman" w:cstheme="minorHAnsi"/>
          <w:b/>
          <w:bCs/>
          <w:color w:val="000000"/>
          <w:sz w:val="22"/>
          <w:szCs w:val="22"/>
        </w:rPr>
      </w:pPr>
      <w:r w:rsidRPr="00891B65">
        <w:rPr>
          <w:rFonts w:eastAsia="Times New Roman" w:cstheme="minorHAnsi"/>
          <w:b/>
          <w:bCs/>
          <w:color w:val="000000"/>
          <w:sz w:val="22"/>
          <w:szCs w:val="22"/>
        </w:rPr>
        <w:t>SUPAPRASTINTO VIEŠOJO PIRKIMO „</w:t>
      </w:r>
      <w:r w:rsidRPr="005B56F2">
        <w:rPr>
          <w:rFonts w:eastAsia="Times New Roman" w:cstheme="minorHAnsi"/>
          <w:b/>
          <w:bCs/>
          <w:color w:val="000000"/>
          <w:sz w:val="22"/>
          <w:szCs w:val="22"/>
        </w:rPr>
        <w:t>SUTAPDINTO STOGO ŠILTINIMO DARBAI</w:t>
      </w:r>
      <w:r w:rsidRPr="00891B65">
        <w:rPr>
          <w:rFonts w:eastAsia="Times New Roman" w:cstheme="minorHAnsi"/>
          <w:b/>
          <w:bCs/>
          <w:color w:val="000000"/>
          <w:sz w:val="22"/>
          <w:szCs w:val="22"/>
        </w:rPr>
        <w:t>“</w:t>
      </w:r>
    </w:p>
    <w:p w:rsidR="00967396" w:rsidRPr="00891B65" w:rsidRDefault="00967396" w:rsidP="005B56F2">
      <w:pPr>
        <w:spacing w:after="160" w:line="240" w:lineRule="auto"/>
        <w:ind w:firstLine="0"/>
        <w:jc w:val="center"/>
        <w:rPr>
          <w:rFonts w:eastAsia="Times New Roman" w:cstheme="minorHAnsi"/>
          <w:b/>
          <w:bCs/>
          <w:sz w:val="22"/>
          <w:szCs w:val="22"/>
          <w:lang w:eastAsia="en-US"/>
        </w:rPr>
      </w:pPr>
      <w:r w:rsidRPr="00891B65">
        <w:rPr>
          <w:rFonts w:eastAsia="Times New Roman" w:cstheme="minorHAnsi"/>
          <w:b/>
          <w:bCs/>
          <w:color w:val="000000"/>
          <w:sz w:val="22"/>
          <w:szCs w:val="22"/>
        </w:rPr>
        <w:t>ATVIRAM KONKURSUI</w:t>
      </w: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b/>
          <w:bCs/>
          <w:sz w:val="22"/>
          <w:szCs w:val="22"/>
          <w:lang w:eastAsia="en-US"/>
        </w:rPr>
      </w:pP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bCs/>
          <w:sz w:val="22"/>
          <w:szCs w:val="22"/>
          <w:lang w:eastAsia="en-US"/>
        </w:rPr>
        <w:t>Vilniaus dailės akademijai</w:t>
      </w: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bCs/>
          <w:sz w:val="22"/>
          <w:szCs w:val="22"/>
          <w:lang w:eastAsia="en-US"/>
        </w:rPr>
      </w:pPr>
    </w:p>
    <w:p w:rsidR="00967396" w:rsidRPr="00891B65" w:rsidRDefault="00967396" w:rsidP="005B56F2">
      <w:pPr>
        <w:spacing w:after="160" w:line="240" w:lineRule="auto"/>
        <w:ind w:firstLine="0"/>
        <w:jc w:val="center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b/>
          <w:bCs/>
          <w:sz w:val="22"/>
          <w:szCs w:val="22"/>
          <w:lang w:eastAsia="en-US"/>
        </w:rPr>
        <w:t>1. I</w:t>
      </w:r>
      <w:r w:rsidRPr="00891B65">
        <w:rPr>
          <w:rFonts w:eastAsia="Times New Roman" w:cstheme="minorHAnsi"/>
          <w:b/>
          <w:sz w:val="22"/>
          <w:szCs w:val="22"/>
          <w:lang w:eastAsia="en-US"/>
        </w:rPr>
        <w:t>NFORMACIJA APIE TIEKĖJĄ</w:t>
      </w:r>
    </w:p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104"/>
        <w:gridCol w:w="5528"/>
      </w:tblGrid>
      <w:tr w:rsidR="00967396" w:rsidRPr="00891B65" w:rsidTr="00ED448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sz w:val="22"/>
                <w:szCs w:val="22"/>
                <w:lang w:eastAsia="en-US"/>
              </w:rPr>
              <w:t>Tiekėjo arba ūkio subjektų grupės narių pavadinimas (-ai)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  <w:lang w:eastAsia="en-US"/>
              </w:rPr>
            </w:pPr>
          </w:p>
        </w:tc>
      </w:tr>
      <w:tr w:rsidR="00967396" w:rsidRPr="00891B65" w:rsidTr="00ED448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sz w:val="22"/>
                <w:szCs w:val="22"/>
                <w:lang w:eastAsia="en-US"/>
              </w:rPr>
              <w:t xml:space="preserve">Tiekėjo arba ūkio subjektų grupės narių juridinio asmens kodas (-ai) </w:t>
            </w:r>
            <w:r w:rsidRPr="00891B65">
              <w:rPr>
                <w:rFonts w:eastAsia="Times New Roman" w:cstheme="minorHAnsi"/>
                <w:i/>
                <w:sz w:val="22"/>
                <w:szCs w:val="22"/>
                <w:lang w:eastAsia="en-US"/>
              </w:rPr>
              <w:t xml:space="preserve">(tuo atveju, jei pasiūlymą teikia fizinis asmuo - verslo pažymėjimo Nr. ar pan.), </w:t>
            </w:r>
            <w:r w:rsidRPr="00891B65">
              <w:rPr>
                <w:rFonts w:eastAsia="Times New Roman" w:cstheme="minorHAnsi"/>
                <w:sz w:val="22"/>
                <w:szCs w:val="22"/>
                <w:lang w:eastAsia="en-US"/>
              </w:rPr>
              <w:t>adresas (-ai)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  <w:lang w:eastAsia="en-US"/>
              </w:rPr>
            </w:pPr>
          </w:p>
        </w:tc>
      </w:tr>
      <w:tr w:rsidR="00967396" w:rsidRPr="00891B65" w:rsidTr="00ED448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Calibri" w:cstheme="minorHAnsi"/>
                <w:sz w:val="22"/>
                <w:szCs w:val="22"/>
                <w:lang w:eastAsia="en-US"/>
              </w:rPr>
              <w:t xml:space="preserve">Ūkio subjektų grupės narys, atstovaujantis grupei </w:t>
            </w:r>
            <w:r w:rsidRPr="00891B65">
              <w:rPr>
                <w:rFonts w:eastAsia="Times New Roman" w:cstheme="minorHAnsi"/>
                <w:i/>
                <w:sz w:val="22"/>
                <w:szCs w:val="22"/>
                <w:lang w:eastAsia="en-US"/>
              </w:rPr>
              <w:t>(pildoma, jei pasiūlymą teikia ūkio subjektų grupė)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  <w:lang w:eastAsia="en-US"/>
              </w:rPr>
            </w:pPr>
          </w:p>
        </w:tc>
      </w:tr>
    </w:tbl>
    <w:p w:rsidR="00967396" w:rsidRPr="00891B65" w:rsidRDefault="00967396" w:rsidP="005B56F2">
      <w:pPr>
        <w:spacing w:after="160" w:line="240" w:lineRule="auto"/>
        <w:ind w:left="720" w:firstLine="0"/>
        <w:jc w:val="center"/>
        <w:rPr>
          <w:rFonts w:eastAsia="Times New Roman" w:cstheme="minorHAnsi"/>
          <w:b/>
          <w:bCs/>
          <w:sz w:val="22"/>
          <w:szCs w:val="22"/>
          <w:lang w:eastAsia="en-US"/>
        </w:rPr>
      </w:pPr>
    </w:p>
    <w:p w:rsidR="00967396" w:rsidRPr="00891B65" w:rsidRDefault="00967396" w:rsidP="005B56F2">
      <w:pPr>
        <w:spacing w:after="160" w:line="240" w:lineRule="auto"/>
        <w:ind w:firstLine="0"/>
        <w:jc w:val="center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b/>
          <w:sz w:val="22"/>
          <w:szCs w:val="22"/>
          <w:lang w:eastAsia="en-US"/>
        </w:rPr>
        <w:t>2. I</w:t>
      </w:r>
      <w:r w:rsidRPr="00891B65">
        <w:rPr>
          <w:rFonts w:eastAsia="Times New Roman" w:cstheme="minorHAnsi"/>
          <w:b/>
          <w:bCs/>
          <w:sz w:val="22"/>
          <w:szCs w:val="22"/>
          <w:lang w:eastAsia="en-US"/>
        </w:rPr>
        <w:t>NFORMACIJA APIE SUBTIEKĖJUS</w:t>
      </w:r>
      <w:r w:rsidRPr="005B56F2">
        <w:rPr>
          <w:rFonts w:eastAsia="Times New Roman" w:cstheme="minorHAnsi"/>
          <w:b/>
          <w:bCs/>
          <w:sz w:val="22"/>
          <w:szCs w:val="22"/>
          <w:lang w:eastAsia="en-US"/>
        </w:rPr>
        <w:t>/SUBRANGOVUS</w:t>
      </w:r>
    </w:p>
    <w:p w:rsidR="00967396" w:rsidRPr="00891B65" w:rsidRDefault="00967396" w:rsidP="005B56F2">
      <w:pPr>
        <w:spacing w:after="160" w:line="240" w:lineRule="auto"/>
        <w:ind w:firstLine="0"/>
        <w:jc w:val="center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i/>
          <w:sz w:val="22"/>
          <w:szCs w:val="22"/>
          <w:lang w:eastAsia="en-US"/>
        </w:rPr>
        <w:t>(privaloma užpildyti, jei tiekėjas pasitelkia subtiekėjus</w:t>
      </w:r>
      <w:r w:rsidRPr="005B56F2">
        <w:rPr>
          <w:rFonts w:eastAsia="Times New Roman" w:cstheme="minorHAnsi"/>
          <w:i/>
          <w:sz w:val="22"/>
          <w:szCs w:val="22"/>
          <w:lang w:eastAsia="en-US"/>
        </w:rPr>
        <w:t>/subrangovus</w:t>
      </w:r>
      <w:r w:rsidRPr="00891B65">
        <w:rPr>
          <w:rFonts w:eastAsia="Times New Roman" w:cstheme="minorHAnsi"/>
          <w:i/>
          <w:sz w:val="22"/>
          <w:szCs w:val="22"/>
          <w:lang w:eastAsia="en-US"/>
        </w:rPr>
        <w:t>)</w:t>
      </w:r>
    </w:p>
    <w:tbl>
      <w:tblPr>
        <w:tblW w:w="1063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4528"/>
        <w:gridCol w:w="5537"/>
      </w:tblGrid>
      <w:tr w:rsidR="00967396" w:rsidRPr="00891B65" w:rsidTr="00ED44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67396" w:rsidRPr="00891B65" w:rsidRDefault="00967396" w:rsidP="005B56F2">
            <w:pPr>
              <w:spacing w:after="160" w:line="240" w:lineRule="auto"/>
              <w:ind w:right="-218" w:firstLine="0"/>
              <w:jc w:val="left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Calibri" w:cstheme="minorHAnsi"/>
                <w:b/>
                <w:color w:val="000000"/>
                <w:sz w:val="22"/>
                <w:szCs w:val="22"/>
                <w:lang w:eastAsia="en-US"/>
              </w:rPr>
              <w:t>Pirkimo sutarties dalies</w:t>
            </w: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, perduodamos vykdyti subtiekėjui</w:t>
            </w:r>
            <w:r w:rsidRPr="005B56F2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/subrangovui</w:t>
            </w: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, aprašymas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Subtiekėjo</w:t>
            </w:r>
            <w:r w:rsidRPr="005B56F2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/subrangovo</w:t>
            </w: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 xml:space="preserve"> pavadinimas / vardas, pavardė </w:t>
            </w:r>
            <w:r w:rsidRPr="00891B65">
              <w:rPr>
                <w:rFonts w:eastAsia="Times New Roman" w:cstheme="minorHAnsi"/>
                <w:color w:val="000000"/>
                <w:sz w:val="22"/>
                <w:szCs w:val="22"/>
                <w:lang w:eastAsia="en-US"/>
              </w:rPr>
              <w:t>(jeigu žinomas)</w:t>
            </w:r>
          </w:p>
        </w:tc>
      </w:tr>
      <w:tr w:rsidR="00967396" w:rsidRPr="00891B65" w:rsidTr="00ED44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pacing w:after="160" w:line="240" w:lineRule="auto"/>
              <w:ind w:right="-218"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sz w:val="22"/>
                <w:szCs w:val="22"/>
              </w:rPr>
              <w:t>1.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</w:tr>
      <w:tr w:rsidR="00967396" w:rsidRPr="00891B65" w:rsidTr="00ED448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pacing w:after="160" w:line="240" w:lineRule="auto"/>
              <w:ind w:right="-218"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sz w:val="22"/>
                <w:szCs w:val="22"/>
              </w:rPr>
              <w:t>2.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</w:p>
    <w:p w:rsidR="00967396" w:rsidRPr="00891B65" w:rsidRDefault="00967396" w:rsidP="005B56F2">
      <w:pPr>
        <w:spacing w:after="160" w:line="240" w:lineRule="auto"/>
        <w:ind w:firstLine="0"/>
        <w:jc w:val="center"/>
        <w:rPr>
          <w:rFonts w:eastAsia="Times New Roman" w:cstheme="minorHAnsi"/>
          <w:sz w:val="22"/>
          <w:szCs w:val="22"/>
        </w:rPr>
      </w:pPr>
      <w:r w:rsidRPr="005B56F2">
        <w:rPr>
          <w:rFonts w:eastAsia="Times New Roman" w:cstheme="minorHAnsi"/>
          <w:b/>
          <w:sz w:val="22"/>
          <w:szCs w:val="22"/>
          <w:lang w:eastAsia="en-US"/>
        </w:rPr>
        <w:t>3. PASIŪLYMO KAINA</w:t>
      </w: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  <w:r w:rsidRPr="00891B65">
        <w:rPr>
          <w:rFonts w:eastAsia="Times New Roman" w:cstheme="minorHAnsi"/>
          <w:sz w:val="22"/>
          <w:szCs w:val="22"/>
          <w:lang w:eastAsia="en-US"/>
        </w:rPr>
        <w:t>3.1. Pasiūlymo kaina nurodoma užpildant pateiktą lentelę;</w:t>
      </w: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  <w:r w:rsidRPr="00891B65">
        <w:rPr>
          <w:rFonts w:eastAsia="Times New Roman" w:cstheme="minorHAnsi"/>
          <w:sz w:val="22"/>
          <w:szCs w:val="22"/>
          <w:lang w:eastAsia="en-US"/>
        </w:rPr>
        <w:t xml:space="preserve">3.2. Lentelėje kainos pateikiamos nurodant 2 skaičius po kablelio </w:t>
      </w:r>
      <w:r w:rsidRPr="00891B65">
        <w:rPr>
          <w:rFonts w:eastAsia="Times New Roman" w:cstheme="minorHAnsi"/>
          <w:sz w:val="22"/>
          <w:szCs w:val="22"/>
        </w:rPr>
        <w:t>(antrąjį skaičių po kablelio reikia apvalinti į didžiąją pusę, jei trečiasis skaičius po kablelio yra 5 arba didesnis; į mažąją pusę, jei trečiasis skaičius po kablelio yra mažesnis už 5).</w:t>
      </w:r>
    </w:p>
    <w:p w:rsidR="00967396" w:rsidRPr="005B56F2" w:rsidRDefault="00967396" w:rsidP="005B56F2">
      <w:pPr>
        <w:spacing w:after="160" w:line="240" w:lineRule="auto"/>
        <w:ind w:firstLine="0"/>
        <w:jc w:val="left"/>
        <w:rPr>
          <w:rFonts w:eastAsia="Calibri" w:cstheme="minorHAnsi"/>
          <w:sz w:val="22"/>
          <w:szCs w:val="22"/>
          <w:lang w:eastAsia="en-US"/>
        </w:rPr>
      </w:pPr>
      <w:r w:rsidRPr="00891B65">
        <w:rPr>
          <w:rFonts w:eastAsia="Calibri" w:cstheme="minorHAnsi"/>
          <w:sz w:val="22"/>
          <w:szCs w:val="22"/>
          <w:lang w:eastAsia="en-US"/>
        </w:rPr>
        <w:t>3.3. Jei eilutė „PVM (proc.)“ nepildoma, nurodomos priežastys, dėl kurių PVM nemokamas.</w:t>
      </w:r>
    </w:p>
    <w:p w:rsidR="00967396" w:rsidRPr="005B56F2" w:rsidRDefault="00967396" w:rsidP="005B56F2">
      <w:pPr>
        <w:spacing w:after="160" w:line="240" w:lineRule="auto"/>
        <w:ind w:firstLine="0"/>
        <w:jc w:val="left"/>
        <w:rPr>
          <w:rFonts w:eastAsia="Calibri" w:cstheme="minorHAnsi"/>
          <w:sz w:val="22"/>
          <w:szCs w:val="22"/>
          <w:lang w:eastAsia="en-US"/>
        </w:rPr>
      </w:pPr>
      <w:r w:rsidRPr="005B56F2">
        <w:rPr>
          <w:rFonts w:eastAsia="Calibri" w:cstheme="minorHAnsi"/>
          <w:sz w:val="22"/>
          <w:szCs w:val="22"/>
          <w:lang w:eastAsia="en-US"/>
        </w:rPr>
        <w:t>3.4. Į</w:t>
      </w:r>
      <w:r w:rsidRPr="005B56F2">
        <w:rPr>
          <w:rFonts w:cstheme="minorHAnsi"/>
          <w:bCs/>
          <w:sz w:val="22"/>
          <w:szCs w:val="22"/>
        </w:rPr>
        <w:t xml:space="preserve"> pasiūlymo kainą įskaičiuoti visi mokesčiai ir visos išlaidos, įskaitant išlaidas būtinas įgyvendinti techninėje specifikacijoje nurodytus reikalavimus</w:t>
      </w:r>
      <w:r w:rsidRPr="005B56F2">
        <w:rPr>
          <w:rFonts w:cstheme="minorHAnsi"/>
          <w:b/>
          <w:bCs/>
          <w:sz w:val="22"/>
          <w:szCs w:val="22"/>
        </w:rPr>
        <w:t>.</w:t>
      </w: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546"/>
        <w:gridCol w:w="5451"/>
        <w:gridCol w:w="967"/>
        <w:gridCol w:w="1019"/>
        <w:gridCol w:w="1003"/>
        <w:gridCol w:w="1078"/>
      </w:tblGrid>
      <w:tr w:rsidR="00967396" w:rsidRPr="005B56F2" w:rsidTr="00D5002B">
        <w:trPr>
          <w:trHeight w:val="255"/>
        </w:trPr>
        <w:tc>
          <w:tcPr>
            <w:tcW w:w="546" w:type="dxa"/>
            <w:vMerge w:val="restart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5451" w:type="dxa"/>
            <w:vMerge w:val="restart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sz w:val="22"/>
                <w:szCs w:val="22"/>
              </w:rPr>
              <w:t>Darbų ir išlaidų aprašymai</w:t>
            </w:r>
          </w:p>
        </w:tc>
        <w:tc>
          <w:tcPr>
            <w:tcW w:w="967" w:type="dxa"/>
            <w:vMerge w:val="restart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sz w:val="22"/>
                <w:szCs w:val="22"/>
              </w:rPr>
              <w:t>Mato vnt.</w:t>
            </w:r>
          </w:p>
        </w:tc>
        <w:tc>
          <w:tcPr>
            <w:tcW w:w="1019" w:type="dxa"/>
            <w:vMerge w:val="restart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sz w:val="22"/>
                <w:szCs w:val="22"/>
              </w:rPr>
              <w:t>Kiekis</w:t>
            </w:r>
          </w:p>
        </w:tc>
        <w:tc>
          <w:tcPr>
            <w:tcW w:w="2081" w:type="dxa"/>
            <w:gridSpan w:val="2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sz w:val="22"/>
                <w:szCs w:val="22"/>
              </w:rPr>
              <w:t>Kaina Eur be PVM</w:t>
            </w:r>
          </w:p>
        </w:tc>
      </w:tr>
      <w:tr w:rsidR="00967396" w:rsidRPr="005B56F2" w:rsidTr="00D5002B">
        <w:trPr>
          <w:trHeight w:val="255"/>
        </w:trPr>
        <w:tc>
          <w:tcPr>
            <w:tcW w:w="546" w:type="dxa"/>
            <w:vMerge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5451" w:type="dxa"/>
            <w:vMerge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vMerge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rPr>
                <w:rFonts w:asciiTheme="minorHAnsi" w:cstheme="minorHAnsi"/>
                <w:b/>
                <w:sz w:val="22"/>
                <w:szCs w:val="22"/>
              </w:rPr>
            </w:pPr>
          </w:p>
        </w:tc>
        <w:tc>
          <w:tcPr>
            <w:tcW w:w="1019" w:type="dxa"/>
            <w:vMerge/>
            <w:shd w:val="clear" w:color="auto" w:fill="D9D9D9" w:themeFill="background1" w:themeFillShade="D9"/>
            <w:hideMark/>
          </w:tcPr>
          <w:p w:rsidR="00967396" w:rsidRPr="005B56F2" w:rsidRDefault="00967396" w:rsidP="005B56F2">
            <w:pPr>
              <w:spacing w:line="240" w:lineRule="auto"/>
              <w:rPr>
                <w:rFonts w:asciiTheme="minorHAnsi" w:cstheme="minorHAnsi"/>
                <w:b/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sz w:val="22"/>
                <w:szCs w:val="22"/>
              </w:rPr>
              <w:t>Vieneto kaina</w:t>
            </w:r>
          </w:p>
        </w:tc>
        <w:tc>
          <w:tcPr>
            <w:tcW w:w="1078" w:type="dxa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sz w:val="22"/>
                <w:szCs w:val="22"/>
              </w:rPr>
              <w:t>Iš viso</w:t>
            </w:r>
          </w:p>
        </w:tc>
      </w:tr>
      <w:tr w:rsidR="00967396" w:rsidRPr="005B56F2" w:rsidTr="00D5002B">
        <w:trPr>
          <w:trHeight w:val="255"/>
        </w:trPr>
        <w:tc>
          <w:tcPr>
            <w:tcW w:w="546" w:type="dxa"/>
            <w:shd w:val="clear" w:color="auto" w:fill="D9D9D9" w:themeFill="background1" w:themeFillShade="D9"/>
            <w:noWrap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9518" w:type="dxa"/>
            <w:gridSpan w:val="5"/>
            <w:shd w:val="clear" w:color="auto" w:fill="D9D9D9" w:themeFill="background1" w:themeFillShade="D9"/>
            <w:hideMark/>
          </w:tcPr>
          <w:p w:rsidR="00967396" w:rsidRPr="005B56F2" w:rsidRDefault="00967396" w:rsidP="005B56F2">
            <w:pPr>
              <w:spacing w:line="240" w:lineRule="auto"/>
              <w:ind w:firstLine="0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bCs/>
                <w:sz w:val="22"/>
                <w:szCs w:val="22"/>
              </w:rPr>
              <w:t>Sutapdintas stogas</w:t>
            </w:r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Fasadiniai pastoliai ir kiti kėlimo mechanizmai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kompl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9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3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  <w:bookmarkStart w:id="6" w:name="_GoBack"/>
            <w:bookmarkEnd w:id="6"/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2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Plokščių stogų parapetų dangos ardymas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019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84</w:t>
            </w:r>
          </w:p>
        </w:tc>
        <w:tc>
          <w:tcPr>
            <w:tcW w:w="1003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3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Esamų nefunkcionuojamų kaminų/įrenginių demontavimas ir angos užtaisymas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v</w:t>
            </w:r>
            <w:r w:rsidRPr="00722063">
              <w:rPr>
                <w:rFonts w:asciiTheme="minorHAnsi" w:cstheme="minorHAnsi"/>
                <w:sz w:val="22"/>
                <w:szCs w:val="22"/>
              </w:rPr>
              <w:t>nt</w:t>
            </w:r>
            <w:r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9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6</w:t>
            </w:r>
          </w:p>
        </w:tc>
        <w:tc>
          <w:tcPr>
            <w:tcW w:w="1003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503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Šiukšlių, kerpių ir pabarstų nuvalymas nuo  ritininės (ruloninės) dangos, nukeliant šiukšles žemyn (m2 nuvalyto pav.)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480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5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 xml:space="preserve">Pūslių remontas ritininėje dangoje (išpjaunant, išvalant, džiovinant ir priklijuojant) karštu būdu (m2 </w:t>
            </w: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užlop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722063">
              <w:rPr>
                <w:rFonts w:asciiTheme="minorHAnsi" w:cstheme="minorHAnsi"/>
                <w:sz w:val="22"/>
                <w:szCs w:val="22"/>
              </w:rPr>
              <w:t>ploto)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50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503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6</w:t>
            </w:r>
          </w:p>
        </w:tc>
        <w:tc>
          <w:tcPr>
            <w:tcW w:w="5451" w:type="dxa"/>
          </w:tcPr>
          <w:p w:rsidR="00356DA6" w:rsidRPr="007A33AB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  <w:highlight w:val="yellow"/>
              </w:rPr>
            </w:pPr>
            <w:r w:rsidRPr="007A33AB">
              <w:rPr>
                <w:rFonts w:asciiTheme="minorHAnsi" w:cstheme="minorHAnsi"/>
                <w:sz w:val="22"/>
                <w:szCs w:val="22"/>
              </w:rPr>
              <w:t>Plokščių stogų šiltinimas</w:t>
            </w:r>
            <w:r>
              <w:rPr>
                <w:rFonts w:asciiTheme="minorHAnsi" w:cstheme="minorHAnsi"/>
                <w:sz w:val="22"/>
                <w:szCs w:val="22"/>
              </w:rPr>
              <w:t xml:space="preserve"> (polistirolas)</w:t>
            </w:r>
            <w:r w:rsidRPr="007A33AB">
              <w:rPr>
                <w:rFonts w:asciiTheme="minorHAnsi" w:cstheme="minorHAnsi"/>
                <w:sz w:val="22"/>
                <w:szCs w:val="22"/>
              </w:rPr>
              <w:t xml:space="preserve">, akmens vatos plokštes (izoliacija </w:t>
            </w:r>
            <w:r>
              <w:rPr>
                <w:rFonts w:asciiTheme="minorHAnsi" w:cstheme="minorHAnsi"/>
                <w:sz w:val="22"/>
                <w:szCs w:val="22"/>
              </w:rPr>
              <w:t xml:space="preserve">ne prastesnė kaip EPS 80, ne mažiau kaip </w:t>
            </w:r>
            <w:r w:rsidRPr="007A33AB">
              <w:rPr>
                <w:rFonts w:asci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cstheme="minorHAnsi"/>
                <w:sz w:val="22"/>
                <w:szCs w:val="22"/>
              </w:rPr>
              <w:t>6</w:t>
            </w:r>
            <w:r w:rsidRPr="007A33AB">
              <w:rPr>
                <w:rFonts w:asciiTheme="minorHAnsi" w:cstheme="minorHAnsi"/>
                <w:sz w:val="22"/>
                <w:szCs w:val="22"/>
              </w:rPr>
              <w:t xml:space="preserve">0 mm  storio  ir papildomai klojamos </w:t>
            </w:r>
            <w:r>
              <w:rPr>
                <w:rFonts w:asciiTheme="minorHAnsi" w:cstheme="minorHAnsi"/>
                <w:sz w:val="22"/>
                <w:szCs w:val="22"/>
              </w:rPr>
              <w:t xml:space="preserve">ne mažiau kaip </w:t>
            </w:r>
            <w:r w:rsidRPr="007A33AB">
              <w:rPr>
                <w:rFonts w:asciiTheme="minorHAnsi" w:cstheme="minorHAnsi"/>
                <w:sz w:val="22"/>
                <w:szCs w:val="22"/>
              </w:rPr>
              <w:t>40</w:t>
            </w:r>
            <w:r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7A33AB">
              <w:rPr>
                <w:rFonts w:asciiTheme="minorHAnsi" w:cstheme="minorHAnsi"/>
                <w:sz w:val="22"/>
                <w:szCs w:val="22"/>
              </w:rPr>
              <w:t>mm storio akmens vatos plokštės</w:t>
            </w:r>
            <w:r>
              <w:rPr>
                <w:rFonts w:asciiTheme="minorHAnsi" w:cstheme="minorHAnsi"/>
                <w:sz w:val="22"/>
                <w:szCs w:val="22"/>
              </w:rPr>
              <w:t>) arba lygiavertėmis medžiagomis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289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7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Parapetų  karkaso, apšiltinimui,  įrengimas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518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8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 xml:space="preserve">Plokščių stogų parapetų ir vėdinimo kanalų šiltinimas mineralinės vatos plokštėmis, tvirtinant prie </w:t>
            </w:r>
            <w:r w:rsidRPr="007A33AB">
              <w:rPr>
                <w:rFonts w:asciiTheme="minorHAnsi" w:cstheme="minorHAnsi"/>
                <w:sz w:val="22"/>
                <w:szCs w:val="22"/>
              </w:rPr>
              <w:t>pagrindo</w:t>
            </w:r>
            <w:r>
              <w:rPr>
                <w:rFonts w:asciiTheme="minorHAnsi" w:cstheme="minorHAnsi"/>
                <w:sz w:val="22"/>
                <w:szCs w:val="22"/>
              </w:rPr>
              <w:t xml:space="preserve"> (ne mažiau kaip </w:t>
            </w:r>
            <w:r w:rsidRPr="007A33AB">
              <w:rPr>
                <w:rFonts w:asciiTheme="minorHAnsi" w:cstheme="minorHAnsi"/>
                <w:sz w:val="22"/>
                <w:szCs w:val="22"/>
              </w:rPr>
              <w:t>40mm storio akmens vatos plokštės</w:t>
            </w:r>
            <w:r>
              <w:rPr>
                <w:rFonts w:asciiTheme="minorHAnsi" w:cstheme="minorHAnsi"/>
                <w:sz w:val="22"/>
                <w:szCs w:val="22"/>
              </w:rPr>
              <w:t>) arba lygiavertėmis medžiagomis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480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9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 xml:space="preserve">Plokščių stogų </w:t>
            </w: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perimetrinio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 xml:space="preserve"> apvadėlio (tolygiam perėjimui prie sienos, parapeto) įrengimas, kai apvadėlis mineralinės vatos</w:t>
            </w:r>
            <w:r>
              <w:rPr>
                <w:rFonts w:asciiTheme="minorHAnsi" w:cstheme="minorHAnsi"/>
                <w:sz w:val="22"/>
                <w:szCs w:val="22"/>
              </w:rPr>
              <w:t xml:space="preserve"> arba lygiavertės medžiagos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503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10</w:t>
            </w:r>
          </w:p>
        </w:tc>
        <w:tc>
          <w:tcPr>
            <w:tcW w:w="5451" w:type="dxa"/>
          </w:tcPr>
          <w:p w:rsidR="00356DA6" w:rsidRPr="007A33AB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A33AB">
              <w:rPr>
                <w:rFonts w:asciiTheme="minorHAnsi" w:cstheme="minorHAnsi"/>
                <w:sz w:val="22"/>
                <w:szCs w:val="22"/>
              </w:rPr>
              <w:t>Pirmo sluoksnio prilydomosios bituminės rit</w:t>
            </w:r>
            <w:r>
              <w:rPr>
                <w:rFonts w:asciiTheme="minorHAnsi" w:cstheme="minorHAnsi"/>
                <w:sz w:val="22"/>
                <w:szCs w:val="22"/>
              </w:rPr>
              <w:t>ininės (arba lygiavertės) stogo dangos įrengimas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503"/>
        </w:trPr>
        <w:tc>
          <w:tcPr>
            <w:tcW w:w="546" w:type="dxa"/>
          </w:tcPr>
          <w:p w:rsidR="00356DA6" w:rsidRPr="007A33AB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11</w:t>
            </w:r>
          </w:p>
        </w:tc>
        <w:tc>
          <w:tcPr>
            <w:tcW w:w="5451" w:type="dxa"/>
          </w:tcPr>
          <w:p w:rsidR="00356DA6" w:rsidRPr="007A33AB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A33AB">
              <w:rPr>
                <w:rFonts w:asciiTheme="minorHAnsi" w:cstheme="minorHAnsi"/>
                <w:sz w:val="22"/>
                <w:szCs w:val="22"/>
              </w:rPr>
              <w:t>Antro sluoksnio prilydomosios bituminės ri</w:t>
            </w:r>
            <w:r>
              <w:rPr>
                <w:rFonts w:asciiTheme="minorHAnsi" w:cstheme="minorHAnsi"/>
                <w:sz w:val="22"/>
                <w:szCs w:val="22"/>
              </w:rPr>
              <w:t>tininės (arba lygiavertės) stogo dangos įrengimas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440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503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12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Plokščių stogų parapetų ir vėdinimo kanalų aptaisymas dviem sluoksniais ritinine danga (bituminė danga, prilydant)</w:t>
            </w:r>
            <w:r>
              <w:rPr>
                <w:rFonts w:asciiTheme="minorHAnsi" w:cstheme="minorHAnsi"/>
                <w:sz w:val="22"/>
                <w:szCs w:val="22"/>
              </w:rPr>
              <w:t xml:space="preserve"> arba lygiavertėmis medžiagomis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m2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48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13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Laštakio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/karnizo skardinimo įrengimas</w:t>
            </w:r>
            <w:r>
              <w:rPr>
                <w:rFonts w:asciiTheme="minorHAnsi" w:cstheme="minorHAnsi"/>
                <w:sz w:val="22"/>
                <w:szCs w:val="22"/>
              </w:rPr>
              <w:t xml:space="preserve"> (skarda ne mažiau kaip 0,5 mm. Antracitas arba lygiavertė)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019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52</w:t>
            </w:r>
          </w:p>
        </w:tc>
        <w:tc>
          <w:tcPr>
            <w:tcW w:w="1003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503"/>
        </w:trPr>
        <w:tc>
          <w:tcPr>
            <w:tcW w:w="546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14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Plokščių stogų ventiliacinių kaminėlių įrengimas, aptaisant ritinine danga, kai stogo danga bituminė</w:t>
            </w:r>
            <w:r>
              <w:rPr>
                <w:rFonts w:asciiTheme="minorHAnsi" w:cstheme="minorHAnsi"/>
                <w:sz w:val="22"/>
                <w:szCs w:val="22"/>
              </w:rPr>
              <w:t xml:space="preserve"> arba lygiavertės medžiagos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vnt.</w:t>
            </w:r>
          </w:p>
        </w:tc>
        <w:tc>
          <w:tcPr>
            <w:tcW w:w="1019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8</w:t>
            </w:r>
          </w:p>
        </w:tc>
        <w:tc>
          <w:tcPr>
            <w:tcW w:w="1003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15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Vėdinimo šachtų stogelių skardinimas</w:t>
            </w:r>
            <w:r>
              <w:rPr>
                <w:rFonts w:asciiTheme="minorHAnsi" w:cstheme="minorHAnsi"/>
                <w:sz w:val="22"/>
                <w:szCs w:val="22"/>
              </w:rPr>
              <w:t xml:space="preserve"> (skarda ne mažiau kaip 0,5 mm. Antracitas arba lygiavertė)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v</w:t>
            </w:r>
            <w:r w:rsidRPr="00722063">
              <w:rPr>
                <w:rFonts w:asciiTheme="minorHAnsi" w:cstheme="minorHAnsi"/>
                <w:sz w:val="22"/>
                <w:szCs w:val="22"/>
              </w:rPr>
              <w:t>nt</w:t>
            </w:r>
            <w:r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9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4</w:t>
            </w:r>
          </w:p>
        </w:tc>
        <w:tc>
          <w:tcPr>
            <w:tcW w:w="1003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16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Liuko keitimas</w:t>
            </w:r>
            <w:r>
              <w:rPr>
                <w:rFonts w:asciiTheme="minorHAnsi" w:cstheme="minorHAnsi"/>
                <w:sz w:val="22"/>
                <w:szCs w:val="22"/>
              </w:rPr>
              <w:t xml:space="preserve"> (1000x1000. Medžio </w:t>
            </w:r>
            <w:proofErr w:type="spellStart"/>
            <w:r>
              <w:rPr>
                <w:rFonts w:asciiTheme="minorHAnsi" w:cstheme="minorHAnsi"/>
                <w:sz w:val="22"/>
                <w:szCs w:val="22"/>
              </w:rPr>
              <w:t>tąšų</w:t>
            </w:r>
            <w:proofErr w:type="spellEnd"/>
            <w:r>
              <w:rPr>
                <w:rFonts w:asciiTheme="minorHAnsi" w:cstheme="minorHAnsi"/>
                <w:sz w:val="22"/>
                <w:szCs w:val="22"/>
              </w:rPr>
              <w:t xml:space="preserve"> 50x50 karkasas. Apklijuotas bitumine stogo danga) arba lygiavertis (paklaida +-10 mm).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>
              <w:rPr>
                <w:rFonts w:asciiTheme="minorHAnsi" w:cstheme="minorHAnsi"/>
                <w:sz w:val="22"/>
                <w:szCs w:val="22"/>
              </w:rPr>
              <w:t>v</w:t>
            </w:r>
            <w:r w:rsidRPr="00722063">
              <w:rPr>
                <w:rFonts w:asciiTheme="minorHAnsi" w:cstheme="minorHAnsi"/>
                <w:sz w:val="22"/>
                <w:szCs w:val="22"/>
              </w:rPr>
              <w:t>nt</w:t>
            </w:r>
            <w:r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9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3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17</w:t>
            </w:r>
          </w:p>
        </w:tc>
        <w:tc>
          <w:tcPr>
            <w:tcW w:w="5451" w:type="dxa"/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Parapetų  skardinimas</w:t>
            </w:r>
            <w:r>
              <w:rPr>
                <w:rFonts w:asciiTheme="minorHAnsi" w:cstheme="minorHAnsi"/>
                <w:sz w:val="22"/>
                <w:szCs w:val="22"/>
              </w:rPr>
              <w:t xml:space="preserve"> (skarda ne mažiau kaip 0,5 mm. Antracitas arba lygiavertė)</w:t>
            </w:r>
          </w:p>
        </w:tc>
        <w:tc>
          <w:tcPr>
            <w:tcW w:w="967" w:type="dxa"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m</w:t>
            </w:r>
          </w:p>
        </w:tc>
        <w:tc>
          <w:tcPr>
            <w:tcW w:w="1019" w:type="dxa"/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03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356DA6">
        <w:trPr>
          <w:trHeight w:val="255"/>
        </w:trPr>
        <w:tc>
          <w:tcPr>
            <w:tcW w:w="546" w:type="dxa"/>
            <w:tcBorders>
              <w:bottom w:val="single" w:sz="4" w:space="0" w:color="000000"/>
            </w:tcBorders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bottom w:val="single" w:sz="4" w:space="0" w:color="000000"/>
            </w:tcBorders>
          </w:tcPr>
          <w:p w:rsidR="00356DA6" w:rsidRPr="00722063" w:rsidRDefault="00356DA6" w:rsidP="00356DA6">
            <w:pPr>
              <w:spacing w:line="240" w:lineRule="auto"/>
              <w:ind w:firstLine="0"/>
              <w:jc w:val="left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Statybinių šiukšlių išvežimas</w:t>
            </w:r>
          </w:p>
        </w:tc>
        <w:tc>
          <w:tcPr>
            <w:tcW w:w="967" w:type="dxa"/>
            <w:tcBorders>
              <w:bottom w:val="single" w:sz="4" w:space="0" w:color="000000"/>
            </w:tcBorders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proofErr w:type="spellStart"/>
            <w:r w:rsidRPr="00722063">
              <w:rPr>
                <w:rFonts w:asciiTheme="minorHAnsi" w:cstheme="minorHAnsi"/>
                <w:sz w:val="22"/>
                <w:szCs w:val="22"/>
              </w:rPr>
              <w:t>kompl</w:t>
            </w:r>
            <w:proofErr w:type="spellEnd"/>
            <w:r w:rsidRPr="00722063">
              <w:rPr>
                <w:rFonts w:asciiTheme="minorHAnsi" w:cstheme="minorHAnsi"/>
                <w:sz w:val="22"/>
                <w:szCs w:val="22"/>
              </w:rPr>
              <w:t>.</w:t>
            </w:r>
          </w:p>
        </w:tc>
        <w:tc>
          <w:tcPr>
            <w:tcW w:w="1019" w:type="dxa"/>
            <w:tcBorders>
              <w:bottom w:val="single" w:sz="4" w:space="0" w:color="000000"/>
            </w:tcBorders>
            <w:noWrap/>
          </w:tcPr>
          <w:p w:rsidR="00356DA6" w:rsidRPr="00722063" w:rsidRDefault="00356DA6" w:rsidP="00356DA6">
            <w:pPr>
              <w:spacing w:line="240" w:lineRule="auto"/>
              <w:ind w:firstLine="0"/>
              <w:rPr>
                <w:rFonts w:asciiTheme="minorHAnsi" w:cstheme="minorHAnsi"/>
                <w:sz w:val="22"/>
                <w:szCs w:val="22"/>
              </w:rPr>
            </w:pPr>
            <w:r w:rsidRPr="00722063">
              <w:rPr>
                <w:rFonts w:asciiTheme="minorHAnsi" w:cstheme="minorHAnsi"/>
                <w:sz w:val="22"/>
                <w:szCs w:val="22"/>
              </w:rPr>
              <w:t>1</w:t>
            </w:r>
          </w:p>
        </w:tc>
        <w:tc>
          <w:tcPr>
            <w:tcW w:w="1003" w:type="dxa"/>
            <w:tcBorders>
              <w:bottom w:val="single" w:sz="4" w:space="0" w:color="000000"/>
            </w:tcBorders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D5002B">
        <w:trPr>
          <w:trHeight w:val="255"/>
        </w:trPr>
        <w:tc>
          <w:tcPr>
            <w:tcW w:w="8986" w:type="dxa"/>
            <w:gridSpan w:val="5"/>
            <w:shd w:val="clear" w:color="auto" w:fill="D9D9D9" w:themeFill="background1" w:themeFillShade="D9"/>
            <w:noWrap/>
            <w:hideMark/>
          </w:tcPr>
          <w:p w:rsidR="00356DA6" w:rsidRPr="005B56F2" w:rsidRDefault="00356DA6" w:rsidP="00356DA6">
            <w:pPr>
              <w:spacing w:line="240" w:lineRule="auto"/>
              <w:jc w:val="right"/>
              <w:rPr>
                <w:rFonts w:asciiTheme="minorHAnsi" w:cstheme="minorHAnsi"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iCs/>
                <w:color w:val="000000" w:themeColor="text1"/>
                <w:sz w:val="22"/>
                <w:szCs w:val="22"/>
                <w:lang w:eastAsia="en-US"/>
              </w:rPr>
              <w:t>Bendra pasiūlymo kaina</w:t>
            </w:r>
            <w:r w:rsidRPr="005B56F2">
              <w:rPr>
                <w:rFonts w:asciiTheme="minorHAnsi" w:cstheme="minorHAnsi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B56F2">
              <w:rPr>
                <w:rFonts w:asciiTheme="minorHAnsi" w:cstheme="minorHAnsi"/>
                <w:b/>
                <w:sz w:val="22"/>
                <w:szCs w:val="22"/>
              </w:rPr>
              <w:t>(Eur</w:t>
            </w:r>
            <w:r w:rsidRPr="005B56F2">
              <w:rPr>
                <w:rFonts w:asciiTheme="minorHAnsi" w:cstheme="minorHAnsi"/>
                <w:b/>
                <w:sz w:val="22"/>
                <w:szCs w:val="22"/>
                <w:lang w:eastAsia="en-US"/>
              </w:rPr>
              <w:t xml:space="preserve"> be PVM)</w:t>
            </w: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D5002B">
        <w:trPr>
          <w:trHeight w:val="255"/>
        </w:trPr>
        <w:tc>
          <w:tcPr>
            <w:tcW w:w="8986" w:type="dxa"/>
            <w:gridSpan w:val="5"/>
            <w:shd w:val="clear" w:color="auto" w:fill="D9D9D9" w:themeFill="background1" w:themeFillShade="D9"/>
            <w:noWrap/>
            <w:hideMark/>
          </w:tcPr>
          <w:p w:rsidR="00356DA6" w:rsidRPr="005B56F2" w:rsidRDefault="00356DA6" w:rsidP="00356DA6">
            <w:pPr>
              <w:spacing w:line="240" w:lineRule="auto"/>
              <w:jc w:val="right"/>
              <w:rPr>
                <w:rFonts w:asciiTheme="minorHAnsi" w:cstheme="minorHAnsi"/>
                <w:b/>
                <w:bCs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iCs/>
                <w:color w:val="000000" w:themeColor="text1"/>
                <w:sz w:val="22"/>
                <w:szCs w:val="22"/>
                <w:lang w:eastAsia="en-US"/>
              </w:rPr>
              <w:lastRenderedPageBreak/>
              <w:t>PVM (proc.)</w:t>
            </w: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356DA6" w:rsidRPr="005B56F2" w:rsidTr="00D5002B">
        <w:trPr>
          <w:trHeight w:val="255"/>
        </w:trPr>
        <w:tc>
          <w:tcPr>
            <w:tcW w:w="8986" w:type="dxa"/>
            <w:gridSpan w:val="5"/>
            <w:shd w:val="clear" w:color="auto" w:fill="D9D9D9" w:themeFill="background1" w:themeFillShade="D9"/>
            <w:noWrap/>
            <w:hideMark/>
          </w:tcPr>
          <w:p w:rsidR="00356DA6" w:rsidRPr="005B56F2" w:rsidRDefault="00356DA6" w:rsidP="00356DA6">
            <w:pPr>
              <w:spacing w:line="240" w:lineRule="auto"/>
              <w:jc w:val="right"/>
              <w:rPr>
                <w:rFonts w:asciiTheme="minorHAnsi" w:cstheme="minorHAnsi"/>
                <w:sz w:val="22"/>
                <w:szCs w:val="22"/>
              </w:rPr>
            </w:pPr>
            <w:r w:rsidRPr="005B56F2">
              <w:rPr>
                <w:rFonts w:asciiTheme="minorHAnsi" w:cstheme="minorHAnsi"/>
                <w:b/>
                <w:iCs/>
                <w:color w:val="000000" w:themeColor="text1"/>
                <w:sz w:val="22"/>
                <w:szCs w:val="22"/>
                <w:lang w:eastAsia="en-US"/>
              </w:rPr>
              <w:t>Bendra pasiūlymo kaina</w:t>
            </w:r>
            <w:r w:rsidRPr="005B56F2">
              <w:rPr>
                <w:rFonts w:asciiTheme="minorHAnsi" w:cstheme="minorHAnsi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5B56F2">
              <w:rPr>
                <w:rFonts w:asciiTheme="minorHAnsi" w:cstheme="minorHAnsi"/>
                <w:b/>
                <w:sz w:val="22"/>
                <w:szCs w:val="22"/>
              </w:rPr>
              <w:t>(Eur</w:t>
            </w:r>
            <w:r w:rsidRPr="005B56F2">
              <w:rPr>
                <w:rFonts w:asciiTheme="minorHAnsi" w:cstheme="minorHAnsi"/>
                <w:b/>
                <w:sz w:val="22"/>
                <w:szCs w:val="22"/>
                <w:lang w:eastAsia="en-US"/>
              </w:rPr>
              <w:t xml:space="preserve"> su PVM)</w:t>
            </w:r>
          </w:p>
        </w:tc>
        <w:tc>
          <w:tcPr>
            <w:tcW w:w="1078" w:type="dxa"/>
            <w:noWrap/>
            <w:hideMark/>
          </w:tcPr>
          <w:p w:rsidR="00356DA6" w:rsidRPr="005B56F2" w:rsidRDefault="00356DA6" w:rsidP="00356DA6">
            <w:pPr>
              <w:spacing w:line="240" w:lineRule="auto"/>
              <w:rPr>
                <w:rFonts w:asciiTheme="minorHAnsi" w:cstheme="minorHAnsi"/>
                <w:sz w:val="22"/>
                <w:szCs w:val="22"/>
              </w:rPr>
            </w:pPr>
          </w:p>
        </w:tc>
      </w:tr>
    </w:tbl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b/>
          <w:sz w:val="22"/>
          <w:szCs w:val="22"/>
          <w:lang w:eastAsia="en-US"/>
        </w:rPr>
      </w:pP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b/>
          <w:sz w:val="22"/>
          <w:szCs w:val="22"/>
          <w:lang w:eastAsia="en-US"/>
        </w:rPr>
      </w:pPr>
      <w:r w:rsidRPr="005B56F2">
        <w:rPr>
          <w:rFonts w:eastAsia="Times New Roman" w:cstheme="minorHAnsi"/>
          <w:b/>
          <w:sz w:val="22"/>
          <w:szCs w:val="22"/>
          <w:lang w:eastAsia="en-US"/>
        </w:rPr>
        <w:t>Bendra p</w:t>
      </w:r>
      <w:r w:rsidRPr="00891B65">
        <w:rPr>
          <w:rFonts w:eastAsia="Times New Roman" w:cstheme="minorHAnsi"/>
          <w:b/>
          <w:sz w:val="22"/>
          <w:szCs w:val="22"/>
          <w:lang w:eastAsia="en-US"/>
        </w:rPr>
        <w:t xml:space="preserve">asiūlymo kaina (Eur, su PVM) žodžiais: </w:t>
      </w: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b/>
          <w:sz w:val="22"/>
          <w:szCs w:val="22"/>
          <w:lang w:eastAsia="en-US"/>
        </w:rPr>
      </w:pPr>
      <w:r w:rsidRPr="00891B65">
        <w:rPr>
          <w:rFonts w:eastAsia="Times New Roman" w:cstheme="minorHAnsi"/>
          <w:b/>
          <w:sz w:val="22"/>
          <w:szCs w:val="22"/>
          <w:lang w:eastAsia="en-US"/>
        </w:rPr>
        <w:t>______________________________________________________________________________</w:t>
      </w:r>
    </w:p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</w:rPr>
      </w:pPr>
    </w:p>
    <w:p w:rsidR="00967396" w:rsidRPr="00891B65" w:rsidRDefault="00967396" w:rsidP="005B56F2">
      <w:pPr>
        <w:tabs>
          <w:tab w:val="left" w:pos="567"/>
        </w:tabs>
        <w:suppressAutoHyphens/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  <w:r w:rsidRPr="005B56F2">
        <w:rPr>
          <w:rFonts w:eastAsia="Times New Roman" w:cstheme="minorHAnsi"/>
          <w:sz w:val="22"/>
          <w:szCs w:val="22"/>
          <w:lang w:eastAsia="en-US"/>
        </w:rPr>
        <w:t>Patvirtiname, kad siūlomas pirkimo objektas</w:t>
      </w:r>
      <w:r w:rsidRPr="00891B65">
        <w:rPr>
          <w:rFonts w:eastAsia="Times New Roman" w:cstheme="minorHAnsi"/>
          <w:sz w:val="22"/>
          <w:szCs w:val="22"/>
          <w:lang w:eastAsia="en-US"/>
        </w:rPr>
        <w:t xml:space="preserve"> atitinka visus pirkimo dokumentuose numatytus reikalavimus.</w:t>
      </w:r>
    </w:p>
    <w:p w:rsidR="00967396" w:rsidRPr="00891B65" w:rsidRDefault="00967396" w:rsidP="005B56F2">
      <w:pPr>
        <w:widowControl w:val="0"/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</w:rPr>
      </w:pPr>
    </w:p>
    <w:p w:rsidR="00967396" w:rsidRPr="00891B65" w:rsidRDefault="00967396" w:rsidP="005B56F2">
      <w:pPr>
        <w:autoSpaceDE w:val="0"/>
        <w:spacing w:after="160" w:line="240" w:lineRule="auto"/>
        <w:ind w:firstLine="0"/>
        <w:jc w:val="center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b/>
          <w:bCs/>
          <w:sz w:val="22"/>
          <w:szCs w:val="22"/>
          <w:lang w:eastAsia="en-US"/>
        </w:rPr>
        <w:t>4. SU PASIŪLYMU PATEIKIAMI DOKUMENTAI</w:t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8080"/>
        <w:gridCol w:w="1701"/>
      </w:tblGrid>
      <w:tr w:rsidR="00967396" w:rsidRPr="00891B65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Dokumento pavadinimas</w:t>
            </w:r>
          </w:p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Lapų skaičius</w:t>
            </w:r>
          </w:p>
        </w:tc>
      </w:tr>
      <w:tr w:rsidR="00967396" w:rsidRPr="00891B65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Source Sans Pro" w:cstheme="minorHAnsi"/>
                <w:color w:val="000000"/>
                <w:sz w:val="22"/>
                <w:szCs w:val="22"/>
                <w:lang w:eastAsia="en-US"/>
              </w:rPr>
              <w:t xml:space="preserve">   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center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</w:tr>
      <w:tr w:rsidR="00967396" w:rsidRPr="00891B65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</w:tr>
    </w:tbl>
    <w:p w:rsidR="00967396" w:rsidRPr="00891B65" w:rsidRDefault="00967396" w:rsidP="005B56F2">
      <w:pPr>
        <w:widowControl w:val="0"/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</w:p>
    <w:p w:rsidR="00967396" w:rsidRPr="00891B65" w:rsidRDefault="00967396" w:rsidP="005B56F2">
      <w:pPr>
        <w:autoSpaceDE w:val="0"/>
        <w:spacing w:after="160" w:line="240" w:lineRule="auto"/>
        <w:ind w:firstLine="0"/>
        <w:jc w:val="center"/>
        <w:rPr>
          <w:rFonts w:eastAsia="Times New Roman" w:cstheme="minorHAnsi"/>
          <w:b/>
          <w:bCs/>
          <w:sz w:val="22"/>
          <w:szCs w:val="22"/>
          <w:lang w:eastAsia="en-US"/>
        </w:rPr>
      </w:pPr>
      <w:bookmarkStart w:id="7" w:name="_Hlk159499691"/>
      <w:r w:rsidRPr="00891B65">
        <w:rPr>
          <w:rFonts w:eastAsia="Times New Roman" w:cstheme="minorHAnsi"/>
          <w:b/>
          <w:bCs/>
          <w:sz w:val="22"/>
          <w:szCs w:val="22"/>
          <w:lang w:eastAsia="en-US"/>
        </w:rPr>
        <w:t>5. KONFIDENCIALI INFORMACIJA</w:t>
      </w:r>
    </w:p>
    <w:p w:rsidR="00967396" w:rsidRPr="00891B65" w:rsidRDefault="00967396" w:rsidP="005B56F2">
      <w:pPr>
        <w:autoSpaceDE w:val="0"/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sz w:val="22"/>
          <w:szCs w:val="22"/>
        </w:rPr>
        <w:t>Jeigu teikėjas nenurodo dokumento konfidencialumo, laikoma, kad pateiktas dokumentas yra nekonfidencialus.</w:t>
      </w:r>
    </w:p>
    <w:tbl>
      <w:tblPr>
        <w:tblW w:w="1049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709"/>
        <w:gridCol w:w="5812"/>
        <w:gridCol w:w="3969"/>
      </w:tblGrid>
      <w:tr w:rsidR="00967396" w:rsidRPr="00891B65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bookmarkStart w:id="8" w:name="_Hlk159499775"/>
            <w:bookmarkEnd w:id="7"/>
            <w:r w:rsidRPr="00891B65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891B65">
              <w:rPr>
                <w:rFonts w:eastAsia="Times New Roman" w:cstheme="minorHAnsi"/>
                <w:b/>
                <w:color w:val="000000"/>
                <w:sz w:val="22"/>
                <w:szCs w:val="22"/>
                <w:lang w:eastAsia="en-US"/>
              </w:rPr>
              <w:t>Argumentai, pagrindžiantys dokumento ar jame pateiktos informacijos konfidencialumą</w:t>
            </w:r>
          </w:p>
        </w:tc>
      </w:tr>
      <w:tr w:rsidR="00967396" w:rsidRPr="00891B65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left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Source Sans Pro" w:cstheme="minorHAnsi"/>
                <w:color w:val="000000"/>
                <w:sz w:val="22"/>
                <w:szCs w:val="22"/>
                <w:lang w:eastAsia="en-US"/>
              </w:rPr>
              <w:t xml:space="preserve">   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</w:tr>
      <w:tr w:rsidR="00967396" w:rsidRPr="00891B65" w:rsidTr="00ED448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7396" w:rsidRPr="00891B65" w:rsidRDefault="00967396" w:rsidP="005B56F2">
            <w:pPr>
              <w:spacing w:after="160" w:line="240" w:lineRule="auto"/>
              <w:ind w:firstLine="0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891B65">
              <w:rPr>
                <w:rFonts w:eastAsia="Times New Roman" w:cstheme="minorHAns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96" w:rsidRPr="00891B65" w:rsidRDefault="00967396" w:rsidP="005B56F2">
            <w:pPr>
              <w:snapToGrid w:val="0"/>
              <w:spacing w:after="160" w:line="240" w:lineRule="auto"/>
              <w:ind w:firstLine="0"/>
              <w:jc w:val="left"/>
              <w:textAlignment w:val="baseline"/>
              <w:rPr>
                <w:rFonts w:eastAsia="Times New Roman" w:cstheme="minorHAnsi"/>
                <w:color w:val="000000"/>
                <w:kern w:val="2"/>
                <w:sz w:val="22"/>
                <w:szCs w:val="22"/>
                <w:lang w:eastAsia="de-CH"/>
              </w:rPr>
            </w:pPr>
          </w:p>
        </w:tc>
      </w:tr>
      <w:bookmarkEnd w:id="8"/>
    </w:tbl>
    <w:p w:rsidR="00967396" w:rsidRPr="00891B65" w:rsidRDefault="00967396" w:rsidP="005B56F2">
      <w:pPr>
        <w:spacing w:after="160" w:line="240" w:lineRule="auto"/>
        <w:ind w:firstLine="0"/>
        <w:jc w:val="left"/>
        <w:rPr>
          <w:rFonts w:eastAsia="Times New Roman" w:cstheme="minorHAnsi"/>
          <w:b/>
          <w:sz w:val="22"/>
          <w:szCs w:val="22"/>
          <w:lang w:eastAsia="en-US"/>
        </w:rPr>
      </w:pPr>
    </w:p>
    <w:p w:rsidR="00967396" w:rsidRPr="00891B65" w:rsidRDefault="00967396" w:rsidP="005B56F2">
      <w:pPr>
        <w:spacing w:after="160" w:line="240" w:lineRule="auto"/>
        <w:ind w:firstLine="720"/>
        <w:jc w:val="left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sz w:val="22"/>
          <w:szCs w:val="22"/>
          <w:lang w:eastAsia="en-US"/>
        </w:rPr>
        <w:t>Pasirašydamas šį pasiūlymą patvirtintu, kad:</w:t>
      </w:r>
    </w:p>
    <w:p w:rsidR="00967396" w:rsidRPr="00891B65" w:rsidRDefault="00967396" w:rsidP="005B56F2">
      <w:pPr>
        <w:numPr>
          <w:ilvl w:val="0"/>
          <w:numId w:val="1"/>
        </w:numPr>
        <w:suppressAutoHyphens/>
        <w:spacing w:after="160" w:line="240" w:lineRule="auto"/>
        <w:contextualSpacing/>
        <w:jc w:val="left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sz w:val="22"/>
          <w:szCs w:val="22"/>
          <w:lang w:eastAsia="en-US"/>
        </w:rPr>
        <w:t>pasiūlymas galioja pirkimo dokumentuose nurodytą terminą;</w:t>
      </w:r>
    </w:p>
    <w:p w:rsidR="00967396" w:rsidRPr="00891B65" w:rsidRDefault="00967396" w:rsidP="005B56F2">
      <w:pPr>
        <w:numPr>
          <w:ilvl w:val="0"/>
          <w:numId w:val="1"/>
        </w:numPr>
        <w:suppressAutoHyphens/>
        <w:spacing w:after="160" w:line="240" w:lineRule="auto"/>
        <w:contextualSpacing/>
        <w:jc w:val="left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sz w:val="22"/>
          <w:szCs w:val="22"/>
          <w:lang w:eastAsia="en-US"/>
        </w:rPr>
        <w:t>sutinku su visomis pirkimo dokumentuose nustatytomis sąlygomis;</w:t>
      </w:r>
    </w:p>
    <w:p w:rsidR="00967396" w:rsidRPr="00891B65" w:rsidRDefault="00967396" w:rsidP="005B56F2">
      <w:pPr>
        <w:numPr>
          <w:ilvl w:val="0"/>
          <w:numId w:val="1"/>
        </w:numPr>
        <w:tabs>
          <w:tab w:val="left" w:pos="567"/>
        </w:tabs>
        <w:suppressAutoHyphens/>
        <w:spacing w:after="160" w:line="240" w:lineRule="auto"/>
        <w:jc w:val="left"/>
        <w:rPr>
          <w:rFonts w:eastAsia="Times New Roman" w:cstheme="minorHAnsi"/>
          <w:sz w:val="22"/>
          <w:szCs w:val="22"/>
        </w:rPr>
      </w:pPr>
      <w:r w:rsidRPr="00891B65">
        <w:rPr>
          <w:rFonts w:eastAsia="Times New Roman" w:cstheme="minorHAnsi"/>
          <w:sz w:val="22"/>
          <w:szCs w:val="22"/>
          <w:lang w:eastAsia="en-US"/>
        </w:rPr>
        <w:t>pasiūlyme pateikti duomenys yra tikri.</w:t>
      </w:r>
    </w:p>
    <w:p w:rsidR="00967396" w:rsidRPr="00891B65" w:rsidRDefault="00967396" w:rsidP="005B56F2">
      <w:pPr>
        <w:tabs>
          <w:tab w:val="left" w:pos="567"/>
        </w:tabs>
        <w:suppressAutoHyphens/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</w:p>
    <w:p w:rsidR="00967396" w:rsidRPr="00891B65" w:rsidRDefault="00967396" w:rsidP="005B56F2">
      <w:pPr>
        <w:tabs>
          <w:tab w:val="left" w:pos="567"/>
        </w:tabs>
        <w:suppressAutoHyphens/>
        <w:spacing w:after="160" w:line="240" w:lineRule="auto"/>
        <w:ind w:firstLine="0"/>
        <w:jc w:val="left"/>
        <w:rPr>
          <w:rFonts w:eastAsia="Times New Roman" w:cstheme="minorHAnsi"/>
          <w:sz w:val="22"/>
          <w:szCs w:val="22"/>
          <w:lang w:eastAsia="en-US"/>
        </w:rPr>
      </w:pPr>
      <w:r w:rsidRPr="005B56F2">
        <w:rPr>
          <w:rFonts w:eastAsia="Times New Roman" w:cstheme="minorHAnsi"/>
          <w:sz w:val="22"/>
          <w:szCs w:val="22"/>
          <w:lang w:eastAsia="en-US"/>
        </w:rPr>
        <w:t xml:space="preserve">     </w:t>
      </w:r>
      <w:r w:rsidRPr="00891B65">
        <w:rPr>
          <w:rFonts w:eastAsia="Times New Roman" w:cstheme="minorHAnsi"/>
          <w:sz w:val="22"/>
          <w:szCs w:val="22"/>
          <w:lang w:eastAsia="en-US"/>
        </w:rPr>
        <w:t>__________________________             __________                   _____________________</w:t>
      </w:r>
    </w:p>
    <w:p w:rsidR="00967396" w:rsidRPr="00891B65" w:rsidRDefault="00967396" w:rsidP="005B56F2">
      <w:pPr>
        <w:spacing w:after="160" w:line="240" w:lineRule="auto"/>
        <w:ind w:firstLine="397"/>
        <w:jc w:val="left"/>
        <w:rPr>
          <w:rFonts w:eastAsia="Times New Roman" w:cstheme="minorHAnsi"/>
          <w:color w:val="7030A0"/>
          <w:sz w:val="22"/>
          <w:szCs w:val="22"/>
        </w:rPr>
      </w:pPr>
      <w:r w:rsidRPr="005B56F2">
        <w:rPr>
          <w:rFonts w:eastAsia="Times New Roman" w:cstheme="minorHAnsi"/>
          <w:sz w:val="22"/>
          <w:szCs w:val="22"/>
          <w:lang w:eastAsia="en-US"/>
        </w:rPr>
        <w:t xml:space="preserve">                </w:t>
      </w:r>
      <w:r w:rsidRPr="00891B65">
        <w:rPr>
          <w:rFonts w:eastAsia="Times New Roman" w:cstheme="minorHAnsi"/>
          <w:sz w:val="22"/>
          <w:szCs w:val="22"/>
          <w:lang w:eastAsia="en-US"/>
        </w:rPr>
        <w:t xml:space="preserve">(pareigos) </w:t>
      </w:r>
      <w:r w:rsidRPr="00891B65">
        <w:rPr>
          <w:rFonts w:eastAsia="Times New Roman" w:cstheme="minorHAnsi"/>
          <w:sz w:val="22"/>
          <w:szCs w:val="22"/>
          <w:lang w:eastAsia="en-US"/>
        </w:rPr>
        <w:tab/>
      </w:r>
      <w:r w:rsidRPr="00891B65">
        <w:rPr>
          <w:rFonts w:eastAsia="Times New Roman" w:cstheme="minorHAnsi"/>
          <w:sz w:val="22"/>
          <w:szCs w:val="22"/>
          <w:lang w:eastAsia="en-US"/>
        </w:rPr>
        <w:tab/>
        <w:t xml:space="preserve">  </w:t>
      </w:r>
      <w:r w:rsidRPr="005B56F2">
        <w:rPr>
          <w:rFonts w:eastAsia="Times New Roman" w:cstheme="minorHAnsi"/>
          <w:sz w:val="22"/>
          <w:szCs w:val="22"/>
          <w:lang w:eastAsia="en-US"/>
        </w:rPr>
        <w:t xml:space="preserve">                     </w:t>
      </w:r>
      <w:r w:rsidRPr="00891B65">
        <w:rPr>
          <w:rFonts w:eastAsia="Times New Roman" w:cstheme="minorHAnsi"/>
          <w:sz w:val="22"/>
          <w:szCs w:val="22"/>
          <w:lang w:eastAsia="en-US"/>
        </w:rPr>
        <w:t xml:space="preserve">(parašas) </w:t>
      </w:r>
      <w:r w:rsidRPr="00891B65">
        <w:rPr>
          <w:rFonts w:eastAsia="Times New Roman" w:cstheme="minorHAnsi"/>
          <w:sz w:val="22"/>
          <w:szCs w:val="22"/>
          <w:lang w:eastAsia="en-US"/>
        </w:rPr>
        <w:tab/>
      </w:r>
      <w:r w:rsidRPr="00891B65">
        <w:rPr>
          <w:rFonts w:eastAsia="Times New Roman" w:cstheme="minorHAnsi"/>
          <w:sz w:val="22"/>
          <w:szCs w:val="22"/>
          <w:lang w:eastAsia="en-US"/>
        </w:rPr>
        <w:tab/>
        <w:t xml:space="preserve">   </w:t>
      </w:r>
      <w:r w:rsidRPr="005B56F2">
        <w:rPr>
          <w:rFonts w:eastAsia="Times New Roman" w:cstheme="minorHAnsi"/>
          <w:sz w:val="22"/>
          <w:szCs w:val="22"/>
          <w:lang w:eastAsia="en-US"/>
        </w:rPr>
        <w:t xml:space="preserve">        </w:t>
      </w:r>
      <w:r w:rsidRPr="00891B65">
        <w:rPr>
          <w:rFonts w:eastAsia="Times New Roman" w:cstheme="minorHAnsi"/>
          <w:sz w:val="22"/>
          <w:szCs w:val="22"/>
          <w:lang w:eastAsia="en-US"/>
        </w:rPr>
        <w:t>(vardas, pavardė)</w:t>
      </w:r>
    </w:p>
    <w:p w:rsidR="00967396" w:rsidRPr="005B56F2" w:rsidRDefault="00967396" w:rsidP="005B56F2">
      <w:pPr>
        <w:spacing w:line="240" w:lineRule="auto"/>
        <w:ind w:firstLine="0"/>
        <w:jc w:val="left"/>
        <w:rPr>
          <w:rFonts w:eastAsia="Calibri" w:cstheme="minorHAnsi"/>
          <w:b/>
          <w:bCs/>
          <w:color w:val="7030A0"/>
          <w:sz w:val="22"/>
          <w:szCs w:val="22"/>
        </w:rPr>
      </w:pPr>
    </w:p>
    <w:p w:rsidR="00967396" w:rsidRPr="005B56F2" w:rsidRDefault="00967396" w:rsidP="005B56F2">
      <w:pPr>
        <w:pStyle w:val="NoSpacing"/>
        <w:ind w:firstLine="0"/>
        <w:contextualSpacing/>
        <w:rPr>
          <w:rFonts w:eastAsiaTheme="minorHAnsi" w:cstheme="minorHAnsi"/>
          <w:bCs/>
          <w:iCs/>
          <w:sz w:val="22"/>
          <w:szCs w:val="22"/>
        </w:rPr>
      </w:pPr>
      <w:bookmarkStart w:id="9" w:name="_Pirkimo_sąlygų_3"/>
      <w:bookmarkEnd w:id="9"/>
    </w:p>
    <w:p w:rsidR="00967396" w:rsidRPr="005B56F2" w:rsidRDefault="00967396" w:rsidP="005B56F2">
      <w:pPr>
        <w:spacing w:line="240" w:lineRule="auto"/>
        <w:ind w:firstLine="0"/>
        <w:rPr>
          <w:rFonts w:cstheme="minorHAnsi"/>
          <w:sz w:val="22"/>
          <w:szCs w:val="22"/>
        </w:rPr>
      </w:pPr>
    </w:p>
    <w:p w:rsidR="00581B76" w:rsidRPr="005B56F2" w:rsidRDefault="00581B76" w:rsidP="005B56F2">
      <w:pPr>
        <w:spacing w:line="240" w:lineRule="auto"/>
        <w:rPr>
          <w:rFonts w:cstheme="minorHAnsi"/>
          <w:sz w:val="22"/>
          <w:szCs w:val="22"/>
        </w:rPr>
      </w:pPr>
    </w:p>
    <w:sectPr w:rsidR="00581B76" w:rsidRPr="005B5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ource Sans Pro" w:hAnsi="Source Sans Pro" w:cs="Source Sans Pro" w:hint="default"/>
        <w:sz w:val="24"/>
        <w:szCs w:val="24"/>
        <w:lang w:eastAsia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BB"/>
    <w:rsid w:val="00356DA6"/>
    <w:rsid w:val="00393FE9"/>
    <w:rsid w:val="00540DBB"/>
    <w:rsid w:val="00581B76"/>
    <w:rsid w:val="005B56F2"/>
    <w:rsid w:val="00705AC1"/>
    <w:rsid w:val="007405B8"/>
    <w:rsid w:val="00967396"/>
    <w:rsid w:val="009820E1"/>
    <w:rsid w:val="00A74111"/>
    <w:rsid w:val="00D5002B"/>
    <w:rsid w:val="00D650AB"/>
    <w:rsid w:val="00DD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14D9D-D2C3-4924-8E18-DA5A5B5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7396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396"/>
    <w:pPr>
      <w:spacing w:after="0" w:line="240" w:lineRule="auto"/>
      <w:ind w:firstLine="697"/>
      <w:jc w:val="both"/>
    </w:pPr>
    <w:rPr>
      <w:rFonts w:ascii="Times New Roman" w:eastAsiaTheme="minorEastAsia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967396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customStyle="1" w:styleId="NoSpacingChar">
    <w:name w:val="No Spacing Char"/>
    <w:basedOn w:val="DefaultParagraphFont"/>
    <w:link w:val="NoSpacing"/>
    <w:uiPriority w:val="1"/>
    <w:rsid w:val="00967396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3017</Words>
  <Characters>1720</Characters>
  <Application>Microsoft Office Word</Application>
  <DocSecurity>0</DocSecurity>
  <Lines>14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Adomaitis</dc:creator>
  <cp:keywords/>
  <dc:description/>
  <cp:lastModifiedBy>Saulius Adomaitis</cp:lastModifiedBy>
  <cp:revision>13</cp:revision>
  <dcterms:created xsi:type="dcterms:W3CDTF">2024-04-08T06:48:00Z</dcterms:created>
  <dcterms:modified xsi:type="dcterms:W3CDTF">2025-03-12T07:23:00Z</dcterms:modified>
</cp:coreProperties>
</file>