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4137C" w14:textId="77777777" w:rsidR="00A51ED7" w:rsidRPr="00107DDB" w:rsidRDefault="00A51ED7" w:rsidP="00A51ED7">
      <w:pPr>
        <w:jc w:val="right"/>
        <w:rPr>
          <w:i/>
        </w:rPr>
      </w:pPr>
      <w:r w:rsidRPr="00107DDB">
        <w:rPr>
          <w:i/>
        </w:rPr>
        <w:t>Pirkimo sąlygų</w:t>
      </w:r>
    </w:p>
    <w:p w14:paraId="721C2F12" w14:textId="77777777" w:rsidR="00A51ED7" w:rsidRPr="00107DDB" w:rsidRDefault="00A51ED7" w:rsidP="00A51ED7">
      <w:pPr>
        <w:jc w:val="right"/>
        <w:rPr>
          <w:i/>
        </w:rPr>
      </w:pPr>
      <w:r w:rsidRPr="00107DDB">
        <w:rPr>
          <w:i/>
        </w:rPr>
        <w:t>2 priedo priedėlis</w:t>
      </w:r>
    </w:p>
    <w:p w14:paraId="3E46BA21" w14:textId="77777777" w:rsidR="00A51ED7" w:rsidRDefault="00A51ED7" w:rsidP="00A51ED7">
      <w:pPr>
        <w:jc w:val="right"/>
      </w:pPr>
    </w:p>
    <w:p w14:paraId="19285CB9" w14:textId="7CDB7AC9" w:rsidR="00416C35" w:rsidRPr="00B100E5" w:rsidRDefault="00416C35" w:rsidP="00416C35">
      <w:pPr>
        <w:spacing w:line="276" w:lineRule="auto"/>
        <w:jc w:val="center"/>
        <w:rPr>
          <w:b/>
          <w:bCs/>
          <w:kern w:val="2"/>
          <w:lang w:eastAsia="en-US"/>
          <w14:ligatures w14:val="standardContextual"/>
        </w:rPr>
      </w:pPr>
      <w:r w:rsidRPr="00B100E5">
        <w:rPr>
          <w:b/>
          <w:bCs/>
          <w:kern w:val="2"/>
          <w:lang w:eastAsia="en-US"/>
          <w14:ligatures w14:val="standardContextual"/>
        </w:rPr>
        <w:t>GRĖSMIŲ ANALIZĖS PROGRAMINĖS ĮRANGOS TECHNINĖ</w:t>
      </w:r>
      <w:r>
        <w:rPr>
          <w:b/>
          <w:bCs/>
          <w:kern w:val="2"/>
          <w:lang w:eastAsia="en-US"/>
          <w14:ligatures w14:val="standardContextual"/>
        </w:rPr>
        <w:t>S SPECIFIKACIJOS</w:t>
      </w:r>
    </w:p>
    <w:p w14:paraId="49CE37F9" w14:textId="0B027665" w:rsidR="00107DDB" w:rsidRDefault="00107DDB" w:rsidP="00416C35">
      <w:pPr>
        <w:spacing w:line="276" w:lineRule="auto"/>
        <w:jc w:val="center"/>
        <w:rPr>
          <w:b/>
          <w:color w:val="000000"/>
        </w:rPr>
      </w:pPr>
      <w:r>
        <w:rPr>
          <w:b/>
          <w:color w:val="000000"/>
        </w:rPr>
        <w:t>ATITIKTIES LENTELĖ</w:t>
      </w:r>
    </w:p>
    <w:p w14:paraId="7582F7FF" w14:textId="77777777" w:rsidR="00A51ED7" w:rsidRDefault="00A51ED7" w:rsidP="00A51ED7">
      <w:pPr>
        <w:spacing w:line="276" w:lineRule="auto"/>
        <w:jc w:val="center"/>
        <w:rPr>
          <w:b/>
        </w:rPr>
      </w:pPr>
    </w:p>
    <w:p w14:paraId="3C70F8E2" w14:textId="2CDBD1F4" w:rsidR="00A51ED7" w:rsidRDefault="00A51ED7" w:rsidP="009D063F">
      <w:pPr>
        <w:pStyle w:val="ListParagraph"/>
        <w:numPr>
          <w:ilvl w:val="0"/>
          <w:numId w:val="1"/>
        </w:numPr>
        <w:tabs>
          <w:tab w:val="left" w:pos="1134"/>
        </w:tabs>
        <w:ind w:left="0" w:firstLine="720"/>
        <w:jc w:val="both"/>
      </w:pPr>
      <w:r>
        <w:t>Pažymime, kad Pirkimo sąlygų 2 priedo</w:t>
      </w:r>
      <w:r w:rsidR="007B4201">
        <w:t xml:space="preserve"> „</w:t>
      </w:r>
      <w:r w:rsidR="00416C35">
        <w:t xml:space="preserve">Grėsmių analizės programinės įrangos </w:t>
      </w:r>
      <w:r w:rsidR="00107DDB">
        <w:t>techninės specifikacijos atitikties lentelė</w:t>
      </w:r>
      <w:r w:rsidR="007B4201">
        <w:t>“</w:t>
      </w:r>
      <w:r>
        <w:t xml:space="preserve"> priedėlis yra neatsiejama pasiūlymo dalis.</w:t>
      </w:r>
    </w:p>
    <w:p w14:paraId="5508CAB2" w14:textId="77777777" w:rsidR="00A51ED7" w:rsidRPr="00220682" w:rsidRDefault="00A51ED7" w:rsidP="009D063F">
      <w:pPr>
        <w:pStyle w:val="ListParagraph"/>
        <w:numPr>
          <w:ilvl w:val="0"/>
          <w:numId w:val="1"/>
        </w:numPr>
        <w:tabs>
          <w:tab w:val="left" w:pos="1134"/>
        </w:tabs>
        <w:ind w:left="0" w:firstLine="720"/>
        <w:jc w:val="both"/>
      </w:pPr>
      <w:r>
        <w:t xml:space="preserve">Tiekėjas turi užpildyti stulpelį </w:t>
      </w:r>
      <w:r>
        <w:rPr>
          <w:b/>
          <w:i/>
        </w:rPr>
        <w:t>„Siūloma prekė visiškai atitinka pirkimo dokumentuose nustatytus techninius reikalavimus ir jos savybės tokios:“</w:t>
      </w:r>
    </w:p>
    <w:p w14:paraId="4D54EB46" w14:textId="77777777" w:rsidR="00DE284B" w:rsidRDefault="00DE284B" w:rsidP="009D063F">
      <w:pPr>
        <w:pStyle w:val="ListParagraph"/>
        <w:numPr>
          <w:ilvl w:val="0"/>
          <w:numId w:val="1"/>
        </w:numPr>
        <w:tabs>
          <w:tab w:val="left" w:pos="1134"/>
        </w:tabs>
        <w:ind w:left="0" w:firstLine="720"/>
        <w:jc w:val="both"/>
      </w:pPr>
      <w:r>
        <w:t>Patvirtindamas, kad pasiūlymas atitinka techninės specifikacijos reikalavimus, nurodytus Pirkimo sąlygų 1 priede „Techninė specifikacija“ tiekėjas turi pateikti</w:t>
      </w:r>
      <w:r w:rsidRPr="008A4B4D">
        <w:t xml:space="preserve"> siūlomų prekių atitikimą kokybės ir/ar techniniams reikalavimams dokumentus.</w:t>
      </w:r>
    </w:p>
    <w:p w14:paraId="4DD2C9C0" w14:textId="77777777" w:rsidR="00DE284B" w:rsidRDefault="00DE284B" w:rsidP="009D063F">
      <w:pPr>
        <w:pStyle w:val="ListParagraph"/>
        <w:numPr>
          <w:ilvl w:val="0"/>
          <w:numId w:val="1"/>
        </w:numPr>
        <w:tabs>
          <w:tab w:val="left" w:pos="1134"/>
        </w:tabs>
        <w:ind w:left="0" w:firstLine="720"/>
        <w:jc w:val="both"/>
      </w:pPr>
      <w:r>
        <w:t>Tiekėjas, teikdamas pasiūlymą pirkimui, patvirtina, kad vykdant viešojo pirkimo-pardavimo sutartį įsigyjamas objektas atitiks šiuos reikalavimus:</w:t>
      </w:r>
    </w:p>
    <w:p w14:paraId="2A92A51D" w14:textId="77777777" w:rsidR="00A51ED7" w:rsidRDefault="00A51ED7" w:rsidP="00A51ED7">
      <w:pPr>
        <w:spacing w:line="276" w:lineRule="auto"/>
        <w:jc w:val="both"/>
      </w:pPr>
    </w:p>
    <w:tbl>
      <w:tblPr>
        <w:tblStyle w:val="TableGrid"/>
        <w:tblW w:w="0" w:type="auto"/>
        <w:tblLook w:val="04A0" w:firstRow="1" w:lastRow="0" w:firstColumn="1" w:lastColumn="0" w:noHBand="0" w:noVBand="1"/>
      </w:tblPr>
      <w:tblGrid>
        <w:gridCol w:w="4981"/>
        <w:gridCol w:w="4981"/>
      </w:tblGrid>
      <w:tr w:rsidR="00A51ED7" w:rsidRPr="009F5680" w14:paraId="2731F1BC" w14:textId="77777777" w:rsidTr="00AA6909">
        <w:tc>
          <w:tcPr>
            <w:tcW w:w="4981" w:type="dxa"/>
          </w:tcPr>
          <w:p w14:paraId="56D5259F" w14:textId="77777777" w:rsidR="00A51ED7" w:rsidRDefault="00A51ED7" w:rsidP="00AA6909">
            <w:pPr>
              <w:suppressAutoHyphens/>
              <w:spacing w:line="276" w:lineRule="auto"/>
              <w:jc w:val="center"/>
              <w:rPr>
                <w:b/>
                <w:lang w:eastAsia="en-US"/>
              </w:rPr>
            </w:pPr>
          </w:p>
          <w:p w14:paraId="4A1127AB" w14:textId="77777777" w:rsidR="00A51ED7" w:rsidRDefault="00A51ED7" w:rsidP="00AA6909">
            <w:pPr>
              <w:suppressAutoHyphens/>
              <w:spacing w:line="276" w:lineRule="auto"/>
              <w:jc w:val="center"/>
              <w:rPr>
                <w:b/>
                <w:lang w:eastAsia="en-US"/>
              </w:rPr>
            </w:pPr>
          </w:p>
          <w:p w14:paraId="0F2B9BF9" w14:textId="77777777" w:rsidR="00A51ED7" w:rsidRDefault="00A51ED7" w:rsidP="00AA6909">
            <w:pPr>
              <w:suppressAutoHyphens/>
              <w:spacing w:line="276" w:lineRule="auto"/>
              <w:jc w:val="center"/>
              <w:rPr>
                <w:b/>
                <w:lang w:eastAsia="en-US"/>
              </w:rPr>
            </w:pPr>
          </w:p>
          <w:p w14:paraId="170B5290" w14:textId="77777777" w:rsidR="00A51ED7" w:rsidRDefault="00A51ED7" w:rsidP="00AA6909">
            <w:pPr>
              <w:suppressAutoHyphens/>
              <w:spacing w:line="276" w:lineRule="auto"/>
              <w:jc w:val="center"/>
              <w:rPr>
                <w:b/>
                <w:lang w:eastAsia="en-US"/>
              </w:rPr>
            </w:pPr>
            <w:r>
              <w:rPr>
                <w:b/>
                <w:lang w:eastAsia="en-US"/>
              </w:rPr>
              <w:t>Pirkimo dokumentuose nurodyta reikšmė</w:t>
            </w:r>
          </w:p>
          <w:p w14:paraId="286B0D25" w14:textId="77777777" w:rsidR="00A51ED7" w:rsidRPr="009F5680" w:rsidRDefault="00A51ED7" w:rsidP="00AA6909">
            <w:pPr>
              <w:suppressAutoHyphens/>
              <w:spacing w:line="276" w:lineRule="auto"/>
              <w:jc w:val="both"/>
              <w:rPr>
                <w:b/>
                <w:lang w:eastAsia="en-US"/>
              </w:rPr>
            </w:pPr>
          </w:p>
        </w:tc>
        <w:tc>
          <w:tcPr>
            <w:tcW w:w="4981" w:type="dxa"/>
          </w:tcPr>
          <w:p w14:paraId="20B00142" w14:textId="77777777" w:rsidR="00A51ED7" w:rsidRDefault="00A51ED7" w:rsidP="00AA6909">
            <w:pPr>
              <w:suppressAutoHyphens/>
              <w:spacing w:line="276" w:lineRule="auto"/>
              <w:jc w:val="center"/>
              <w:rPr>
                <w:i/>
                <w:lang w:eastAsia="en-US"/>
              </w:rPr>
            </w:pPr>
            <w:r>
              <w:rPr>
                <w:i/>
                <w:lang w:eastAsia="en-US"/>
              </w:rPr>
              <w:t>Siūloma prekė</w:t>
            </w:r>
            <w:r w:rsidRPr="009F5680">
              <w:rPr>
                <w:i/>
                <w:lang w:eastAsia="en-US"/>
              </w:rPr>
              <w:t xml:space="preserve"> visiškai atitinka pirkimo dokumentuose nustatytus techninius reikalavimus ir jos savybės tokios: </w:t>
            </w:r>
          </w:p>
          <w:p w14:paraId="1B2CF7FA" w14:textId="77777777" w:rsidR="00A51ED7" w:rsidRPr="009F5680" w:rsidRDefault="00DE284B" w:rsidP="00F61862">
            <w:pPr>
              <w:suppressAutoHyphens/>
              <w:spacing w:line="276" w:lineRule="auto"/>
              <w:jc w:val="center"/>
              <w:rPr>
                <w:i/>
                <w:color w:val="FF0000"/>
                <w:lang w:eastAsia="en-US"/>
              </w:rPr>
            </w:pPr>
            <w:r w:rsidRPr="00416C35">
              <w:rPr>
                <w:i/>
                <w:color w:val="FF0000"/>
              </w:rPr>
              <w:t>(Tiekėjas turi pažymėti TAIP/NE ir/ar pateikti tikslias reikšmes</w:t>
            </w:r>
            <w:r>
              <w:rPr>
                <w:b/>
                <w:i/>
                <w:color w:val="FF0000"/>
              </w:rPr>
              <w:t xml:space="preserve"> bei </w:t>
            </w:r>
            <w:r w:rsidRPr="00416C35">
              <w:rPr>
                <w:b/>
                <w:i/>
                <w:color w:val="FF0000"/>
              </w:rPr>
              <w:t>pateikti nuorodą į pridėtus dokumentus kuriuose yra informacija patvirtinanti lentelėje pateiktus duomenis</w:t>
            </w:r>
            <w:r w:rsidRPr="00416C35">
              <w:rPr>
                <w:i/>
                <w:color w:val="FF0000"/>
              </w:rPr>
              <w:t>).</w:t>
            </w:r>
          </w:p>
        </w:tc>
      </w:tr>
      <w:tr w:rsidR="00A51ED7" w:rsidRPr="009F5680" w14:paraId="03A75B66" w14:textId="77777777" w:rsidTr="00A51ED7">
        <w:trPr>
          <w:trHeight w:val="619"/>
        </w:trPr>
        <w:tc>
          <w:tcPr>
            <w:tcW w:w="9962" w:type="dxa"/>
            <w:gridSpan w:val="2"/>
            <w:shd w:val="clear" w:color="auto" w:fill="E7E6E6" w:themeFill="background2"/>
          </w:tcPr>
          <w:p w14:paraId="421390D0" w14:textId="77777777" w:rsidR="00A51ED7" w:rsidRPr="00A51ED7" w:rsidRDefault="00DE284B" w:rsidP="00A51ED7">
            <w:pPr>
              <w:pStyle w:val="ListParagraph"/>
              <w:numPr>
                <w:ilvl w:val="0"/>
                <w:numId w:val="2"/>
              </w:numPr>
              <w:suppressAutoHyphens/>
              <w:spacing w:before="120" w:line="276" w:lineRule="auto"/>
              <w:jc w:val="center"/>
              <w:rPr>
                <w:b/>
                <w:lang w:eastAsia="en-US"/>
              </w:rPr>
            </w:pPr>
            <w:r>
              <w:rPr>
                <w:b/>
                <w:lang w:eastAsia="en-US"/>
              </w:rPr>
              <w:t>Bendrieji reikalavimai</w:t>
            </w:r>
          </w:p>
        </w:tc>
      </w:tr>
      <w:tr w:rsidR="00A51ED7" w:rsidRPr="008847A3" w14:paraId="09F0C650" w14:textId="77777777" w:rsidTr="00AA6909">
        <w:trPr>
          <w:trHeight w:val="620"/>
        </w:trPr>
        <w:tc>
          <w:tcPr>
            <w:tcW w:w="4981" w:type="dxa"/>
          </w:tcPr>
          <w:p w14:paraId="466A17BE" w14:textId="005D52CA" w:rsidR="00A51ED7" w:rsidRPr="00A51ED7" w:rsidRDefault="00416C35" w:rsidP="006A7784">
            <w:pPr>
              <w:pStyle w:val="ListParagraph"/>
              <w:tabs>
                <w:tab w:val="left" w:pos="851"/>
                <w:tab w:val="left" w:pos="1134"/>
              </w:tabs>
              <w:ind w:left="0"/>
              <w:jc w:val="both"/>
            </w:pPr>
            <w:r>
              <w:rPr>
                <w:kern w:val="2"/>
                <w:lang w:eastAsia="en-US"/>
                <w14:ligatures w14:val="standardContextual"/>
              </w:rPr>
              <w:t xml:space="preserve">1.1. </w:t>
            </w:r>
            <w:r w:rsidRPr="00B100E5">
              <w:rPr>
                <w:kern w:val="2"/>
                <w:lang w:eastAsia="en-US"/>
                <w14:ligatures w14:val="standardContextual"/>
              </w:rPr>
              <w:t>Programinė įranga</w:t>
            </w:r>
            <w:r w:rsidR="006A7784" w:rsidRPr="00B100E5" w:rsidDel="006A7784">
              <w:rPr>
                <w:kern w:val="2"/>
                <w:lang w:eastAsia="en-US"/>
                <w14:ligatures w14:val="standardContextual"/>
              </w:rPr>
              <w:t xml:space="preserve"> </w:t>
            </w:r>
            <w:r w:rsidRPr="00B100E5">
              <w:rPr>
                <w:kern w:val="2"/>
                <w:lang w:eastAsia="en-US"/>
                <w14:ligatures w14:val="standardContextual"/>
              </w:rPr>
              <w:t>uri būti pateikta gamintojo arba gamintojo įgalioto asmens</w:t>
            </w:r>
            <w:r w:rsidR="003D60FC">
              <w:rPr>
                <w:kern w:val="2"/>
                <w:lang w:eastAsia="en-US"/>
                <w14:ligatures w14:val="standardContextual"/>
              </w:rPr>
              <w:t>.</w:t>
            </w:r>
          </w:p>
        </w:tc>
        <w:tc>
          <w:tcPr>
            <w:tcW w:w="4981" w:type="dxa"/>
          </w:tcPr>
          <w:p w14:paraId="12F17885" w14:textId="77777777" w:rsidR="00A51ED7" w:rsidRDefault="008C10B5" w:rsidP="008C10B5">
            <w:pPr>
              <w:jc w:val="center"/>
              <w:rPr>
                <w:i/>
                <w:color w:val="FF0000"/>
              </w:rPr>
            </w:pPr>
            <w:r w:rsidRPr="008C10B5">
              <w:rPr>
                <w:i/>
                <w:color w:val="FF0000"/>
              </w:rPr>
              <w:t>Taip/Ne</w:t>
            </w:r>
          </w:p>
          <w:p w14:paraId="62E86ED5" w14:textId="54A93F7C" w:rsidR="009F23FB" w:rsidRPr="008C10B5" w:rsidRDefault="009F23FB" w:rsidP="008C10B5">
            <w:pPr>
              <w:jc w:val="center"/>
              <w:rPr>
                <w:i/>
                <w:color w:val="000000" w:themeColor="text1"/>
              </w:rPr>
            </w:pPr>
            <w:r w:rsidRPr="008C10B5">
              <w:rPr>
                <w:i/>
                <w:color w:val="FF0000"/>
              </w:rPr>
              <w:t>(tikslus aprašymas)</w:t>
            </w:r>
          </w:p>
        </w:tc>
      </w:tr>
      <w:tr w:rsidR="00416C35" w:rsidRPr="008847A3" w14:paraId="7C942875" w14:textId="77777777" w:rsidTr="00AA6909">
        <w:trPr>
          <w:trHeight w:val="620"/>
        </w:trPr>
        <w:tc>
          <w:tcPr>
            <w:tcW w:w="4981" w:type="dxa"/>
          </w:tcPr>
          <w:p w14:paraId="55D70001" w14:textId="16C08F65" w:rsidR="00416C35" w:rsidRDefault="00416C35" w:rsidP="00107DDB">
            <w:pPr>
              <w:pStyle w:val="ListParagraph"/>
              <w:tabs>
                <w:tab w:val="left" w:pos="851"/>
                <w:tab w:val="left" w:pos="1134"/>
              </w:tabs>
              <w:ind w:left="0"/>
              <w:jc w:val="both"/>
              <w:rPr>
                <w:kern w:val="2"/>
                <w:lang w:eastAsia="en-US"/>
                <w14:ligatures w14:val="standardContextual"/>
              </w:rPr>
            </w:pPr>
            <w:r>
              <w:rPr>
                <w:kern w:val="2"/>
                <w:lang w:eastAsia="en-US"/>
                <w14:ligatures w14:val="standardContextual"/>
              </w:rPr>
              <w:t xml:space="preserve">1.2. </w:t>
            </w:r>
            <w:r w:rsidRPr="00B100E5">
              <w:rPr>
                <w:kern w:val="2"/>
                <w:lang w:eastAsia="en-US"/>
                <w14:ligatures w14:val="standardContextual"/>
              </w:rPr>
              <w:t>Programinės įrangos dokumentacija turi būti lietuvių arba anglų kalba. Gamintojo interneto svetainėje dokumentų paieška atliekama anglų arba lietuvių kalba</w:t>
            </w:r>
            <w:r>
              <w:rPr>
                <w:kern w:val="2"/>
                <w:lang w:eastAsia="en-US"/>
                <w14:ligatures w14:val="standardContextual"/>
              </w:rPr>
              <w:t>.</w:t>
            </w:r>
          </w:p>
        </w:tc>
        <w:tc>
          <w:tcPr>
            <w:tcW w:w="4981" w:type="dxa"/>
          </w:tcPr>
          <w:p w14:paraId="417B6D81" w14:textId="77777777" w:rsidR="00C56C86" w:rsidRDefault="00C56C86" w:rsidP="00C56C86">
            <w:pPr>
              <w:jc w:val="center"/>
              <w:rPr>
                <w:i/>
                <w:color w:val="FF0000"/>
              </w:rPr>
            </w:pPr>
            <w:r w:rsidRPr="008C10B5">
              <w:rPr>
                <w:i/>
                <w:color w:val="FF0000"/>
              </w:rPr>
              <w:t>Taip/Ne</w:t>
            </w:r>
          </w:p>
          <w:p w14:paraId="3427F94F" w14:textId="3724B63F" w:rsidR="00416C35" w:rsidRDefault="00C56C86" w:rsidP="00C56C86">
            <w:pPr>
              <w:suppressAutoHyphens/>
              <w:spacing w:line="276" w:lineRule="auto"/>
              <w:jc w:val="center"/>
              <w:rPr>
                <w:color w:val="FF0000"/>
                <w:lang w:eastAsia="en-US"/>
              </w:rPr>
            </w:pPr>
            <w:r w:rsidRPr="008C10B5">
              <w:rPr>
                <w:i/>
                <w:color w:val="FF0000"/>
              </w:rPr>
              <w:t>(tikslus aprašymas)</w:t>
            </w:r>
          </w:p>
        </w:tc>
      </w:tr>
      <w:tr w:rsidR="00DE284B" w:rsidRPr="008847A3" w14:paraId="716B01C7" w14:textId="77777777" w:rsidTr="00AA6909">
        <w:trPr>
          <w:trHeight w:val="620"/>
        </w:trPr>
        <w:tc>
          <w:tcPr>
            <w:tcW w:w="4981" w:type="dxa"/>
          </w:tcPr>
          <w:p w14:paraId="74F491DF" w14:textId="78590150" w:rsidR="00DE284B" w:rsidRPr="00A51ED7" w:rsidRDefault="00C56C86" w:rsidP="009D063F">
            <w:pPr>
              <w:pStyle w:val="ListParagraph"/>
              <w:tabs>
                <w:tab w:val="left" w:pos="851"/>
                <w:tab w:val="left" w:pos="1134"/>
              </w:tabs>
              <w:ind w:left="0"/>
              <w:jc w:val="both"/>
            </w:pPr>
            <w:r>
              <w:rPr>
                <w:kern w:val="2"/>
                <w:lang w:eastAsia="en-US"/>
                <w14:ligatures w14:val="standardContextual"/>
              </w:rPr>
              <w:t xml:space="preserve">1.3. </w:t>
            </w:r>
            <w:r w:rsidRPr="00B100E5">
              <w:rPr>
                <w:kern w:val="2"/>
                <w:lang w:eastAsia="en-US"/>
                <w14:ligatures w14:val="standardContextual"/>
              </w:rPr>
              <w:t xml:space="preserve">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w:t>
            </w:r>
            <w:r w:rsidRPr="00B100E5">
              <w:rPr>
                <w:b/>
                <w:bCs/>
                <w:kern w:val="2"/>
                <w:lang w:eastAsia="en-US"/>
                <w14:ligatures w14:val="standardContextual"/>
              </w:rPr>
              <w:t>pagrįsti tiksliomis nuorodomis į gamintojo internetiniame puslapyje esančią informaciją</w:t>
            </w:r>
            <w:r w:rsidRPr="00B100E5">
              <w:rPr>
                <w:kern w:val="2"/>
                <w:lang w:eastAsia="en-US"/>
                <w14:ligatures w14:val="standardContextual"/>
              </w:rPr>
              <w:t xml:space="preserve"> </w:t>
            </w:r>
            <w:r w:rsidRPr="00B100E5">
              <w:rPr>
                <w:b/>
                <w:bCs/>
                <w:kern w:val="2"/>
                <w:lang w:eastAsia="en-US"/>
                <w14:ligatures w14:val="standardContextual"/>
              </w:rPr>
              <w:t>arba kitus gamintojo oficialius dokumentus</w:t>
            </w:r>
            <w:r w:rsidRPr="00B100E5">
              <w:rPr>
                <w:kern w:val="2"/>
                <w:lang w:eastAsia="en-US"/>
                <w14:ligatures w14:val="standardContextual"/>
              </w:rPr>
              <w:t>, nurodant dokumentą ir puslapio numerį</w:t>
            </w:r>
            <w:r>
              <w:rPr>
                <w:kern w:val="2"/>
                <w:lang w:eastAsia="en-US"/>
                <w14:ligatures w14:val="standardContextual"/>
              </w:rPr>
              <w:t>.</w:t>
            </w:r>
          </w:p>
        </w:tc>
        <w:tc>
          <w:tcPr>
            <w:tcW w:w="4981" w:type="dxa"/>
          </w:tcPr>
          <w:p w14:paraId="658D1BA9" w14:textId="7B72842F" w:rsidR="00DE284B" w:rsidRDefault="008C10B5" w:rsidP="00D464CC">
            <w:pPr>
              <w:suppressAutoHyphens/>
              <w:spacing w:line="276" w:lineRule="auto"/>
              <w:jc w:val="center"/>
              <w:rPr>
                <w:color w:val="FF0000"/>
                <w:lang w:eastAsia="en-US"/>
              </w:rPr>
            </w:pPr>
            <w:r w:rsidRPr="008C10B5">
              <w:rPr>
                <w:i/>
                <w:color w:val="FF0000"/>
              </w:rPr>
              <w:t xml:space="preserve">Pateikti nuorodą ar nuorodas į gamintojo interneto puslapį, kuriame yra tiksli pasiūlymą atitinkančios </w:t>
            </w:r>
            <w:r w:rsidR="00D464CC">
              <w:rPr>
                <w:i/>
                <w:color w:val="FF0000"/>
              </w:rPr>
              <w:t>programinės įrangos</w:t>
            </w:r>
            <w:r w:rsidRPr="008C10B5">
              <w:rPr>
                <w:i/>
                <w:color w:val="FF0000"/>
              </w:rPr>
              <w:t xml:space="preserve"> techninė specifikacija arba pat</w:t>
            </w:r>
            <w:r>
              <w:rPr>
                <w:i/>
                <w:color w:val="FF0000"/>
              </w:rPr>
              <w:t xml:space="preserve">eikti gamintojo parengtą siūlomos </w:t>
            </w:r>
            <w:r w:rsidR="00D464CC">
              <w:rPr>
                <w:i/>
                <w:color w:val="FF0000"/>
              </w:rPr>
              <w:t>programinės įrangos</w:t>
            </w:r>
            <w:r w:rsidRPr="008C10B5">
              <w:rPr>
                <w:i/>
                <w:color w:val="FF0000"/>
              </w:rPr>
              <w:t xml:space="preserve"> aprašymą.</w:t>
            </w:r>
          </w:p>
        </w:tc>
      </w:tr>
      <w:tr w:rsidR="00DE284B" w:rsidRPr="008847A3" w14:paraId="08FADFA2" w14:textId="77777777" w:rsidTr="00AA6909">
        <w:trPr>
          <w:trHeight w:val="620"/>
        </w:trPr>
        <w:tc>
          <w:tcPr>
            <w:tcW w:w="4981" w:type="dxa"/>
          </w:tcPr>
          <w:p w14:paraId="313011E6" w14:textId="2A6DB64A" w:rsidR="00DE284B" w:rsidRPr="00A51ED7" w:rsidRDefault="00D464CC" w:rsidP="006A7784">
            <w:pPr>
              <w:pStyle w:val="ListParagraph"/>
              <w:tabs>
                <w:tab w:val="left" w:pos="851"/>
                <w:tab w:val="left" w:pos="1134"/>
              </w:tabs>
              <w:ind w:left="0"/>
              <w:jc w:val="both"/>
            </w:pPr>
            <w:r>
              <w:rPr>
                <w:kern w:val="2"/>
                <w:lang w:eastAsia="en-US"/>
                <w14:ligatures w14:val="standardContextual"/>
              </w:rPr>
              <w:t>1</w:t>
            </w:r>
            <w:bookmarkStart w:id="0" w:name="_GoBack"/>
            <w:r>
              <w:rPr>
                <w:kern w:val="2"/>
                <w:lang w:eastAsia="en-US"/>
                <w14:ligatures w14:val="standardContextual"/>
              </w:rPr>
              <w:t xml:space="preserve">.4. </w:t>
            </w:r>
            <w:r w:rsidRPr="00B100E5">
              <w:rPr>
                <w:kern w:val="2"/>
                <w:lang w:eastAsia="en-US"/>
                <w14:ligatures w14:val="standardContextual"/>
              </w:rPr>
              <w:t>PT</w:t>
            </w:r>
            <w:r w:rsidR="006A7784" w:rsidRPr="00B100E5" w:rsidDel="006A7784">
              <w:rPr>
                <w:kern w:val="2"/>
                <w:lang w:eastAsia="en-US"/>
                <w14:ligatures w14:val="standardContextual"/>
              </w:rPr>
              <w:t xml:space="preserve"> </w:t>
            </w:r>
            <w:r w:rsidRPr="00B100E5">
              <w:rPr>
                <w:kern w:val="2"/>
                <w:lang w:eastAsia="en-US"/>
                <w14:ligatures w14:val="standardContextual"/>
              </w:rPr>
              <w:t xml:space="preserve">uri pateikti </w:t>
            </w:r>
            <w:r w:rsidRPr="00B100E5">
              <w:rPr>
                <w:b/>
                <w:bCs/>
                <w:kern w:val="2"/>
                <w:lang w:eastAsia="en-US"/>
                <w14:ligatures w14:val="standardContextual"/>
              </w:rPr>
              <w:t>tikslias siūlomos Programinės įrangos konfigūracijas</w:t>
            </w:r>
            <w:r w:rsidRPr="00B100E5">
              <w:rPr>
                <w:kern w:val="2"/>
                <w:lang w:eastAsia="en-US"/>
                <w14:ligatures w14:val="standardContextual"/>
              </w:rPr>
              <w:t xml:space="preserve">. Atitikimas </w:t>
            </w:r>
            <w:r w:rsidRPr="00B100E5">
              <w:rPr>
                <w:kern w:val="2"/>
                <w:lang w:eastAsia="en-US"/>
                <w14:ligatures w14:val="standardContextual"/>
              </w:rPr>
              <w:lastRenderedPageBreak/>
              <w:t>techninės specifikacijos reikalavimams turi būti užtikrintas esant tokiai pačiai (vienodai) siūlomos Programinės įrangos konfigūracijai</w:t>
            </w:r>
            <w:r>
              <w:rPr>
                <w:kern w:val="2"/>
                <w:lang w:eastAsia="en-US"/>
                <w14:ligatures w14:val="standardContextual"/>
              </w:rPr>
              <w:t>.</w:t>
            </w:r>
            <w:bookmarkEnd w:id="0"/>
          </w:p>
        </w:tc>
        <w:tc>
          <w:tcPr>
            <w:tcW w:w="4981" w:type="dxa"/>
          </w:tcPr>
          <w:p w14:paraId="1C2B7FE5" w14:textId="77777777" w:rsidR="008C10B5" w:rsidRDefault="008C10B5" w:rsidP="008C10B5">
            <w:pPr>
              <w:jc w:val="center"/>
              <w:rPr>
                <w:i/>
                <w:color w:val="000000" w:themeColor="text1"/>
              </w:rPr>
            </w:pPr>
          </w:p>
          <w:p w14:paraId="4BD637C7" w14:textId="77777777" w:rsidR="008C10B5" w:rsidRPr="008C10B5" w:rsidRDefault="008C10B5" w:rsidP="008C10B5">
            <w:pPr>
              <w:jc w:val="center"/>
              <w:rPr>
                <w:i/>
                <w:color w:val="FF0000"/>
              </w:rPr>
            </w:pPr>
            <w:r w:rsidRPr="008C10B5">
              <w:rPr>
                <w:i/>
                <w:color w:val="FF0000"/>
              </w:rPr>
              <w:t>Taip/Ne</w:t>
            </w:r>
          </w:p>
          <w:p w14:paraId="3D392D70" w14:textId="77777777" w:rsidR="00DE284B" w:rsidRPr="00FA1734" w:rsidRDefault="008C10B5" w:rsidP="008C10B5">
            <w:pPr>
              <w:suppressAutoHyphens/>
              <w:spacing w:line="276" w:lineRule="auto"/>
              <w:jc w:val="center"/>
              <w:rPr>
                <w:i/>
                <w:color w:val="FF0000"/>
              </w:rPr>
            </w:pPr>
            <w:r w:rsidRPr="00FA1734">
              <w:rPr>
                <w:i/>
                <w:color w:val="FF0000"/>
              </w:rPr>
              <w:lastRenderedPageBreak/>
              <w:t>(tikslus aprašymas)</w:t>
            </w:r>
          </w:p>
          <w:p w14:paraId="7426A0FC" w14:textId="48ED32FE" w:rsidR="00D464CC" w:rsidRPr="00D464CC" w:rsidRDefault="00D464CC" w:rsidP="008C10B5">
            <w:pPr>
              <w:suppressAutoHyphens/>
              <w:spacing w:line="276" w:lineRule="auto"/>
              <w:jc w:val="center"/>
              <w:rPr>
                <w:i/>
                <w:color w:val="FF0000"/>
                <w:lang w:eastAsia="en-US"/>
              </w:rPr>
            </w:pPr>
            <w:r w:rsidRPr="00FA1734">
              <w:rPr>
                <w:i/>
                <w:color w:val="FF0000"/>
                <w:kern w:val="2"/>
                <w14:ligatures w14:val="standardContextual"/>
              </w:rPr>
              <w:t xml:space="preserve">Pateikti </w:t>
            </w:r>
            <w:r w:rsidRPr="00FA1734">
              <w:rPr>
                <w:bCs/>
                <w:i/>
                <w:color w:val="FF0000"/>
                <w:kern w:val="2"/>
                <w14:ligatures w14:val="standardContextual"/>
              </w:rPr>
              <w:t>tikslias siūlomos Programinės įrangos konfigūracijas</w:t>
            </w:r>
          </w:p>
        </w:tc>
      </w:tr>
      <w:tr w:rsidR="00DE284B" w:rsidRPr="008847A3" w14:paraId="6B696DE6" w14:textId="77777777" w:rsidTr="00AA6909">
        <w:trPr>
          <w:trHeight w:val="620"/>
        </w:trPr>
        <w:tc>
          <w:tcPr>
            <w:tcW w:w="4981" w:type="dxa"/>
          </w:tcPr>
          <w:p w14:paraId="1B61F58A" w14:textId="61914826" w:rsidR="00D464CC" w:rsidRDefault="00D464CC" w:rsidP="009D063F">
            <w:pPr>
              <w:pStyle w:val="ListParagraph"/>
              <w:tabs>
                <w:tab w:val="left" w:pos="851"/>
                <w:tab w:val="left" w:pos="1134"/>
              </w:tabs>
              <w:ind w:left="0"/>
              <w:jc w:val="both"/>
            </w:pPr>
            <w:r>
              <w:lastRenderedPageBreak/>
              <w:t xml:space="preserve">1.5. </w:t>
            </w:r>
            <w:r w:rsidRPr="00B100E5">
              <w:rPr>
                <w:kern w:val="2"/>
                <w:lang w:eastAsia="en-US"/>
                <w14:ligatures w14:val="standardContextual"/>
              </w:rPr>
              <w:t xml:space="preserve">PT turi užtikrinti, kad gamintojas nėra paskelbęs žinios apie programinės įrangos gamybos arba tobulinimo nutraukimą (pvz., angl. </w:t>
            </w:r>
            <w:r w:rsidRPr="00B100E5">
              <w:rPr>
                <w:i/>
                <w:iCs/>
                <w:kern w:val="2"/>
                <w:lang w:eastAsia="en-US"/>
                <w14:ligatures w14:val="standardContextual"/>
              </w:rPr>
              <w:t>end of life time</w:t>
            </w:r>
            <w:r w:rsidRPr="00B100E5">
              <w:rPr>
                <w:kern w:val="2"/>
                <w:lang w:eastAsia="en-US"/>
                <w14:ligatures w14:val="standardContextual"/>
              </w:rPr>
              <w:t xml:space="preserve"> arba </w:t>
            </w:r>
            <w:r w:rsidRPr="00B100E5">
              <w:rPr>
                <w:i/>
                <w:iCs/>
                <w:kern w:val="2"/>
                <w:lang w:eastAsia="en-US"/>
                <w14:ligatures w14:val="standardContextual"/>
              </w:rPr>
              <w:t>Discontinued</w:t>
            </w:r>
            <w:r w:rsidRPr="00B100E5">
              <w:rPr>
                <w:kern w:val="2"/>
                <w:lang w:eastAsia="en-US"/>
                <w14:ligatures w14:val="standardContextual"/>
              </w:rPr>
              <w:t>)</w:t>
            </w:r>
          </w:p>
          <w:p w14:paraId="787B5B7D" w14:textId="2F71CA3D" w:rsidR="00DE284B" w:rsidRPr="00D464CC" w:rsidRDefault="00D464CC" w:rsidP="00D464CC">
            <w:pPr>
              <w:tabs>
                <w:tab w:val="left" w:pos="851"/>
              </w:tabs>
            </w:pPr>
            <w:r>
              <w:tab/>
            </w:r>
          </w:p>
        </w:tc>
        <w:tc>
          <w:tcPr>
            <w:tcW w:w="4981" w:type="dxa"/>
          </w:tcPr>
          <w:p w14:paraId="06DC7334" w14:textId="77777777" w:rsidR="008C10B5" w:rsidRPr="008C10B5" w:rsidRDefault="008C10B5" w:rsidP="008C10B5">
            <w:pPr>
              <w:jc w:val="center"/>
              <w:rPr>
                <w:i/>
                <w:color w:val="FF0000"/>
              </w:rPr>
            </w:pPr>
            <w:r w:rsidRPr="008C10B5">
              <w:rPr>
                <w:i/>
                <w:color w:val="FF0000"/>
              </w:rPr>
              <w:t>Taip/Ne</w:t>
            </w:r>
          </w:p>
          <w:p w14:paraId="523C3927" w14:textId="6F7338CF" w:rsidR="00DE284B" w:rsidRPr="00D464CC" w:rsidRDefault="00D464CC" w:rsidP="00D464CC">
            <w:pPr>
              <w:ind w:firstLine="720"/>
              <w:jc w:val="center"/>
              <w:rPr>
                <w:i/>
                <w:color w:val="FF0000"/>
              </w:rPr>
            </w:pPr>
            <w:r w:rsidRPr="00D464CC">
              <w:rPr>
                <w:i/>
                <w:color w:val="FF0000"/>
              </w:rPr>
              <w:t xml:space="preserve">Pateikti gamintojo ir (ar) tiekėjo  užtikrinimą, kad gamintojas nėra paskelbęs žinios apie </w:t>
            </w:r>
            <w:r w:rsidRPr="00D464CC">
              <w:rPr>
                <w:i/>
                <w:color w:val="FF0000"/>
                <w:kern w:val="2"/>
                <w14:ligatures w14:val="standardContextual"/>
              </w:rPr>
              <w:t xml:space="preserve">programinės įrangos gamybos arba tobulinimo nutraukimą (pvz., angl. </w:t>
            </w:r>
            <w:r w:rsidRPr="00D464CC">
              <w:rPr>
                <w:i/>
                <w:iCs/>
                <w:color w:val="FF0000"/>
                <w:kern w:val="2"/>
                <w14:ligatures w14:val="standardContextual"/>
              </w:rPr>
              <w:t>end of life time</w:t>
            </w:r>
            <w:r w:rsidRPr="00D464CC">
              <w:rPr>
                <w:i/>
                <w:color w:val="FF0000"/>
                <w:kern w:val="2"/>
                <w14:ligatures w14:val="standardContextual"/>
              </w:rPr>
              <w:t xml:space="preserve"> arba </w:t>
            </w:r>
            <w:r w:rsidRPr="00D464CC">
              <w:rPr>
                <w:i/>
                <w:iCs/>
                <w:color w:val="FF0000"/>
                <w:kern w:val="2"/>
                <w14:ligatures w14:val="standardContextual"/>
              </w:rPr>
              <w:t>Discontinued</w:t>
            </w:r>
            <w:r w:rsidRPr="00D464CC">
              <w:rPr>
                <w:i/>
                <w:color w:val="FF0000"/>
                <w:kern w:val="2"/>
                <w14:ligatures w14:val="standardContextual"/>
              </w:rPr>
              <w:t>)</w:t>
            </w:r>
            <w:r w:rsidRPr="00D464CC">
              <w:rPr>
                <w:i/>
                <w:color w:val="FF0000"/>
              </w:rPr>
              <w:t>.</w:t>
            </w:r>
          </w:p>
        </w:tc>
      </w:tr>
      <w:tr w:rsidR="00DE284B" w:rsidRPr="008847A3" w14:paraId="096D6F11" w14:textId="77777777" w:rsidTr="00AA6909">
        <w:trPr>
          <w:trHeight w:val="620"/>
        </w:trPr>
        <w:tc>
          <w:tcPr>
            <w:tcW w:w="4981" w:type="dxa"/>
          </w:tcPr>
          <w:p w14:paraId="46A9FD80" w14:textId="6302093A" w:rsidR="00DE284B" w:rsidRPr="00A51ED7" w:rsidRDefault="00D464CC" w:rsidP="009D063F">
            <w:pPr>
              <w:pStyle w:val="ListParagraph"/>
              <w:tabs>
                <w:tab w:val="left" w:pos="851"/>
                <w:tab w:val="left" w:pos="1134"/>
              </w:tabs>
              <w:ind w:left="0"/>
              <w:jc w:val="both"/>
            </w:pPr>
            <w:r>
              <w:t xml:space="preserve">1.6. </w:t>
            </w:r>
            <w:r w:rsidRPr="00B100E5">
              <w:rPr>
                <w:kern w:val="2"/>
                <w:lang w:eastAsia="en-US"/>
                <w14:ligatures w14:val="standardContextual"/>
              </w:rPr>
              <w:t xml:space="preserve">Programinė įranga turi būti sertifikuota pagal pagrindinį tarptautinį informacijos saugumo valdymo standartą </w:t>
            </w:r>
            <w:r w:rsidRPr="00B100E5">
              <w:rPr>
                <w:rFonts w:eastAsia="Arial"/>
                <w:kern w:val="2"/>
                <w:lang w:eastAsia="en-US"/>
                <w14:ligatures w14:val="standardContextual"/>
              </w:rPr>
              <w:t>LST EN ISO/IEC 27001:2023</w:t>
            </w:r>
            <w:r w:rsidRPr="00B100E5">
              <w:rPr>
                <w:kern w:val="2"/>
                <w:lang w:eastAsia="en-US"/>
                <w14:ligatures w14:val="standardContextual"/>
              </w:rPr>
              <w:t xml:space="preserve"> (arba lygiavertis)</w:t>
            </w:r>
          </w:p>
        </w:tc>
        <w:tc>
          <w:tcPr>
            <w:tcW w:w="4981" w:type="dxa"/>
          </w:tcPr>
          <w:p w14:paraId="026EF58A" w14:textId="77777777" w:rsidR="008C10B5" w:rsidRPr="008C10B5" w:rsidRDefault="008C10B5" w:rsidP="008C10B5">
            <w:pPr>
              <w:jc w:val="center"/>
              <w:rPr>
                <w:i/>
                <w:color w:val="FF0000"/>
              </w:rPr>
            </w:pPr>
            <w:r w:rsidRPr="008C10B5">
              <w:rPr>
                <w:i/>
                <w:color w:val="FF0000"/>
              </w:rPr>
              <w:t>Taip/Ne</w:t>
            </w:r>
          </w:p>
          <w:p w14:paraId="75CE6108" w14:textId="4BD120FA" w:rsidR="00DE284B" w:rsidRPr="00D464CC" w:rsidRDefault="00D464CC" w:rsidP="008C10B5">
            <w:pPr>
              <w:suppressAutoHyphens/>
              <w:spacing w:line="276" w:lineRule="auto"/>
              <w:jc w:val="center"/>
              <w:rPr>
                <w:i/>
                <w:color w:val="FF0000"/>
                <w:lang w:eastAsia="en-US"/>
              </w:rPr>
            </w:pPr>
            <w:r w:rsidRPr="00D464CC">
              <w:rPr>
                <w:i/>
                <w:color w:val="FF0000"/>
              </w:rPr>
              <w:t xml:space="preserve">Pateikti sertifikatą ir (ar) patvirtinantį dokumentą, kad </w:t>
            </w:r>
            <w:r w:rsidRPr="00D464CC">
              <w:rPr>
                <w:i/>
                <w:color w:val="FF0000"/>
                <w:kern w:val="2"/>
                <w14:ligatures w14:val="standardContextual"/>
              </w:rPr>
              <w:t xml:space="preserve">Programinė įranga turi sertifikuota pagal pagrindinį tarptautinį informacijos saugumo valdymo standartą </w:t>
            </w:r>
            <w:r w:rsidRPr="00D464CC">
              <w:rPr>
                <w:rFonts w:eastAsia="Arial"/>
                <w:i/>
                <w:color w:val="FF0000"/>
                <w:kern w:val="2"/>
                <w14:ligatures w14:val="standardContextual"/>
              </w:rPr>
              <w:t>LST EN ISO/IEC 27001:2023</w:t>
            </w:r>
            <w:r w:rsidRPr="00D464CC">
              <w:rPr>
                <w:i/>
                <w:color w:val="FF0000"/>
                <w:kern w:val="2"/>
                <w14:ligatures w14:val="standardContextual"/>
              </w:rPr>
              <w:t xml:space="preserve"> (arba lygiavertį)</w:t>
            </w:r>
          </w:p>
        </w:tc>
      </w:tr>
      <w:tr w:rsidR="00DE284B" w:rsidRPr="008847A3" w14:paraId="4253EC85" w14:textId="77777777" w:rsidTr="00AA6909">
        <w:trPr>
          <w:trHeight w:val="620"/>
        </w:trPr>
        <w:tc>
          <w:tcPr>
            <w:tcW w:w="4981" w:type="dxa"/>
          </w:tcPr>
          <w:p w14:paraId="464A8CA8" w14:textId="5ECBB3EE" w:rsidR="00DE284B" w:rsidRPr="00A51ED7" w:rsidRDefault="00D464CC" w:rsidP="009D063F">
            <w:pPr>
              <w:pStyle w:val="ListParagraph"/>
              <w:tabs>
                <w:tab w:val="left" w:pos="851"/>
                <w:tab w:val="left" w:pos="1134"/>
              </w:tabs>
              <w:ind w:left="0"/>
              <w:jc w:val="both"/>
            </w:pPr>
            <w:r>
              <w:rPr>
                <w:kern w:val="2"/>
                <w:lang w:eastAsia="en-US"/>
                <w14:ligatures w14:val="standardContextual"/>
              </w:rPr>
              <w:t xml:space="preserve">1.7. </w:t>
            </w:r>
            <w:r w:rsidRPr="00B100E5">
              <w:rPr>
                <w:kern w:val="2"/>
                <w:lang w:eastAsia="en-US"/>
                <w14:ligatures w14:val="standardContextual"/>
              </w:rPr>
              <w:t>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w:t>
            </w:r>
          </w:p>
        </w:tc>
        <w:tc>
          <w:tcPr>
            <w:tcW w:w="4981" w:type="dxa"/>
          </w:tcPr>
          <w:p w14:paraId="3502ECB0" w14:textId="77777777" w:rsidR="008C10B5" w:rsidRDefault="008C10B5" w:rsidP="008C10B5">
            <w:pPr>
              <w:jc w:val="center"/>
              <w:rPr>
                <w:i/>
                <w:color w:val="000000" w:themeColor="text1"/>
              </w:rPr>
            </w:pPr>
          </w:p>
          <w:p w14:paraId="4C3EE5BE" w14:textId="77777777" w:rsidR="008C10B5" w:rsidRPr="008C10B5" w:rsidRDefault="008C10B5" w:rsidP="008C10B5">
            <w:pPr>
              <w:jc w:val="center"/>
              <w:rPr>
                <w:i/>
                <w:color w:val="FF0000"/>
              </w:rPr>
            </w:pPr>
            <w:r w:rsidRPr="008C10B5">
              <w:rPr>
                <w:i/>
                <w:color w:val="FF0000"/>
              </w:rPr>
              <w:t>Taip/Ne</w:t>
            </w:r>
          </w:p>
          <w:p w14:paraId="2ABF446F" w14:textId="77777777" w:rsidR="00D464CC" w:rsidRPr="00D464CC" w:rsidRDefault="00D464CC" w:rsidP="00D464CC">
            <w:pPr>
              <w:ind w:firstLine="720"/>
              <w:jc w:val="center"/>
              <w:rPr>
                <w:i/>
                <w:color w:val="FF0000"/>
              </w:rPr>
            </w:pPr>
            <w:r w:rsidRPr="00D464CC">
              <w:rPr>
                <w:i/>
                <w:color w:val="FF0000"/>
              </w:rPr>
              <w:t>Pateikti tiekėjo ir (ar) gamintojo užtikrinimą, kad įsigyjamoje sistemoje nėra įdiegta jokios papildomos programinės įrangos, kuri nėra būtina tokios įrangos funkcionalumui užtikrinti.</w:t>
            </w:r>
          </w:p>
          <w:p w14:paraId="240080A4" w14:textId="77777777" w:rsidR="00DE284B" w:rsidRDefault="00DE284B" w:rsidP="008C10B5">
            <w:pPr>
              <w:suppressAutoHyphens/>
              <w:spacing w:line="276" w:lineRule="auto"/>
              <w:jc w:val="center"/>
              <w:rPr>
                <w:color w:val="FF0000"/>
                <w:lang w:eastAsia="en-US"/>
              </w:rPr>
            </w:pPr>
          </w:p>
        </w:tc>
      </w:tr>
      <w:tr w:rsidR="00D464CC" w:rsidRPr="008847A3" w14:paraId="14591370" w14:textId="77777777" w:rsidTr="00AA6909">
        <w:trPr>
          <w:trHeight w:val="620"/>
        </w:trPr>
        <w:tc>
          <w:tcPr>
            <w:tcW w:w="4981" w:type="dxa"/>
          </w:tcPr>
          <w:p w14:paraId="266DA0BE" w14:textId="28FD3CFA" w:rsidR="00D464CC" w:rsidRDefault="00D464CC" w:rsidP="009D063F">
            <w:pPr>
              <w:pStyle w:val="ListParagraph"/>
              <w:tabs>
                <w:tab w:val="left" w:pos="851"/>
                <w:tab w:val="left" w:pos="1134"/>
              </w:tabs>
              <w:ind w:left="0"/>
              <w:jc w:val="both"/>
              <w:rPr>
                <w:kern w:val="2"/>
                <w:lang w:eastAsia="en-US"/>
                <w14:ligatures w14:val="standardContextual"/>
              </w:rPr>
            </w:pPr>
            <w:r>
              <w:rPr>
                <w:kern w:val="2"/>
                <w:lang w:eastAsia="en-US"/>
                <w14:ligatures w14:val="standardContextual"/>
              </w:rPr>
              <w:t xml:space="preserve">1.8. </w:t>
            </w:r>
            <w:r w:rsidRPr="00B100E5">
              <w:rPr>
                <w:kern w:val="2"/>
                <w:lang w:eastAsia="en-US"/>
                <w14:ligatures w14:val="standardContextual"/>
              </w:rPr>
              <w:t>Būtina nurodyti pilną siūlomos Programinės įrangos gamintojo pavadinimą, pilną Programinės įrangos pavadinimą (paslaugos lygį ir (arba) paketą (komplektaciją)), išvardinti siūlomos paslaugos komponentus ir jų kiekius. Jeigu siūloma paslauga licencijuojama, būtina pateikti licencijų kodus ir trumpą funkcionalumo aprašymą, kurį kiekviena licencija suteikia ir kaip tai atitinka grėsmių analizės įrangos reikalavimus</w:t>
            </w:r>
          </w:p>
        </w:tc>
        <w:tc>
          <w:tcPr>
            <w:tcW w:w="4981" w:type="dxa"/>
          </w:tcPr>
          <w:p w14:paraId="4B4A97CA" w14:textId="77777777" w:rsidR="00D464CC" w:rsidRDefault="00D464CC" w:rsidP="008C10B5">
            <w:pPr>
              <w:jc w:val="center"/>
              <w:rPr>
                <w:i/>
                <w:color w:val="000000" w:themeColor="text1"/>
              </w:rPr>
            </w:pPr>
          </w:p>
          <w:p w14:paraId="07AE0145" w14:textId="77777777" w:rsidR="00FA1734" w:rsidRDefault="00FA1734" w:rsidP="008C10B5">
            <w:pPr>
              <w:jc w:val="center"/>
              <w:rPr>
                <w:i/>
                <w:color w:val="000000" w:themeColor="text1"/>
              </w:rPr>
            </w:pPr>
          </w:p>
          <w:p w14:paraId="39736239" w14:textId="77777777" w:rsidR="00FA1734" w:rsidRDefault="00FA1734" w:rsidP="00FA1734">
            <w:pPr>
              <w:suppressAutoHyphens/>
              <w:spacing w:line="276" w:lineRule="auto"/>
              <w:jc w:val="center"/>
              <w:rPr>
                <w:color w:val="FF0000"/>
                <w:lang w:eastAsia="en-US"/>
              </w:rPr>
            </w:pPr>
          </w:p>
          <w:p w14:paraId="1A8BFA5A" w14:textId="77777777" w:rsidR="00FA1734" w:rsidRDefault="00FA1734" w:rsidP="00FA1734">
            <w:pPr>
              <w:jc w:val="center"/>
              <w:rPr>
                <w:i/>
                <w:color w:val="FF0000"/>
              </w:rPr>
            </w:pPr>
            <w:r w:rsidRPr="008C10B5">
              <w:rPr>
                <w:i/>
                <w:color w:val="FF0000"/>
              </w:rPr>
              <w:t>Taip/Ne</w:t>
            </w:r>
          </w:p>
          <w:p w14:paraId="56BC641A" w14:textId="071019C7" w:rsidR="00FA1734" w:rsidRDefault="00FA1734" w:rsidP="00FA1734">
            <w:pPr>
              <w:jc w:val="center"/>
              <w:rPr>
                <w:i/>
                <w:color w:val="000000" w:themeColor="text1"/>
              </w:rPr>
            </w:pPr>
            <w:r w:rsidRPr="008C10B5">
              <w:rPr>
                <w:i/>
                <w:color w:val="FF0000"/>
              </w:rPr>
              <w:t>(tikslus aprašymas)</w:t>
            </w:r>
          </w:p>
        </w:tc>
      </w:tr>
      <w:tr w:rsidR="00D464CC" w:rsidRPr="008847A3" w14:paraId="41C565DE" w14:textId="77777777" w:rsidTr="00AA6909">
        <w:trPr>
          <w:trHeight w:val="620"/>
        </w:trPr>
        <w:tc>
          <w:tcPr>
            <w:tcW w:w="4981" w:type="dxa"/>
          </w:tcPr>
          <w:p w14:paraId="021EAB45" w14:textId="64829B44" w:rsidR="00D464CC" w:rsidRDefault="00FA1734" w:rsidP="009D063F">
            <w:pPr>
              <w:pStyle w:val="ListParagraph"/>
              <w:tabs>
                <w:tab w:val="left" w:pos="851"/>
                <w:tab w:val="left" w:pos="1134"/>
              </w:tabs>
              <w:ind w:left="0"/>
              <w:jc w:val="both"/>
              <w:rPr>
                <w:kern w:val="2"/>
                <w:lang w:eastAsia="en-US"/>
                <w14:ligatures w14:val="standardContextual"/>
              </w:rPr>
            </w:pPr>
            <w:r>
              <w:rPr>
                <w:kern w:val="2"/>
                <w:lang w:eastAsia="en-US"/>
                <w14:ligatures w14:val="standardContextual"/>
              </w:rPr>
              <w:t xml:space="preserve">1.9. </w:t>
            </w:r>
            <w:r w:rsidRPr="00B100E5">
              <w:rPr>
                <w:kern w:val="2"/>
                <w:lang w:eastAsia="en-US"/>
                <w14:ligatures w14:val="standardContextual"/>
              </w:rPr>
              <w:t>Siūloma Programinė įranga neturi reikalauti įsidiegti papildomos programinės ar aparatinės įrangos, PO infrastruktūroje, funkcionalumui užtikrinti</w:t>
            </w:r>
            <w:r>
              <w:rPr>
                <w:kern w:val="2"/>
                <w:lang w:eastAsia="en-US"/>
                <w14:ligatures w14:val="standardContextual"/>
              </w:rPr>
              <w:t>.</w:t>
            </w:r>
          </w:p>
        </w:tc>
        <w:tc>
          <w:tcPr>
            <w:tcW w:w="4981" w:type="dxa"/>
          </w:tcPr>
          <w:p w14:paraId="5ED26E4D" w14:textId="77777777" w:rsidR="00D464CC" w:rsidRDefault="00D464CC" w:rsidP="008C10B5">
            <w:pPr>
              <w:jc w:val="center"/>
              <w:rPr>
                <w:i/>
                <w:color w:val="000000" w:themeColor="text1"/>
              </w:rPr>
            </w:pPr>
          </w:p>
          <w:p w14:paraId="49DE7995" w14:textId="77777777" w:rsidR="00FA1734" w:rsidRDefault="00FA1734" w:rsidP="00FA1734">
            <w:pPr>
              <w:jc w:val="center"/>
              <w:rPr>
                <w:i/>
                <w:color w:val="FF0000"/>
              </w:rPr>
            </w:pPr>
            <w:r w:rsidRPr="008C10B5">
              <w:rPr>
                <w:i/>
                <w:color w:val="FF0000"/>
              </w:rPr>
              <w:t>Taip/Ne</w:t>
            </w:r>
          </w:p>
          <w:p w14:paraId="6D9D2C9D" w14:textId="77777777" w:rsidR="00FA1734" w:rsidRDefault="00FA1734" w:rsidP="008C10B5">
            <w:pPr>
              <w:jc w:val="center"/>
              <w:rPr>
                <w:i/>
                <w:color w:val="000000" w:themeColor="text1"/>
              </w:rPr>
            </w:pPr>
          </w:p>
        </w:tc>
      </w:tr>
      <w:tr w:rsidR="00D464CC" w14:paraId="156C1497" w14:textId="77777777" w:rsidTr="00C528A3">
        <w:trPr>
          <w:trHeight w:val="620"/>
        </w:trPr>
        <w:tc>
          <w:tcPr>
            <w:tcW w:w="4981" w:type="dxa"/>
          </w:tcPr>
          <w:p w14:paraId="115246FE" w14:textId="4AD93ACD" w:rsidR="00D464CC" w:rsidRDefault="00FA1734" w:rsidP="00C528A3">
            <w:pPr>
              <w:pStyle w:val="ListParagraph"/>
              <w:tabs>
                <w:tab w:val="left" w:pos="851"/>
                <w:tab w:val="left" w:pos="1134"/>
              </w:tabs>
              <w:ind w:left="0"/>
              <w:jc w:val="both"/>
              <w:rPr>
                <w:kern w:val="2"/>
                <w:lang w:eastAsia="en-US"/>
                <w14:ligatures w14:val="standardContextual"/>
              </w:rPr>
            </w:pPr>
            <w:r>
              <w:rPr>
                <w:kern w:val="2"/>
                <w:lang w:eastAsia="en-US"/>
                <w14:ligatures w14:val="standardContextual"/>
              </w:rPr>
              <w:t xml:space="preserve">1.10. </w:t>
            </w:r>
            <w:r w:rsidRPr="00B100E5">
              <w:rPr>
                <w:kern w:val="2"/>
                <w:lang w:eastAsia="en-US"/>
                <w14:ligatures w14:val="standardContextual"/>
              </w:rPr>
              <w:t>Programinė įranga turi turėti valdymo skydelį teikiantį analitinę informaciją. Paslauga turi būti valdoma per WEB sąsają ir API</w:t>
            </w:r>
            <w:r>
              <w:rPr>
                <w:kern w:val="2"/>
                <w:lang w:eastAsia="en-US"/>
                <w14:ligatures w14:val="standardContextual"/>
              </w:rPr>
              <w:t>.</w:t>
            </w:r>
          </w:p>
        </w:tc>
        <w:tc>
          <w:tcPr>
            <w:tcW w:w="4981" w:type="dxa"/>
          </w:tcPr>
          <w:p w14:paraId="6D0F2CFB" w14:textId="77777777" w:rsidR="00FA1734" w:rsidRDefault="00FA1734" w:rsidP="00FA1734">
            <w:pPr>
              <w:jc w:val="center"/>
              <w:rPr>
                <w:i/>
                <w:color w:val="FF0000"/>
              </w:rPr>
            </w:pPr>
            <w:r w:rsidRPr="008C10B5">
              <w:rPr>
                <w:i/>
                <w:color w:val="FF0000"/>
              </w:rPr>
              <w:t>Taip/Ne</w:t>
            </w:r>
          </w:p>
          <w:p w14:paraId="1C7A2863" w14:textId="7A3D79EA" w:rsidR="00D464CC" w:rsidRDefault="00FA1734" w:rsidP="00FA1734">
            <w:pPr>
              <w:jc w:val="center"/>
              <w:rPr>
                <w:i/>
                <w:color w:val="000000" w:themeColor="text1"/>
              </w:rPr>
            </w:pPr>
            <w:r w:rsidRPr="008C10B5">
              <w:rPr>
                <w:i/>
                <w:color w:val="FF0000"/>
              </w:rPr>
              <w:t>(tikslus aprašymas)</w:t>
            </w:r>
          </w:p>
        </w:tc>
      </w:tr>
      <w:tr w:rsidR="00D464CC" w14:paraId="65920365" w14:textId="77777777" w:rsidTr="00C528A3">
        <w:trPr>
          <w:trHeight w:val="620"/>
        </w:trPr>
        <w:tc>
          <w:tcPr>
            <w:tcW w:w="4981" w:type="dxa"/>
          </w:tcPr>
          <w:p w14:paraId="6E5EA84A" w14:textId="1DE52C44" w:rsidR="00D464CC" w:rsidRDefault="00FA1734" w:rsidP="00C528A3">
            <w:pPr>
              <w:pStyle w:val="ListParagraph"/>
              <w:tabs>
                <w:tab w:val="left" w:pos="851"/>
                <w:tab w:val="left" w:pos="1134"/>
              </w:tabs>
              <w:ind w:left="0"/>
              <w:jc w:val="both"/>
              <w:rPr>
                <w:kern w:val="2"/>
                <w:lang w:eastAsia="en-US"/>
                <w14:ligatures w14:val="standardContextual"/>
              </w:rPr>
            </w:pPr>
            <w:r>
              <w:rPr>
                <w:kern w:val="2"/>
                <w:lang w:eastAsia="en-US"/>
                <w14:ligatures w14:val="standardContextual"/>
              </w:rPr>
              <w:t xml:space="preserve">1.11. </w:t>
            </w:r>
            <w:r w:rsidRPr="00B100E5">
              <w:rPr>
                <w:kern w:val="2"/>
                <w:lang w:eastAsia="en-US"/>
                <w14:ligatures w14:val="standardContextual"/>
              </w:rPr>
              <w:t xml:space="preserve">Visi Programinės įrangos aprašyme pateikti reikalavimai turi būti veikiantys ir įgalinti, jeigu </w:t>
            </w:r>
            <w:r w:rsidRPr="00B100E5">
              <w:rPr>
                <w:kern w:val="2"/>
                <w:lang w:eastAsia="en-US"/>
                <w14:ligatures w14:val="standardContextual"/>
              </w:rPr>
              <w:lastRenderedPageBreak/>
              <w:t>jiems reikalingos papildomos licencijos, jos turi būti pateiktos</w:t>
            </w:r>
          </w:p>
        </w:tc>
        <w:tc>
          <w:tcPr>
            <w:tcW w:w="4981" w:type="dxa"/>
          </w:tcPr>
          <w:p w14:paraId="0E96439E" w14:textId="77777777" w:rsidR="00FA1734" w:rsidRDefault="00FA1734" w:rsidP="00FA1734">
            <w:pPr>
              <w:jc w:val="center"/>
              <w:rPr>
                <w:i/>
                <w:color w:val="FF0000"/>
              </w:rPr>
            </w:pPr>
            <w:r w:rsidRPr="008C10B5">
              <w:rPr>
                <w:i/>
                <w:color w:val="FF0000"/>
              </w:rPr>
              <w:lastRenderedPageBreak/>
              <w:t>Taip/Ne</w:t>
            </w:r>
          </w:p>
          <w:p w14:paraId="406B0B01" w14:textId="35ACBE52" w:rsidR="00D464CC" w:rsidRDefault="00FA1734" w:rsidP="00FA1734">
            <w:pPr>
              <w:jc w:val="center"/>
              <w:rPr>
                <w:i/>
                <w:color w:val="000000" w:themeColor="text1"/>
              </w:rPr>
            </w:pPr>
            <w:r w:rsidRPr="008C10B5">
              <w:rPr>
                <w:i/>
                <w:color w:val="FF0000"/>
              </w:rPr>
              <w:t>(tikslus aprašymas)</w:t>
            </w:r>
          </w:p>
        </w:tc>
      </w:tr>
      <w:tr w:rsidR="00D464CC" w14:paraId="61F562F8" w14:textId="77777777" w:rsidTr="00C528A3">
        <w:trPr>
          <w:trHeight w:val="620"/>
        </w:trPr>
        <w:tc>
          <w:tcPr>
            <w:tcW w:w="4981" w:type="dxa"/>
          </w:tcPr>
          <w:p w14:paraId="2D993852" w14:textId="11E52969" w:rsidR="00D464CC" w:rsidRDefault="00FA1734" w:rsidP="00C528A3">
            <w:pPr>
              <w:pStyle w:val="ListParagraph"/>
              <w:tabs>
                <w:tab w:val="left" w:pos="851"/>
                <w:tab w:val="left" w:pos="1134"/>
              </w:tabs>
              <w:ind w:left="0"/>
              <w:jc w:val="both"/>
              <w:rPr>
                <w:kern w:val="2"/>
                <w:lang w:eastAsia="en-US"/>
                <w14:ligatures w14:val="standardContextual"/>
              </w:rPr>
            </w:pPr>
            <w:r>
              <w:rPr>
                <w:kern w:val="2"/>
                <w:lang w:eastAsia="en-US"/>
                <w14:ligatures w14:val="standardContextual"/>
              </w:rPr>
              <w:t xml:space="preserve">1.12. </w:t>
            </w:r>
            <w:r w:rsidRPr="00B100E5">
              <w:rPr>
                <w:kern w:val="2"/>
                <w:lang w:eastAsia="en-US"/>
                <w14:ligatures w14:val="standardContextual"/>
              </w:rPr>
              <w:t>Jei yra siūloma integruota (ne vieno gamintojo)  programinė įranga (programinis sprendimas), visiems gamintojams turi būti taikomi tokie patys bendrieji, diegimo, specialieji, garantijų ir palaikymo reikalavimai</w:t>
            </w:r>
            <w:r>
              <w:rPr>
                <w:kern w:val="2"/>
                <w:lang w:eastAsia="en-US"/>
                <w14:ligatures w14:val="standardContextual"/>
              </w:rPr>
              <w:t>.</w:t>
            </w:r>
          </w:p>
        </w:tc>
        <w:tc>
          <w:tcPr>
            <w:tcW w:w="4981" w:type="dxa"/>
          </w:tcPr>
          <w:p w14:paraId="31B8A54E" w14:textId="77777777" w:rsidR="00D464CC" w:rsidRDefault="00D464CC" w:rsidP="00C528A3">
            <w:pPr>
              <w:jc w:val="center"/>
              <w:rPr>
                <w:i/>
                <w:color w:val="000000" w:themeColor="text1"/>
              </w:rPr>
            </w:pPr>
          </w:p>
          <w:p w14:paraId="13AA7F26" w14:textId="77777777" w:rsidR="00FA1734" w:rsidRDefault="00FA1734" w:rsidP="00FA1734">
            <w:pPr>
              <w:jc w:val="center"/>
              <w:rPr>
                <w:i/>
                <w:color w:val="FF0000"/>
              </w:rPr>
            </w:pPr>
            <w:r w:rsidRPr="008C10B5">
              <w:rPr>
                <w:i/>
                <w:color w:val="FF0000"/>
              </w:rPr>
              <w:t>Taip/Ne</w:t>
            </w:r>
          </w:p>
          <w:p w14:paraId="6A127A94" w14:textId="0EDC982B" w:rsidR="00FA1734" w:rsidRDefault="00FA1734" w:rsidP="00FA1734">
            <w:pPr>
              <w:jc w:val="center"/>
              <w:rPr>
                <w:i/>
                <w:color w:val="000000" w:themeColor="text1"/>
              </w:rPr>
            </w:pPr>
            <w:r w:rsidRPr="008C10B5">
              <w:rPr>
                <w:i/>
                <w:color w:val="FF0000"/>
              </w:rPr>
              <w:t>(tikslus aprašymas)</w:t>
            </w:r>
          </w:p>
        </w:tc>
      </w:tr>
      <w:tr w:rsidR="00A51ED7" w:rsidRPr="008847A3" w14:paraId="6E89FE32" w14:textId="77777777" w:rsidTr="00AA6909">
        <w:trPr>
          <w:trHeight w:val="620"/>
        </w:trPr>
        <w:tc>
          <w:tcPr>
            <w:tcW w:w="9962" w:type="dxa"/>
            <w:gridSpan w:val="2"/>
            <w:shd w:val="clear" w:color="auto" w:fill="E7E6E6" w:themeFill="background2"/>
          </w:tcPr>
          <w:p w14:paraId="28A57519" w14:textId="6766E3B4" w:rsidR="00A51ED7" w:rsidRPr="00A51ED7" w:rsidRDefault="00FA1734" w:rsidP="00A51ED7">
            <w:pPr>
              <w:pStyle w:val="ListParagraph"/>
              <w:numPr>
                <w:ilvl w:val="0"/>
                <w:numId w:val="2"/>
              </w:numPr>
              <w:suppressAutoHyphens/>
              <w:spacing w:before="120" w:line="276" w:lineRule="auto"/>
              <w:jc w:val="center"/>
              <w:rPr>
                <w:b/>
                <w:color w:val="FF0000"/>
                <w:lang w:eastAsia="en-US"/>
              </w:rPr>
            </w:pPr>
            <w:r>
              <w:rPr>
                <w:b/>
                <w:lang w:eastAsia="en-US"/>
              </w:rPr>
              <w:t>Diegimo reikalavimai</w:t>
            </w:r>
            <w:r w:rsidRPr="00FA1734">
              <w:rPr>
                <w:b/>
              </w:rPr>
              <w:t>:</w:t>
            </w:r>
          </w:p>
        </w:tc>
      </w:tr>
      <w:tr w:rsidR="00E763EA" w14:paraId="4E9C3437" w14:textId="77777777" w:rsidTr="000534BA">
        <w:trPr>
          <w:trHeight w:val="620"/>
        </w:trPr>
        <w:tc>
          <w:tcPr>
            <w:tcW w:w="4981" w:type="dxa"/>
          </w:tcPr>
          <w:p w14:paraId="0C583230" w14:textId="6344BB68" w:rsidR="00E763EA" w:rsidRPr="00A51ED7" w:rsidRDefault="00FA1734" w:rsidP="009D063F">
            <w:pPr>
              <w:pStyle w:val="ListParagraph"/>
              <w:tabs>
                <w:tab w:val="left" w:pos="851"/>
                <w:tab w:val="left" w:pos="1134"/>
              </w:tabs>
              <w:ind w:left="0"/>
              <w:jc w:val="both"/>
            </w:pPr>
            <w:r>
              <w:rPr>
                <w:kern w:val="2"/>
                <w:lang w:eastAsia="en-US"/>
                <w14:ligatures w14:val="standardContextual"/>
              </w:rPr>
              <w:t xml:space="preserve">2.1. </w:t>
            </w:r>
            <w:r w:rsidRPr="00B100E5">
              <w:rPr>
                <w:kern w:val="2"/>
                <w:lang w:eastAsia="en-US"/>
                <w14:ligatures w14:val="standardContextual"/>
              </w:rPr>
              <w:t>Perkama programinė įranga privalo būti suderinama su PO naudojamais (Intel471, Domaintools, MISP ir Shodan) įrankiais, užtikrinant   jų tarpusavio integravimą ir  duomenų naudojimą.</w:t>
            </w:r>
          </w:p>
        </w:tc>
        <w:tc>
          <w:tcPr>
            <w:tcW w:w="4981" w:type="dxa"/>
          </w:tcPr>
          <w:p w14:paraId="2E8A25D8" w14:textId="77777777" w:rsidR="00E763EA" w:rsidRDefault="00E763EA" w:rsidP="000534BA">
            <w:pPr>
              <w:suppressAutoHyphens/>
              <w:spacing w:line="276" w:lineRule="auto"/>
              <w:jc w:val="center"/>
              <w:rPr>
                <w:color w:val="FF0000"/>
                <w:lang w:eastAsia="en-US"/>
              </w:rPr>
            </w:pPr>
          </w:p>
          <w:p w14:paraId="04DA911C" w14:textId="77777777" w:rsidR="008C10B5" w:rsidRPr="008C10B5" w:rsidRDefault="008C10B5" w:rsidP="008C10B5">
            <w:pPr>
              <w:jc w:val="center"/>
              <w:rPr>
                <w:i/>
                <w:color w:val="FF0000"/>
              </w:rPr>
            </w:pPr>
            <w:r w:rsidRPr="008C10B5">
              <w:rPr>
                <w:i/>
                <w:color w:val="FF0000"/>
              </w:rPr>
              <w:t>Taip/Ne</w:t>
            </w:r>
          </w:p>
          <w:p w14:paraId="4FFD9725" w14:textId="77777777" w:rsidR="008C10B5" w:rsidRDefault="008C10B5" w:rsidP="008C10B5">
            <w:pPr>
              <w:suppressAutoHyphens/>
              <w:spacing w:line="276" w:lineRule="auto"/>
              <w:jc w:val="center"/>
              <w:rPr>
                <w:color w:val="FF0000"/>
                <w:lang w:eastAsia="en-US"/>
              </w:rPr>
            </w:pPr>
            <w:r w:rsidRPr="008C10B5">
              <w:rPr>
                <w:i/>
                <w:color w:val="FF0000"/>
              </w:rPr>
              <w:t>(tikslus aprašymas)</w:t>
            </w:r>
          </w:p>
        </w:tc>
      </w:tr>
      <w:tr w:rsidR="00FA1734" w:rsidRPr="008847A3" w14:paraId="0F1C7DD5" w14:textId="77777777" w:rsidTr="00C528A3">
        <w:trPr>
          <w:trHeight w:val="620"/>
        </w:trPr>
        <w:tc>
          <w:tcPr>
            <w:tcW w:w="9962" w:type="dxa"/>
            <w:gridSpan w:val="2"/>
            <w:shd w:val="clear" w:color="auto" w:fill="E7E6E6" w:themeFill="background2"/>
          </w:tcPr>
          <w:p w14:paraId="15C058D4" w14:textId="7BE2860D" w:rsidR="00FA1734" w:rsidRPr="00FA1734" w:rsidRDefault="00FA1734" w:rsidP="006A7784">
            <w:pPr>
              <w:spacing w:after="160" w:line="276" w:lineRule="auto"/>
              <w:contextualSpacing/>
              <w:jc w:val="both"/>
              <w:rPr>
                <w:kern w:val="2"/>
                <w:lang w:eastAsia="en-US"/>
                <w14:ligatures w14:val="standardContextual"/>
              </w:rPr>
            </w:pPr>
            <w:r w:rsidRPr="00FA1734">
              <w:rPr>
                <w:lang w:eastAsia="en-US"/>
              </w:rPr>
              <w:t>2.2.</w:t>
            </w:r>
            <w:r>
              <w:rPr>
                <w:b/>
                <w:lang w:eastAsia="en-US"/>
              </w:rPr>
              <w:t xml:space="preserve"> </w:t>
            </w:r>
            <w:r w:rsidRPr="00B100E5">
              <w:rPr>
                <w:kern w:val="2"/>
                <w:lang w:eastAsia="en-US"/>
                <w14:ligatures w14:val="standardContextual"/>
              </w:rPr>
              <w:t xml:space="preserve">Programinė įranga turi turėti sukonfigūruotus teminius informacinius skydelius (angl. Dashboards): </w:t>
            </w:r>
          </w:p>
        </w:tc>
      </w:tr>
      <w:tr w:rsidR="00FA1734" w14:paraId="0A6AED5C" w14:textId="77777777" w:rsidTr="000534BA">
        <w:trPr>
          <w:trHeight w:val="620"/>
        </w:trPr>
        <w:tc>
          <w:tcPr>
            <w:tcW w:w="4981" w:type="dxa"/>
          </w:tcPr>
          <w:p w14:paraId="24109D6F" w14:textId="1E3B68F5" w:rsidR="00FA1734" w:rsidRDefault="00FA1734" w:rsidP="00FA1734">
            <w:pPr>
              <w:pStyle w:val="ListParagraph"/>
              <w:tabs>
                <w:tab w:val="left" w:pos="851"/>
                <w:tab w:val="left" w:pos="1134"/>
              </w:tabs>
              <w:spacing w:before="240"/>
              <w:ind w:left="0"/>
              <w:jc w:val="both"/>
              <w:rPr>
                <w:kern w:val="2"/>
                <w:lang w:eastAsia="en-US"/>
                <w14:ligatures w14:val="standardContextual"/>
              </w:rPr>
            </w:pPr>
            <w:r>
              <w:rPr>
                <w:kern w:val="2"/>
                <w:lang w:eastAsia="en-US"/>
                <w14:ligatures w14:val="standardContextual"/>
              </w:rPr>
              <w:t xml:space="preserve">a) </w:t>
            </w:r>
            <w:r w:rsidRPr="00B100E5">
              <w:rPr>
                <w:kern w:val="2"/>
                <w:lang w:eastAsia="en-US"/>
                <w14:ligatures w14:val="standardContextual"/>
              </w:rPr>
              <w:t>atskirai kiekvienam sektoriui (pagal NIS2 direktyvą), užtikrinant sektoriams specifinę informacijos vizualizaciją ir stebėseną;</w:t>
            </w:r>
          </w:p>
        </w:tc>
        <w:tc>
          <w:tcPr>
            <w:tcW w:w="4981" w:type="dxa"/>
          </w:tcPr>
          <w:p w14:paraId="78D6F9B5" w14:textId="77777777" w:rsidR="00FA1734" w:rsidRDefault="00FA1734" w:rsidP="000534BA">
            <w:pPr>
              <w:suppressAutoHyphens/>
              <w:spacing w:line="276" w:lineRule="auto"/>
              <w:jc w:val="center"/>
              <w:rPr>
                <w:color w:val="FF0000"/>
                <w:lang w:eastAsia="en-US"/>
              </w:rPr>
            </w:pPr>
          </w:p>
          <w:p w14:paraId="6A369421" w14:textId="77777777" w:rsidR="00FA1734" w:rsidRPr="008C10B5" w:rsidRDefault="00FA1734" w:rsidP="00FA1734">
            <w:pPr>
              <w:jc w:val="center"/>
              <w:rPr>
                <w:i/>
                <w:color w:val="FF0000"/>
              </w:rPr>
            </w:pPr>
            <w:r w:rsidRPr="008C10B5">
              <w:rPr>
                <w:i/>
                <w:color w:val="FF0000"/>
              </w:rPr>
              <w:t>Taip/Ne</w:t>
            </w:r>
          </w:p>
          <w:p w14:paraId="2C7472F5" w14:textId="77777777" w:rsidR="00FA1734" w:rsidRDefault="00FA1734" w:rsidP="000534BA">
            <w:pPr>
              <w:suppressAutoHyphens/>
              <w:spacing w:line="276" w:lineRule="auto"/>
              <w:jc w:val="center"/>
              <w:rPr>
                <w:color w:val="FF0000"/>
                <w:lang w:eastAsia="en-US"/>
              </w:rPr>
            </w:pPr>
          </w:p>
        </w:tc>
      </w:tr>
      <w:tr w:rsidR="00E763EA" w14:paraId="53DB2398" w14:textId="77777777" w:rsidTr="000534BA">
        <w:trPr>
          <w:trHeight w:val="620"/>
        </w:trPr>
        <w:tc>
          <w:tcPr>
            <w:tcW w:w="4981" w:type="dxa"/>
          </w:tcPr>
          <w:p w14:paraId="598C10A6" w14:textId="303C4ABB" w:rsidR="00E763EA" w:rsidRPr="00A51ED7" w:rsidRDefault="00FA1734" w:rsidP="009D063F">
            <w:pPr>
              <w:pStyle w:val="ListParagraph"/>
              <w:tabs>
                <w:tab w:val="left" w:pos="851"/>
                <w:tab w:val="left" w:pos="1134"/>
              </w:tabs>
              <w:ind w:left="0"/>
              <w:jc w:val="both"/>
            </w:pPr>
            <w:r>
              <w:t xml:space="preserve">b) </w:t>
            </w:r>
            <w:r w:rsidRPr="00B100E5">
              <w:rPr>
                <w:kern w:val="2"/>
                <w:lang w:eastAsia="en-US"/>
                <w14:ligatures w14:val="standardContextual"/>
              </w:rPr>
              <w:t>specifinį pažeidžiamumams skirtą informacinį skydelį, kuriame būtų atvaizduojama informacija iš Vulnerability Database (Vuln DB), Exploit Database (Exploit DB), taip pat internete aktyviai minimi pažeidžiamumai ir juos naudojantys grėsmių aktoriai (angl. Advanced persistent threat);</w:t>
            </w:r>
          </w:p>
        </w:tc>
        <w:tc>
          <w:tcPr>
            <w:tcW w:w="4981" w:type="dxa"/>
          </w:tcPr>
          <w:p w14:paraId="6D679502" w14:textId="77777777" w:rsidR="00E763EA" w:rsidRDefault="00E763EA" w:rsidP="000534BA">
            <w:pPr>
              <w:suppressAutoHyphens/>
              <w:spacing w:line="276" w:lineRule="auto"/>
              <w:jc w:val="center"/>
              <w:rPr>
                <w:color w:val="FF0000"/>
                <w:lang w:eastAsia="en-US"/>
              </w:rPr>
            </w:pPr>
          </w:p>
          <w:p w14:paraId="39CC4C5D" w14:textId="77777777" w:rsidR="008C10B5" w:rsidRPr="008C10B5" w:rsidRDefault="008C10B5" w:rsidP="008C10B5">
            <w:pPr>
              <w:jc w:val="center"/>
              <w:rPr>
                <w:i/>
                <w:color w:val="FF0000"/>
              </w:rPr>
            </w:pPr>
            <w:r w:rsidRPr="008C10B5">
              <w:rPr>
                <w:i/>
                <w:color w:val="FF0000"/>
              </w:rPr>
              <w:t>Taip/Ne</w:t>
            </w:r>
          </w:p>
          <w:p w14:paraId="6D9A4F25" w14:textId="77777777" w:rsidR="008C10B5" w:rsidRDefault="008C10B5" w:rsidP="008C10B5">
            <w:pPr>
              <w:suppressAutoHyphens/>
              <w:spacing w:line="276" w:lineRule="auto"/>
              <w:jc w:val="center"/>
              <w:rPr>
                <w:color w:val="FF0000"/>
                <w:lang w:eastAsia="en-US"/>
              </w:rPr>
            </w:pPr>
            <w:r w:rsidRPr="008C10B5">
              <w:rPr>
                <w:i/>
                <w:color w:val="FF0000"/>
              </w:rPr>
              <w:t>(tikslus aprašymas)</w:t>
            </w:r>
          </w:p>
        </w:tc>
      </w:tr>
      <w:tr w:rsidR="00883527" w14:paraId="106B23A2" w14:textId="77777777" w:rsidTr="00FA1734">
        <w:trPr>
          <w:trHeight w:val="451"/>
        </w:trPr>
        <w:tc>
          <w:tcPr>
            <w:tcW w:w="4981" w:type="dxa"/>
          </w:tcPr>
          <w:p w14:paraId="496B7CA5" w14:textId="26B77DA6" w:rsidR="00883527" w:rsidRDefault="00FA1734" w:rsidP="009D063F">
            <w:pPr>
              <w:pStyle w:val="ListParagraph"/>
              <w:tabs>
                <w:tab w:val="left" w:pos="851"/>
                <w:tab w:val="left" w:pos="1134"/>
              </w:tabs>
              <w:ind w:left="0"/>
              <w:jc w:val="both"/>
            </w:pPr>
            <w:r>
              <w:t xml:space="preserve">c) </w:t>
            </w:r>
            <w:r w:rsidRPr="00B100E5">
              <w:rPr>
                <w:kern w:val="2"/>
                <w:lang w:eastAsia="en-US"/>
                <w14:ligatures w14:val="standardContextual"/>
              </w:rPr>
              <w:t>trečiųjų šalių grėsmių stebėjimui</w:t>
            </w:r>
            <w:r>
              <w:rPr>
                <w:kern w:val="2"/>
                <w:lang w:eastAsia="en-US"/>
                <w14:ligatures w14:val="standardContextual"/>
              </w:rPr>
              <w:t>;</w:t>
            </w:r>
          </w:p>
        </w:tc>
        <w:tc>
          <w:tcPr>
            <w:tcW w:w="4981" w:type="dxa"/>
          </w:tcPr>
          <w:p w14:paraId="3B99A567" w14:textId="2E72DA02" w:rsidR="00883527" w:rsidRPr="00FA1734" w:rsidRDefault="00883527" w:rsidP="00FA1734">
            <w:pPr>
              <w:jc w:val="center"/>
              <w:rPr>
                <w:i/>
                <w:color w:val="FF0000"/>
              </w:rPr>
            </w:pPr>
            <w:r w:rsidRPr="008C10B5">
              <w:rPr>
                <w:i/>
                <w:color w:val="FF0000"/>
              </w:rPr>
              <w:t>Taip/Ne</w:t>
            </w:r>
          </w:p>
        </w:tc>
      </w:tr>
      <w:tr w:rsidR="00883527" w14:paraId="4A154A66" w14:textId="77777777" w:rsidTr="000534BA">
        <w:trPr>
          <w:trHeight w:val="620"/>
        </w:trPr>
        <w:tc>
          <w:tcPr>
            <w:tcW w:w="4981" w:type="dxa"/>
          </w:tcPr>
          <w:p w14:paraId="31172E2C" w14:textId="3AB859EA" w:rsidR="00883527" w:rsidRDefault="00FA1734" w:rsidP="009D063F">
            <w:pPr>
              <w:pStyle w:val="ListParagraph"/>
              <w:tabs>
                <w:tab w:val="left" w:pos="851"/>
                <w:tab w:val="left" w:pos="1134"/>
              </w:tabs>
              <w:ind w:left="0"/>
              <w:jc w:val="both"/>
            </w:pPr>
            <w:r>
              <w:t xml:space="preserve">d) </w:t>
            </w:r>
            <w:r w:rsidRPr="00B100E5">
              <w:rPr>
                <w:kern w:val="2"/>
                <w:lang w:eastAsia="en-US"/>
                <w14:ligatures w14:val="standardContextual"/>
              </w:rPr>
              <w:t>grėsmių aktorių stebėjimui</w:t>
            </w:r>
            <w:r>
              <w:rPr>
                <w:kern w:val="2"/>
                <w:lang w:eastAsia="en-US"/>
                <w14:ligatures w14:val="standardContextual"/>
              </w:rPr>
              <w:t>;</w:t>
            </w:r>
          </w:p>
        </w:tc>
        <w:tc>
          <w:tcPr>
            <w:tcW w:w="4981" w:type="dxa"/>
          </w:tcPr>
          <w:p w14:paraId="06A63225" w14:textId="77777777" w:rsidR="00883527" w:rsidRDefault="00883527" w:rsidP="00883527">
            <w:pPr>
              <w:jc w:val="center"/>
              <w:rPr>
                <w:i/>
                <w:color w:val="FF0000"/>
              </w:rPr>
            </w:pPr>
          </w:p>
          <w:p w14:paraId="30DE5690" w14:textId="77777777" w:rsidR="00883527" w:rsidRPr="008C10B5" w:rsidRDefault="00883527" w:rsidP="00883527">
            <w:pPr>
              <w:jc w:val="center"/>
              <w:rPr>
                <w:i/>
                <w:color w:val="FF0000"/>
              </w:rPr>
            </w:pPr>
            <w:r w:rsidRPr="008C10B5">
              <w:rPr>
                <w:i/>
                <w:color w:val="FF0000"/>
              </w:rPr>
              <w:t>Taip/Ne</w:t>
            </w:r>
          </w:p>
          <w:p w14:paraId="61530C8C" w14:textId="5CAB90BA" w:rsidR="00883527" w:rsidRDefault="00883527" w:rsidP="00883527">
            <w:pPr>
              <w:suppressAutoHyphens/>
              <w:spacing w:line="276" w:lineRule="auto"/>
              <w:jc w:val="center"/>
              <w:rPr>
                <w:color w:val="FF0000"/>
                <w:lang w:eastAsia="en-US"/>
              </w:rPr>
            </w:pPr>
            <w:r w:rsidRPr="008C10B5">
              <w:rPr>
                <w:i/>
                <w:color w:val="FF0000"/>
              </w:rPr>
              <w:t>(tikslus aprašymas)</w:t>
            </w:r>
          </w:p>
        </w:tc>
      </w:tr>
      <w:tr w:rsidR="00883527" w14:paraId="666A6B43" w14:textId="77777777" w:rsidTr="000534BA">
        <w:trPr>
          <w:trHeight w:val="620"/>
        </w:trPr>
        <w:tc>
          <w:tcPr>
            <w:tcW w:w="4981" w:type="dxa"/>
          </w:tcPr>
          <w:p w14:paraId="569119AA" w14:textId="18CAF6B2" w:rsidR="00883527" w:rsidRDefault="00FA1734" w:rsidP="00FA1734">
            <w:pPr>
              <w:pStyle w:val="ListParagraph"/>
              <w:tabs>
                <w:tab w:val="left" w:pos="851"/>
                <w:tab w:val="left" w:pos="1134"/>
              </w:tabs>
              <w:ind w:left="0"/>
              <w:jc w:val="both"/>
            </w:pPr>
            <w:r>
              <w:t xml:space="preserve">e) </w:t>
            </w:r>
            <w:r w:rsidRPr="00B100E5">
              <w:rPr>
                <w:kern w:val="2"/>
                <w:lang w:eastAsia="en-US"/>
                <w14:ligatures w14:val="standardContextual"/>
              </w:rPr>
              <w:t>regiono (JAV, Lietuva, Lenkija, Ukraina, Sakartvelas) grėsmių ir grėsmių aktorių stebėjimui</w:t>
            </w:r>
            <w:r>
              <w:rPr>
                <w:kern w:val="2"/>
                <w:lang w:eastAsia="en-US"/>
                <w14:ligatures w14:val="standardContextual"/>
              </w:rPr>
              <w:t>.</w:t>
            </w:r>
          </w:p>
        </w:tc>
        <w:tc>
          <w:tcPr>
            <w:tcW w:w="4981" w:type="dxa"/>
          </w:tcPr>
          <w:p w14:paraId="3794D98B" w14:textId="77777777" w:rsidR="00883527" w:rsidRDefault="00883527" w:rsidP="00883527">
            <w:pPr>
              <w:jc w:val="center"/>
              <w:rPr>
                <w:i/>
                <w:color w:val="FF0000"/>
              </w:rPr>
            </w:pPr>
          </w:p>
          <w:p w14:paraId="60378B74" w14:textId="4DEDD1C2" w:rsidR="00883527" w:rsidRPr="008C10B5" w:rsidRDefault="00883527" w:rsidP="00883527">
            <w:pPr>
              <w:jc w:val="center"/>
              <w:rPr>
                <w:i/>
                <w:color w:val="FF0000"/>
              </w:rPr>
            </w:pPr>
            <w:r w:rsidRPr="008C10B5">
              <w:rPr>
                <w:i/>
                <w:color w:val="FF0000"/>
              </w:rPr>
              <w:t>Taip/Ne</w:t>
            </w:r>
          </w:p>
          <w:p w14:paraId="17926647" w14:textId="3D66DB36" w:rsidR="00883527" w:rsidRDefault="00883527" w:rsidP="00883527">
            <w:pPr>
              <w:suppressAutoHyphens/>
              <w:spacing w:line="276" w:lineRule="auto"/>
              <w:jc w:val="center"/>
              <w:rPr>
                <w:color w:val="FF0000"/>
                <w:lang w:eastAsia="en-US"/>
              </w:rPr>
            </w:pPr>
          </w:p>
        </w:tc>
      </w:tr>
      <w:tr w:rsidR="00883527" w14:paraId="23173DA9" w14:textId="77777777" w:rsidTr="000534BA">
        <w:trPr>
          <w:trHeight w:val="620"/>
        </w:trPr>
        <w:tc>
          <w:tcPr>
            <w:tcW w:w="4981" w:type="dxa"/>
          </w:tcPr>
          <w:p w14:paraId="2068EF89" w14:textId="2321E7AF" w:rsidR="00883527" w:rsidRDefault="00FA1734" w:rsidP="009D063F">
            <w:pPr>
              <w:pStyle w:val="ListParagraph"/>
              <w:tabs>
                <w:tab w:val="left" w:pos="851"/>
                <w:tab w:val="left" w:pos="1134"/>
              </w:tabs>
              <w:ind w:left="0"/>
              <w:jc w:val="both"/>
            </w:pPr>
            <w:r>
              <w:t xml:space="preserve">f) </w:t>
            </w:r>
            <w:r w:rsidRPr="00B100E5">
              <w:rPr>
                <w:kern w:val="2"/>
                <w:lang w:eastAsia="en-US"/>
                <w14:ligatures w14:val="standardContextual"/>
              </w:rPr>
              <w:t>ES/NATO regiono kibernetinės būklės ir naujienų sekimui</w:t>
            </w:r>
            <w:r>
              <w:rPr>
                <w:kern w:val="2"/>
                <w:lang w:eastAsia="en-US"/>
                <w14:ligatures w14:val="standardContextual"/>
              </w:rPr>
              <w:t>.</w:t>
            </w:r>
          </w:p>
        </w:tc>
        <w:tc>
          <w:tcPr>
            <w:tcW w:w="4981" w:type="dxa"/>
          </w:tcPr>
          <w:p w14:paraId="0B50B75C" w14:textId="77777777" w:rsidR="00883527" w:rsidRPr="008C10B5" w:rsidRDefault="00883527" w:rsidP="00883527">
            <w:pPr>
              <w:jc w:val="center"/>
              <w:rPr>
                <w:i/>
                <w:color w:val="FF0000"/>
              </w:rPr>
            </w:pPr>
            <w:r w:rsidRPr="008C10B5">
              <w:rPr>
                <w:i/>
                <w:color w:val="FF0000"/>
              </w:rPr>
              <w:t>Taip/Ne</w:t>
            </w:r>
          </w:p>
          <w:p w14:paraId="74BA1DD4" w14:textId="66C1FABD" w:rsidR="00883527" w:rsidRDefault="00883527" w:rsidP="00883527">
            <w:pPr>
              <w:suppressAutoHyphens/>
              <w:spacing w:line="276" w:lineRule="auto"/>
              <w:jc w:val="center"/>
              <w:rPr>
                <w:color w:val="FF0000"/>
                <w:lang w:eastAsia="en-US"/>
              </w:rPr>
            </w:pPr>
          </w:p>
        </w:tc>
      </w:tr>
      <w:tr w:rsidR="00883527" w14:paraId="67F606E6" w14:textId="77777777" w:rsidTr="000534BA">
        <w:trPr>
          <w:trHeight w:val="620"/>
        </w:trPr>
        <w:tc>
          <w:tcPr>
            <w:tcW w:w="4981" w:type="dxa"/>
          </w:tcPr>
          <w:p w14:paraId="5AC0A3C7" w14:textId="704386DE" w:rsidR="00883527" w:rsidRDefault="00FA1734" w:rsidP="009D063F">
            <w:pPr>
              <w:pStyle w:val="ListParagraph"/>
              <w:tabs>
                <w:tab w:val="left" w:pos="851"/>
                <w:tab w:val="left" w:pos="1134"/>
              </w:tabs>
              <w:ind w:left="0"/>
              <w:jc w:val="both"/>
            </w:pPr>
            <w:r>
              <w:t xml:space="preserve">g) </w:t>
            </w:r>
            <w:r w:rsidRPr="00B100E5">
              <w:rPr>
                <w:kern w:val="2"/>
                <w:lang w:eastAsia="en-US"/>
                <w14:ligatures w14:val="standardContextual"/>
              </w:rPr>
              <w:t>išpirkos reikalaujančios kenkėjiškos programinės įrangos (angl. ransomware) ir ją naudojančių grupuočių stebėjimui</w:t>
            </w:r>
            <w:r>
              <w:rPr>
                <w:kern w:val="2"/>
                <w:lang w:eastAsia="en-US"/>
                <w14:ligatures w14:val="standardContextual"/>
              </w:rPr>
              <w:t>.</w:t>
            </w:r>
          </w:p>
        </w:tc>
        <w:tc>
          <w:tcPr>
            <w:tcW w:w="4981" w:type="dxa"/>
          </w:tcPr>
          <w:p w14:paraId="78961C73" w14:textId="77777777" w:rsidR="00883527" w:rsidRDefault="00883527" w:rsidP="000534BA">
            <w:pPr>
              <w:suppressAutoHyphens/>
              <w:spacing w:line="276" w:lineRule="auto"/>
              <w:jc w:val="center"/>
              <w:rPr>
                <w:color w:val="FF0000"/>
                <w:lang w:eastAsia="en-US"/>
              </w:rPr>
            </w:pPr>
          </w:p>
          <w:p w14:paraId="31CE5D6A" w14:textId="77777777" w:rsidR="00883527" w:rsidRPr="008C10B5" w:rsidRDefault="00883527" w:rsidP="00883527">
            <w:pPr>
              <w:jc w:val="center"/>
              <w:rPr>
                <w:i/>
                <w:color w:val="FF0000"/>
              </w:rPr>
            </w:pPr>
            <w:r w:rsidRPr="008C10B5">
              <w:rPr>
                <w:i/>
                <w:color w:val="FF0000"/>
              </w:rPr>
              <w:t>Taip/Ne</w:t>
            </w:r>
          </w:p>
          <w:p w14:paraId="2B57F245" w14:textId="6999F8C5" w:rsidR="00883527" w:rsidRDefault="00883527" w:rsidP="00883527">
            <w:pPr>
              <w:suppressAutoHyphens/>
              <w:spacing w:line="276" w:lineRule="auto"/>
              <w:jc w:val="center"/>
              <w:rPr>
                <w:color w:val="FF0000"/>
                <w:lang w:eastAsia="en-US"/>
              </w:rPr>
            </w:pPr>
          </w:p>
        </w:tc>
      </w:tr>
      <w:tr w:rsidR="00883527" w14:paraId="7DFFF8F0" w14:textId="77777777" w:rsidTr="000534BA">
        <w:trPr>
          <w:trHeight w:val="620"/>
        </w:trPr>
        <w:tc>
          <w:tcPr>
            <w:tcW w:w="4981" w:type="dxa"/>
          </w:tcPr>
          <w:p w14:paraId="0518454F" w14:textId="7E36352B" w:rsidR="00883527" w:rsidRDefault="00FA1734" w:rsidP="009D063F">
            <w:pPr>
              <w:pStyle w:val="ListParagraph"/>
              <w:tabs>
                <w:tab w:val="left" w:pos="851"/>
                <w:tab w:val="left" w:pos="1134"/>
              </w:tabs>
              <w:ind w:left="0"/>
              <w:jc w:val="both"/>
            </w:pPr>
            <w:r>
              <w:t xml:space="preserve">h) </w:t>
            </w:r>
            <w:r w:rsidRPr="00B100E5">
              <w:rPr>
                <w:kern w:val="2"/>
                <w:lang w:eastAsia="en-US"/>
                <w14:ligatures w14:val="standardContextual"/>
              </w:rPr>
              <w:t>tamsiojo interneto (angl. dark web) forumų, grėsmių, grupuočių stebėjimui</w:t>
            </w:r>
            <w:r>
              <w:rPr>
                <w:kern w:val="2"/>
                <w:lang w:eastAsia="en-US"/>
                <w14:ligatures w14:val="standardContextual"/>
              </w:rPr>
              <w:t>.</w:t>
            </w:r>
          </w:p>
        </w:tc>
        <w:tc>
          <w:tcPr>
            <w:tcW w:w="4981" w:type="dxa"/>
          </w:tcPr>
          <w:p w14:paraId="146B73E9" w14:textId="77777777" w:rsidR="00883527" w:rsidRPr="008C10B5" w:rsidRDefault="00883527" w:rsidP="00883527">
            <w:pPr>
              <w:jc w:val="center"/>
              <w:rPr>
                <w:i/>
                <w:color w:val="FF0000"/>
              </w:rPr>
            </w:pPr>
            <w:r w:rsidRPr="008C10B5">
              <w:rPr>
                <w:i/>
                <w:color w:val="FF0000"/>
              </w:rPr>
              <w:t>Taip/Ne</w:t>
            </w:r>
          </w:p>
          <w:p w14:paraId="0F279EB3" w14:textId="00A2B18E" w:rsidR="00883527" w:rsidRDefault="00883527" w:rsidP="00883527">
            <w:pPr>
              <w:suppressAutoHyphens/>
              <w:spacing w:line="276" w:lineRule="auto"/>
              <w:jc w:val="center"/>
              <w:rPr>
                <w:color w:val="FF0000"/>
                <w:lang w:eastAsia="en-US"/>
              </w:rPr>
            </w:pPr>
          </w:p>
        </w:tc>
      </w:tr>
      <w:tr w:rsidR="00883527" w14:paraId="45F0C4F8" w14:textId="77777777" w:rsidTr="000534BA">
        <w:trPr>
          <w:trHeight w:val="620"/>
        </w:trPr>
        <w:tc>
          <w:tcPr>
            <w:tcW w:w="4981" w:type="dxa"/>
          </w:tcPr>
          <w:p w14:paraId="1F4379D6" w14:textId="1F4A4A0E" w:rsidR="00883527" w:rsidRDefault="00FA1734" w:rsidP="009D063F">
            <w:pPr>
              <w:pStyle w:val="ListParagraph"/>
              <w:tabs>
                <w:tab w:val="left" w:pos="851"/>
                <w:tab w:val="left" w:pos="1134"/>
              </w:tabs>
              <w:ind w:left="0"/>
              <w:jc w:val="both"/>
            </w:pPr>
            <w:r>
              <w:t xml:space="preserve">2.3. </w:t>
            </w:r>
            <w:r w:rsidRPr="00B100E5">
              <w:rPr>
                <w:kern w:val="2"/>
                <w:lang w:eastAsia="en-US"/>
                <w14:ligatures w14:val="standardContextual"/>
              </w:rPr>
              <w:t xml:space="preserve">Sukonfigūruotas automatinis ataskaitų generavimas pagal 15 punkte nurodytus teminius </w:t>
            </w:r>
            <w:r w:rsidRPr="00B100E5">
              <w:rPr>
                <w:kern w:val="2"/>
                <w:lang w:eastAsia="en-US"/>
                <w14:ligatures w14:val="standardContextual"/>
              </w:rPr>
              <w:lastRenderedPageBreak/>
              <w:t>informacinius skydelius naudojant PO ataskaitos šabloną</w:t>
            </w:r>
          </w:p>
        </w:tc>
        <w:tc>
          <w:tcPr>
            <w:tcW w:w="4981" w:type="dxa"/>
          </w:tcPr>
          <w:p w14:paraId="426F2A99" w14:textId="77777777" w:rsidR="00883527" w:rsidRDefault="00883527" w:rsidP="000534BA">
            <w:pPr>
              <w:suppressAutoHyphens/>
              <w:spacing w:line="276" w:lineRule="auto"/>
              <w:jc w:val="center"/>
              <w:rPr>
                <w:color w:val="FF0000"/>
                <w:lang w:eastAsia="en-US"/>
              </w:rPr>
            </w:pPr>
          </w:p>
          <w:p w14:paraId="3DC20D2B" w14:textId="77777777" w:rsidR="00883527" w:rsidRPr="008C10B5" w:rsidRDefault="00883527" w:rsidP="00883527">
            <w:pPr>
              <w:jc w:val="center"/>
              <w:rPr>
                <w:i/>
                <w:color w:val="FF0000"/>
              </w:rPr>
            </w:pPr>
            <w:r w:rsidRPr="008C10B5">
              <w:rPr>
                <w:i/>
                <w:color w:val="FF0000"/>
              </w:rPr>
              <w:t>Taip/Ne</w:t>
            </w:r>
          </w:p>
          <w:p w14:paraId="7AA5CE85" w14:textId="5C839105" w:rsidR="00883527" w:rsidRDefault="00883527" w:rsidP="00883527">
            <w:pPr>
              <w:suppressAutoHyphens/>
              <w:spacing w:line="276" w:lineRule="auto"/>
              <w:jc w:val="center"/>
              <w:rPr>
                <w:color w:val="FF0000"/>
                <w:lang w:eastAsia="en-US"/>
              </w:rPr>
            </w:pPr>
          </w:p>
        </w:tc>
      </w:tr>
      <w:tr w:rsidR="00883527" w14:paraId="403F47B8" w14:textId="77777777" w:rsidTr="000534BA">
        <w:trPr>
          <w:trHeight w:val="620"/>
        </w:trPr>
        <w:tc>
          <w:tcPr>
            <w:tcW w:w="4981" w:type="dxa"/>
          </w:tcPr>
          <w:p w14:paraId="11A1CFE7" w14:textId="2426228D" w:rsidR="00883527" w:rsidRDefault="00FA1734" w:rsidP="009D063F">
            <w:pPr>
              <w:pStyle w:val="ListParagraph"/>
              <w:tabs>
                <w:tab w:val="left" w:pos="851"/>
                <w:tab w:val="left" w:pos="1134"/>
              </w:tabs>
              <w:ind w:left="0"/>
              <w:jc w:val="both"/>
            </w:pPr>
            <w:r>
              <w:lastRenderedPageBreak/>
              <w:t xml:space="preserve">2.4. </w:t>
            </w:r>
            <w:r w:rsidRPr="00B100E5">
              <w:rPr>
                <w:kern w:val="2"/>
                <w:lang w:eastAsia="en-US"/>
                <w14:ligatures w14:val="standardContextual"/>
              </w:rPr>
              <w:t>Sukonfigūruotas automatinis ataskaitų išsiuntimas el. paštu. Siunčiamų laiškų ir gavėjų kiekis neturi būti ribojamas</w:t>
            </w:r>
            <w:r>
              <w:rPr>
                <w:kern w:val="2"/>
                <w:lang w:eastAsia="en-US"/>
                <w14:ligatures w14:val="standardContextual"/>
              </w:rPr>
              <w:t>.</w:t>
            </w:r>
          </w:p>
        </w:tc>
        <w:tc>
          <w:tcPr>
            <w:tcW w:w="4981" w:type="dxa"/>
          </w:tcPr>
          <w:p w14:paraId="09245952" w14:textId="77777777" w:rsidR="00883527" w:rsidRDefault="00883527" w:rsidP="000534BA">
            <w:pPr>
              <w:suppressAutoHyphens/>
              <w:spacing w:line="276" w:lineRule="auto"/>
              <w:jc w:val="center"/>
              <w:rPr>
                <w:color w:val="FF0000"/>
                <w:lang w:eastAsia="en-US"/>
              </w:rPr>
            </w:pPr>
          </w:p>
          <w:p w14:paraId="528366A5" w14:textId="77777777" w:rsidR="00883527" w:rsidRPr="008C10B5" w:rsidRDefault="00883527" w:rsidP="00883527">
            <w:pPr>
              <w:jc w:val="center"/>
              <w:rPr>
                <w:i/>
                <w:color w:val="FF0000"/>
              </w:rPr>
            </w:pPr>
            <w:r w:rsidRPr="008C10B5">
              <w:rPr>
                <w:i/>
                <w:color w:val="FF0000"/>
              </w:rPr>
              <w:t>Taip/Ne</w:t>
            </w:r>
          </w:p>
          <w:p w14:paraId="07B184C6" w14:textId="6608403B" w:rsidR="00883527" w:rsidRDefault="00883527" w:rsidP="00883527">
            <w:pPr>
              <w:suppressAutoHyphens/>
              <w:spacing w:line="276" w:lineRule="auto"/>
              <w:jc w:val="center"/>
              <w:rPr>
                <w:color w:val="FF0000"/>
                <w:lang w:eastAsia="en-US"/>
              </w:rPr>
            </w:pPr>
          </w:p>
        </w:tc>
      </w:tr>
      <w:tr w:rsidR="00934E7C" w14:paraId="7F0DFAA2" w14:textId="77777777" w:rsidTr="000534BA">
        <w:trPr>
          <w:trHeight w:val="620"/>
        </w:trPr>
        <w:tc>
          <w:tcPr>
            <w:tcW w:w="9962" w:type="dxa"/>
            <w:gridSpan w:val="2"/>
            <w:shd w:val="clear" w:color="auto" w:fill="E7E6E6" w:themeFill="background2"/>
          </w:tcPr>
          <w:p w14:paraId="18F16074" w14:textId="2A111349" w:rsidR="00934E7C" w:rsidRPr="00CD0A46" w:rsidRDefault="00FA1734" w:rsidP="009D063F">
            <w:pPr>
              <w:pStyle w:val="ListParagraph"/>
              <w:suppressAutoHyphens/>
              <w:spacing w:before="120" w:line="276" w:lineRule="auto"/>
              <w:ind w:left="0"/>
              <w:jc w:val="both"/>
              <w:rPr>
                <w:b/>
                <w:lang w:eastAsia="en-US"/>
              </w:rPr>
            </w:pPr>
            <w:r>
              <w:rPr>
                <w:b/>
                <w:lang w:eastAsia="en-US"/>
              </w:rPr>
              <w:t>3</w:t>
            </w:r>
            <w:r w:rsidR="00934E7C" w:rsidRPr="00CD0A46">
              <w:rPr>
                <w:b/>
                <w:lang w:eastAsia="en-US"/>
              </w:rPr>
              <w:t xml:space="preserve">. </w:t>
            </w:r>
            <w:r w:rsidRPr="00B100E5">
              <w:rPr>
                <w:b/>
                <w:bCs/>
                <w:kern w:val="2"/>
                <w:lang w:eastAsia="en-US"/>
                <w14:ligatures w14:val="standardContextual"/>
              </w:rPr>
              <w:t>Specialieji reikalavimai</w:t>
            </w:r>
            <w:r w:rsidR="00934E7C" w:rsidRPr="00CD0A46">
              <w:rPr>
                <w:b/>
              </w:rPr>
              <w:t>:</w:t>
            </w:r>
          </w:p>
        </w:tc>
      </w:tr>
      <w:tr w:rsidR="00934E7C" w14:paraId="6F8C5524" w14:textId="77777777" w:rsidTr="000534BA">
        <w:trPr>
          <w:trHeight w:val="620"/>
        </w:trPr>
        <w:tc>
          <w:tcPr>
            <w:tcW w:w="4981" w:type="dxa"/>
          </w:tcPr>
          <w:p w14:paraId="56551768" w14:textId="695DDD92" w:rsidR="00934E7C" w:rsidRPr="00A51ED7" w:rsidRDefault="00FA1734" w:rsidP="009D063F">
            <w:pPr>
              <w:pStyle w:val="ListParagraph"/>
              <w:tabs>
                <w:tab w:val="left" w:pos="851"/>
                <w:tab w:val="left" w:pos="1134"/>
              </w:tabs>
              <w:ind w:left="0"/>
              <w:jc w:val="both"/>
            </w:pPr>
            <w:r>
              <w:rPr>
                <w:kern w:val="2"/>
                <w:lang w:eastAsia="en-US"/>
                <w14:ligatures w14:val="standardContextual"/>
              </w:rPr>
              <w:t xml:space="preserve">3.1. </w:t>
            </w:r>
            <w:r w:rsidRPr="00B100E5">
              <w:rPr>
                <w:kern w:val="2"/>
                <w:lang w:eastAsia="en-US"/>
                <w14:ligatures w14:val="standardContextual"/>
              </w:rPr>
              <w:t>Perkama programinė įranga turi leisti dirbti  ne mažiau kaip 12 vartotojų vienu metu</w:t>
            </w:r>
          </w:p>
        </w:tc>
        <w:tc>
          <w:tcPr>
            <w:tcW w:w="4981" w:type="dxa"/>
          </w:tcPr>
          <w:p w14:paraId="2F75E0D5" w14:textId="77777777" w:rsidR="00934E7C" w:rsidRDefault="008C10B5" w:rsidP="008C10B5">
            <w:pPr>
              <w:jc w:val="center"/>
              <w:rPr>
                <w:i/>
                <w:color w:val="FF0000"/>
              </w:rPr>
            </w:pPr>
            <w:r w:rsidRPr="008C10B5">
              <w:rPr>
                <w:i/>
                <w:color w:val="FF0000"/>
              </w:rPr>
              <w:t>Taip/Ne</w:t>
            </w:r>
          </w:p>
          <w:p w14:paraId="196FC2AE" w14:textId="583F061F" w:rsidR="00CD0A46" w:rsidRPr="008C10B5" w:rsidRDefault="00CD0A46" w:rsidP="008C10B5">
            <w:pPr>
              <w:jc w:val="center"/>
              <w:rPr>
                <w:i/>
                <w:color w:val="000000" w:themeColor="text1"/>
              </w:rPr>
            </w:pPr>
            <w:r w:rsidRPr="008C10B5">
              <w:rPr>
                <w:i/>
                <w:color w:val="FF0000"/>
              </w:rPr>
              <w:t>(tikslus aprašymas)</w:t>
            </w:r>
          </w:p>
        </w:tc>
      </w:tr>
      <w:tr w:rsidR="00934E7C" w14:paraId="2BE86657" w14:textId="77777777" w:rsidTr="000534BA">
        <w:trPr>
          <w:trHeight w:val="620"/>
        </w:trPr>
        <w:tc>
          <w:tcPr>
            <w:tcW w:w="4981" w:type="dxa"/>
          </w:tcPr>
          <w:p w14:paraId="75AB2E4D" w14:textId="6D74F786" w:rsidR="00934E7C" w:rsidRPr="00A51ED7" w:rsidRDefault="00FA1734" w:rsidP="00CD0A46">
            <w:pPr>
              <w:pStyle w:val="ListParagraph"/>
              <w:tabs>
                <w:tab w:val="left" w:pos="851"/>
                <w:tab w:val="left" w:pos="1134"/>
              </w:tabs>
              <w:ind w:left="0"/>
              <w:jc w:val="both"/>
            </w:pPr>
            <w:r>
              <w:t xml:space="preserve">3.2. </w:t>
            </w:r>
            <w:r w:rsidRPr="00B100E5">
              <w:rPr>
                <w:kern w:val="2"/>
                <w:lang w:eastAsia="en-US"/>
                <w14:ligatures w14:val="standardContextual"/>
              </w:rPr>
              <w:t>Kartu su programine įranga turi būti integruotas kibernetinių grėsmių analizės duomenų srautas, kurio funkcionalumas turi apimti</w:t>
            </w:r>
            <w:r>
              <w:rPr>
                <w:kern w:val="2"/>
                <w:lang w:eastAsia="en-US"/>
                <w14:ligatures w14:val="standardContextual"/>
              </w:rPr>
              <w:t>:</w:t>
            </w:r>
          </w:p>
        </w:tc>
        <w:tc>
          <w:tcPr>
            <w:tcW w:w="4981" w:type="dxa"/>
          </w:tcPr>
          <w:p w14:paraId="0D4B7FE9" w14:textId="77777777" w:rsidR="00CD0A46" w:rsidRDefault="00CD0A46" w:rsidP="00CD0A46">
            <w:pPr>
              <w:jc w:val="center"/>
              <w:rPr>
                <w:i/>
                <w:color w:val="FF0000"/>
              </w:rPr>
            </w:pPr>
            <w:r w:rsidRPr="008C10B5">
              <w:rPr>
                <w:i/>
                <w:color w:val="FF0000"/>
              </w:rPr>
              <w:t>Taip/Ne</w:t>
            </w:r>
          </w:p>
          <w:p w14:paraId="431C334A" w14:textId="3B48CE16" w:rsidR="00934E7C" w:rsidRDefault="00934E7C" w:rsidP="00CD0A46">
            <w:pPr>
              <w:suppressAutoHyphens/>
              <w:spacing w:line="276" w:lineRule="auto"/>
              <w:jc w:val="center"/>
              <w:rPr>
                <w:color w:val="FF0000"/>
                <w:lang w:eastAsia="en-US"/>
              </w:rPr>
            </w:pPr>
          </w:p>
        </w:tc>
      </w:tr>
      <w:tr w:rsidR="00934E7C" w14:paraId="2B926B2C" w14:textId="77777777" w:rsidTr="000534BA">
        <w:trPr>
          <w:trHeight w:val="620"/>
        </w:trPr>
        <w:tc>
          <w:tcPr>
            <w:tcW w:w="4981" w:type="dxa"/>
          </w:tcPr>
          <w:p w14:paraId="0DAAE3E3" w14:textId="7FA1C6C6" w:rsidR="00934E7C" w:rsidRPr="00A51ED7" w:rsidRDefault="00FA1734" w:rsidP="009D063F">
            <w:pPr>
              <w:pStyle w:val="ListParagraph"/>
              <w:tabs>
                <w:tab w:val="left" w:pos="851"/>
                <w:tab w:val="left" w:pos="1134"/>
              </w:tabs>
              <w:ind w:left="0"/>
              <w:jc w:val="both"/>
            </w:pPr>
            <w:r>
              <w:t xml:space="preserve">3.2.1. </w:t>
            </w:r>
            <w:r w:rsidRPr="00B100E5">
              <w:rPr>
                <w:kern w:val="2"/>
                <w:lang w:eastAsia="en-US"/>
                <w14:ligatures w14:val="standardContextual"/>
              </w:rPr>
              <w:t>Teikiamas ataskaitas, kuriose pateikiama techninė kenkėjiškų programų ir funkcijų analizė</w:t>
            </w:r>
            <w:r>
              <w:rPr>
                <w:kern w:val="2"/>
                <w:lang w:eastAsia="en-US"/>
                <w14:ligatures w14:val="standardContextual"/>
              </w:rPr>
              <w:t>;</w:t>
            </w:r>
          </w:p>
        </w:tc>
        <w:tc>
          <w:tcPr>
            <w:tcW w:w="4981" w:type="dxa"/>
          </w:tcPr>
          <w:p w14:paraId="56D6F132" w14:textId="77777777" w:rsidR="00CD0A46" w:rsidRDefault="00CD0A46" w:rsidP="00CD0A46">
            <w:pPr>
              <w:jc w:val="center"/>
              <w:rPr>
                <w:i/>
                <w:color w:val="FF0000"/>
              </w:rPr>
            </w:pPr>
            <w:r w:rsidRPr="008C10B5">
              <w:rPr>
                <w:i/>
                <w:color w:val="FF0000"/>
              </w:rPr>
              <w:t>Taip/Ne</w:t>
            </w:r>
          </w:p>
          <w:p w14:paraId="6FF52B7E" w14:textId="7C5394A9" w:rsidR="00934E7C" w:rsidRDefault="00934E7C" w:rsidP="00CD0A46">
            <w:pPr>
              <w:suppressAutoHyphens/>
              <w:spacing w:line="276" w:lineRule="auto"/>
              <w:jc w:val="center"/>
              <w:rPr>
                <w:color w:val="FF0000"/>
                <w:lang w:eastAsia="en-US"/>
              </w:rPr>
            </w:pPr>
          </w:p>
        </w:tc>
      </w:tr>
      <w:tr w:rsidR="00934E7C" w14:paraId="6B1BE57A" w14:textId="77777777" w:rsidTr="000534BA">
        <w:trPr>
          <w:trHeight w:val="620"/>
        </w:trPr>
        <w:tc>
          <w:tcPr>
            <w:tcW w:w="4981" w:type="dxa"/>
          </w:tcPr>
          <w:p w14:paraId="2B264E21" w14:textId="2C738941" w:rsidR="00934E7C" w:rsidRPr="00A51ED7" w:rsidRDefault="00FA1734" w:rsidP="009D063F">
            <w:pPr>
              <w:pStyle w:val="ListParagraph"/>
              <w:tabs>
                <w:tab w:val="left" w:pos="851"/>
                <w:tab w:val="left" w:pos="1134"/>
              </w:tabs>
              <w:ind w:left="0"/>
              <w:jc w:val="both"/>
            </w:pPr>
            <w:r>
              <w:t xml:space="preserve">3.2.2. </w:t>
            </w:r>
            <w:r w:rsidRPr="00B100E5">
              <w:rPr>
                <w:kern w:val="2"/>
                <w:lang w:eastAsia="en-US"/>
                <w14:ligatures w14:val="standardContextual"/>
              </w:rPr>
              <w:t>Kenkėjiškos infrastruktūros stebėjimą ir su juo susijusias ataskaitas</w:t>
            </w:r>
            <w:r>
              <w:rPr>
                <w:kern w:val="2"/>
                <w:lang w:eastAsia="en-US"/>
                <w14:ligatures w14:val="standardContextual"/>
              </w:rPr>
              <w:t>;</w:t>
            </w:r>
          </w:p>
        </w:tc>
        <w:tc>
          <w:tcPr>
            <w:tcW w:w="4981" w:type="dxa"/>
          </w:tcPr>
          <w:p w14:paraId="2903B1DC" w14:textId="77777777" w:rsidR="00CD0A46" w:rsidRDefault="00CD0A46" w:rsidP="00CD0A46">
            <w:pPr>
              <w:jc w:val="center"/>
              <w:rPr>
                <w:i/>
                <w:color w:val="FF0000"/>
              </w:rPr>
            </w:pPr>
            <w:r w:rsidRPr="008C10B5">
              <w:rPr>
                <w:i/>
                <w:color w:val="FF0000"/>
              </w:rPr>
              <w:t>Taip/Ne</w:t>
            </w:r>
          </w:p>
          <w:p w14:paraId="779004FA" w14:textId="67654778" w:rsidR="00934E7C" w:rsidRDefault="00934E7C" w:rsidP="00CD0A46">
            <w:pPr>
              <w:suppressAutoHyphens/>
              <w:spacing w:line="276" w:lineRule="auto"/>
              <w:jc w:val="center"/>
              <w:rPr>
                <w:color w:val="FF0000"/>
                <w:lang w:eastAsia="en-US"/>
              </w:rPr>
            </w:pPr>
          </w:p>
        </w:tc>
      </w:tr>
      <w:tr w:rsidR="00934E7C" w14:paraId="35819D7A" w14:textId="77777777" w:rsidTr="000534BA">
        <w:trPr>
          <w:trHeight w:val="620"/>
        </w:trPr>
        <w:tc>
          <w:tcPr>
            <w:tcW w:w="4981" w:type="dxa"/>
          </w:tcPr>
          <w:p w14:paraId="283F6080" w14:textId="4515B434" w:rsidR="00934E7C" w:rsidRPr="00A51ED7" w:rsidRDefault="00FA1734" w:rsidP="009D063F">
            <w:pPr>
              <w:pStyle w:val="ListParagraph"/>
              <w:tabs>
                <w:tab w:val="left" w:pos="851"/>
                <w:tab w:val="left" w:pos="1134"/>
              </w:tabs>
              <w:ind w:left="0"/>
              <w:jc w:val="both"/>
            </w:pPr>
            <w:r>
              <w:t xml:space="preserve">3.2.3. </w:t>
            </w:r>
            <w:r w:rsidRPr="00B100E5">
              <w:rPr>
                <w:kern w:val="2"/>
                <w:lang w:eastAsia="en-US"/>
                <w14:ligatures w14:val="standardContextual"/>
              </w:rPr>
              <w:t>Pasitelkus to srauto funkcionalumą, galimybė sekti DDoS kampanijas, kurias vykdo haktyvistų (angl. Hackivist) grupės</w:t>
            </w:r>
            <w:r>
              <w:rPr>
                <w:kern w:val="2"/>
                <w:lang w:eastAsia="en-US"/>
                <w14:ligatures w14:val="standardContextual"/>
              </w:rPr>
              <w:t>;</w:t>
            </w:r>
          </w:p>
        </w:tc>
        <w:tc>
          <w:tcPr>
            <w:tcW w:w="4981" w:type="dxa"/>
          </w:tcPr>
          <w:p w14:paraId="3E5F9FA9" w14:textId="77777777" w:rsidR="00CD0A46" w:rsidRDefault="00CD0A46" w:rsidP="00CD0A46">
            <w:pPr>
              <w:jc w:val="center"/>
              <w:rPr>
                <w:i/>
                <w:color w:val="FF0000"/>
              </w:rPr>
            </w:pPr>
            <w:r w:rsidRPr="008C10B5">
              <w:rPr>
                <w:i/>
                <w:color w:val="FF0000"/>
              </w:rPr>
              <w:t>Taip/Ne</w:t>
            </w:r>
          </w:p>
          <w:p w14:paraId="2265C6A0" w14:textId="6CAEF8B1" w:rsidR="00934E7C" w:rsidRDefault="00934E7C" w:rsidP="00CD0A46">
            <w:pPr>
              <w:suppressAutoHyphens/>
              <w:spacing w:line="276" w:lineRule="auto"/>
              <w:jc w:val="center"/>
              <w:rPr>
                <w:color w:val="FF0000"/>
                <w:lang w:eastAsia="en-US"/>
              </w:rPr>
            </w:pPr>
          </w:p>
        </w:tc>
      </w:tr>
      <w:tr w:rsidR="00934E7C" w14:paraId="6DA76AAD" w14:textId="77777777" w:rsidTr="000534BA">
        <w:trPr>
          <w:trHeight w:val="620"/>
        </w:trPr>
        <w:tc>
          <w:tcPr>
            <w:tcW w:w="4981" w:type="dxa"/>
          </w:tcPr>
          <w:p w14:paraId="48831162" w14:textId="34AFCD7C" w:rsidR="00FA1734" w:rsidRDefault="00FA1734" w:rsidP="009D063F">
            <w:pPr>
              <w:pStyle w:val="ListParagraph"/>
              <w:tabs>
                <w:tab w:val="left" w:pos="851"/>
                <w:tab w:val="left" w:pos="1134"/>
              </w:tabs>
              <w:ind w:left="0"/>
              <w:jc w:val="both"/>
            </w:pPr>
            <w:r>
              <w:t xml:space="preserve">3.2.4. </w:t>
            </w:r>
            <w:r w:rsidRPr="00B100E5">
              <w:rPr>
                <w:kern w:val="2"/>
                <w:lang w:eastAsia="en-US"/>
                <w14:ligatures w14:val="standardContextual"/>
              </w:rPr>
              <w:t>Failų ir tinklo rodiklius</w:t>
            </w:r>
            <w:r>
              <w:rPr>
                <w:kern w:val="2"/>
                <w:lang w:eastAsia="en-US"/>
                <w14:ligatures w14:val="standardContextual"/>
              </w:rPr>
              <w:t>;</w:t>
            </w:r>
          </w:p>
          <w:p w14:paraId="3A29A367" w14:textId="77777777" w:rsidR="00934E7C" w:rsidRPr="00FA1734" w:rsidRDefault="00934E7C" w:rsidP="00FA1734">
            <w:pPr>
              <w:ind w:firstLine="720"/>
            </w:pPr>
          </w:p>
        </w:tc>
        <w:tc>
          <w:tcPr>
            <w:tcW w:w="4981" w:type="dxa"/>
          </w:tcPr>
          <w:p w14:paraId="7936F087" w14:textId="77777777" w:rsidR="00CD0A46" w:rsidRDefault="00CD0A46" w:rsidP="00CD0A46">
            <w:pPr>
              <w:jc w:val="center"/>
              <w:rPr>
                <w:i/>
                <w:color w:val="FF0000"/>
              </w:rPr>
            </w:pPr>
            <w:r w:rsidRPr="008C10B5">
              <w:rPr>
                <w:i/>
                <w:color w:val="FF0000"/>
              </w:rPr>
              <w:t>Taip/Ne</w:t>
            </w:r>
          </w:p>
          <w:p w14:paraId="673EC20D" w14:textId="5F702E0C" w:rsidR="00934E7C" w:rsidRDefault="00934E7C" w:rsidP="00CD0A46">
            <w:pPr>
              <w:suppressAutoHyphens/>
              <w:spacing w:line="276" w:lineRule="auto"/>
              <w:jc w:val="center"/>
              <w:rPr>
                <w:color w:val="FF0000"/>
                <w:lang w:eastAsia="en-US"/>
              </w:rPr>
            </w:pPr>
          </w:p>
        </w:tc>
      </w:tr>
      <w:tr w:rsidR="00934E7C" w14:paraId="47F11E25" w14:textId="77777777" w:rsidTr="000534BA">
        <w:trPr>
          <w:trHeight w:val="620"/>
        </w:trPr>
        <w:tc>
          <w:tcPr>
            <w:tcW w:w="4981" w:type="dxa"/>
          </w:tcPr>
          <w:p w14:paraId="4AB455A6" w14:textId="50C4CB96" w:rsidR="00934E7C" w:rsidRPr="00A51ED7" w:rsidRDefault="00FA1734" w:rsidP="009D063F">
            <w:pPr>
              <w:pStyle w:val="ListParagraph"/>
              <w:tabs>
                <w:tab w:val="left" w:pos="851"/>
                <w:tab w:val="left" w:pos="1134"/>
              </w:tabs>
              <w:ind w:left="0"/>
              <w:jc w:val="both"/>
            </w:pPr>
            <w:r>
              <w:t xml:space="preserve">3.2.5. </w:t>
            </w:r>
            <w:r w:rsidRPr="00B100E5">
              <w:rPr>
                <w:kern w:val="2"/>
                <w:lang w:eastAsia="en-US"/>
                <w14:ligatures w14:val="standardContextual"/>
              </w:rPr>
              <w:t>Informacija apie kibernetines grėsmes, kuri renkama iš internetinių forumų, socialinės medijos, tekstinės informacijos įklijavimo, internetinių pokalbių, informavimo apie kibernetines grėsmes interneto svetainių, taip pat “gilaus” (angl deep) ir “tamsaus” (angl. Dark) internetų</w:t>
            </w:r>
          </w:p>
        </w:tc>
        <w:tc>
          <w:tcPr>
            <w:tcW w:w="4981" w:type="dxa"/>
          </w:tcPr>
          <w:p w14:paraId="28C317AE" w14:textId="77777777" w:rsidR="00FA1734" w:rsidRDefault="00FA1734" w:rsidP="00CD0A46">
            <w:pPr>
              <w:jc w:val="center"/>
              <w:rPr>
                <w:i/>
                <w:color w:val="FF0000"/>
              </w:rPr>
            </w:pPr>
          </w:p>
          <w:p w14:paraId="6321E295" w14:textId="77777777" w:rsidR="00CD0A46" w:rsidRDefault="00CD0A46" w:rsidP="00CD0A46">
            <w:pPr>
              <w:jc w:val="center"/>
              <w:rPr>
                <w:i/>
                <w:color w:val="FF0000"/>
              </w:rPr>
            </w:pPr>
            <w:r w:rsidRPr="008C10B5">
              <w:rPr>
                <w:i/>
                <w:color w:val="FF0000"/>
              </w:rPr>
              <w:t>Taip/Ne</w:t>
            </w:r>
          </w:p>
          <w:p w14:paraId="0346A33D" w14:textId="25FE5F59" w:rsidR="00934E7C" w:rsidRDefault="00CD0A46" w:rsidP="00CD0A46">
            <w:pPr>
              <w:suppressAutoHyphens/>
              <w:spacing w:line="276" w:lineRule="auto"/>
              <w:jc w:val="center"/>
              <w:rPr>
                <w:color w:val="FF0000"/>
                <w:lang w:eastAsia="en-US"/>
              </w:rPr>
            </w:pPr>
            <w:r w:rsidRPr="008C10B5">
              <w:rPr>
                <w:i/>
                <w:color w:val="FF0000"/>
              </w:rPr>
              <w:t>(tikslus aprašymas)</w:t>
            </w:r>
          </w:p>
        </w:tc>
      </w:tr>
      <w:tr w:rsidR="00934E7C" w14:paraId="73D22F0D" w14:textId="77777777" w:rsidTr="000534BA">
        <w:trPr>
          <w:trHeight w:val="620"/>
        </w:trPr>
        <w:tc>
          <w:tcPr>
            <w:tcW w:w="4981" w:type="dxa"/>
          </w:tcPr>
          <w:p w14:paraId="081E5A1F" w14:textId="2CFE5870" w:rsidR="00934E7C" w:rsidRPr="00A51ED7" w:rsidRDefault="00FA1734" w:rsidP="00CD0A46">
            <w:pPr>
              <w:pStyle w:val="ListParagraph"/>
              <w:tabs>
                <w:tab w:val="left" w:pos="851"/>
                <w:tab w:val="left" w:pos="1134"/>
              </w:tabs>
              <w:ind w:left="0"/>
              <w:jc w:val="both"/>
            </w:pPr>
            <w:r>
              <w:t xml:space="preserve">3.2.6. </w:t>
            </w:r>
            <w:r w:rsidRPr="00B100E5">
              <w:rPr>
                <w:kern w:val="2"/>
                <w:lang w:eastAsia="en-US"/>
                <w14:ligatures w14:val="standardContextual"/>
              </w:rPr>
              <w:t>Duomenų srautas turi atlikti pažeidžiamumų vertinimą (angl. scoring of vulnerabilities) ir jų išnaudojimą (angl. exploit)</w:t>
            </w:r>
            <w:r>
              <w:rPr>
                <w:kern w:val="2"/>
                <w:lang w:eastAsia="en-US"/>
                <w14:ligatures w14:val="standardContextual"/>
              </w:rPr>
              <w:t>.</w:t>
            </w:r>
          </w:p>
        </w:tc>
        <w:tc>
          <w:tcPr>
            <w:tcW w:w="4981" w:type="dxa"/>
          </w:tcPr>
          <w:p w14:paraId="34938C24" w14:textId="77777777" w:rsidR="00FA1734" w:rsidRDefault="00FA1734" w:rsidP="000534BA">
            <w:pPr>
              <w:suppressAutoHyphens/>
              <w:spacing w:line="276" w:lineRule="auto"/>
              <w:jc w:val="center"/>
              <w:rPr>
                <w:i/>
                <w:color w:val="FF0000"/>
              </w:rPr>
            </w:pPr>
          </w:p>
          <w:p w14:paraId="0F74183A"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059D6C4B" w14:textId="77777777" w:rsidTr="000534BA">
        <w:trPr>
          <w:trHeight w:val="620"/>
        </w:trPr>
        <w:tc>
          <w:tcPr>
            <w:tcW w:w="4981" w:type="dxa"/>
          </w:tcPr>
          <w:p w14:paraId="6163F896" w14:textId="52F1D962" w:rsidR="00934E7C" w:rsidRPr="00A51ED7" w:rsidRDefault="00FA1734" w:rsidP="009D063F">
            <w:pPr>
              <w:pStyle w:val="ListParagraph"/>
              <w:tabs>
                <w:tab w:val="left" w:pos="851"/>
                <w:tab w:val="left" w:pos="1134"/>
              </w:tabs>
              <w:ind w:left="0"/>
              <w:jc w:val="both"/>
            </w:pPr>
            <w:r>
              <w:t xml:space="preserve">3.3. </w:t>
            </w:r>
            <w:r w:rsidRPr="00B100E5">
              <w:rPr>
                <w:kern w:val="2"/>
                <w:lang w:eastAsia="en-US"/>
                <w14:ligatures w14:val="standardContextual"/>
              </w:rPr>
              <w:t>Programinė įranga  privalo rinkti atvirajame internete skelbiamus straipsnius, naujienas ir ataskaitas susijusiais su</w:t>
            </w:r>
            <w:r>
              <w:rPr>
                <w:kern w:val="2"/>
                <w:lang w:eastAsia="en-US"/>
                <w14:ligatures w14:val="standardContextual"/>
              </w:rPr>
              <w:t>:</w:t>
            </w:r>
          </w:p>
        </w:tc>
        <w:tc>
          <w:tcPr>
            <w:tcW w:w="4981" w:type="dxa"/>
          </w:tcPr>
          <w:p w14:paraId="2493DC10" w14:textId="77777777" w:rsidR="00934E7C" w:rsidRDefault="008C10B5" w:rsidP="000534BA">
            <w:pPr>
              <w:suppressAutoHyphens/>
              <w:spacing w:line="276" w:lineRule="auto"/>
              <w:jc w:val="center"/>
              <w:rPr>
                <w:i/>
                <w:color w:val="FF0000"/>
              </w:rPr>
            </w:pPr>
            <w:r w:rsidRPr="008C10B5">
              <w:rPr>
                <w:i/>
                <w:color w:val="FF0000"/>
              </w:rPr>
              <w:t>Taip/Ne</w:t>
            </w:r>
          </w:p>
          <w:p w14:paraId="53447DDD" w14:textId="232D5FA4" w:rsidR="00CD0A46" w:rsidRDefault="00CD0A46" w:rsidP="000534BA">
            <w:pPr>
              <w:suppressAutoHyphens/>
              <w:spacing w:line="276" w:lineRule="auto"/>
              <w:jc w:val="center"/>
              <w:rPr>
                <w:color w:val="FF0000"/>
                <w:lang w:eastAsia="en-US"/>
              </w:rPr>
            </w:pPr>
          </w:p>
        </w:tc>
      </w:tr>
      <w:tr w:rsidR="00CD0A46" w14:paraId="4B8A00E5" w14:textId="77777777" w:rsidTr="000534BA">
        <w:trPr>
          <w:trHeight w:val="620"/>
        </w:trPr>
        <w:tc>
          <w:tcPr>
            <w:tcW w:w="4981" w:type="dxa"/>
          </w:tcPr>
          <w:p w14:paraId="375587E5" w14:textId="49708C0C" w:rsidR="00CD0A46" w:rsidRDefault="00FA1734" w:rsidP="009D063F">
            <w:pPr>
              <w:pStyle w:val="ListParagraph"/>
              <w:tabs>
                <w:tab w:val="left" w:pos="851"/>
                <w:tab w:val="left" w:pos="1134"/>
              </w:tabs>
              <w:ind w:left="0"/>
              <w:jc w:val="both"/>
            </w:pPr>
            <w:r>
              <w:t xml:space="preserve">a) </w:t>
            </w:r>
            <w:r w:rsidRPr="00B100E5">
              <w:rPr>
                <w:kern w:val="2"/>
                <w:lang w:eastAsia="en-US"/>
                <w14:ligatures w14:val="standardContextual"/>
              </w:rPr>
              <w:t>pažeidžiamumais</w:t>
            </w:r>
            <w:r>
              <w:rPr>
                <w:kern w:val="2"/>
                <w:lang w:eastAsia="en-US"/>
                <w14:ligatures w14:val="standardContextual"/>
              </w:rPr>
              <w:t>;</w:t>
            </w:r>
          </w:p>
        </w:tc>
        <w:tc>
          <w:tcPr>
            <w:tcW w:w="4981" w:type="dxa"/>
          </w:tcPr>
          <w:p w14:paraId="674B3701" w14:textId="5CED56BE" w:rsidR="00CD0A46" w:rsidRPr="008C10B5" w:rsidRDefault="00CD0A46" w:rsidP="000534BA">
            <w:pPr>
              <w:suppressAutoHyphens/>
              <w:spacing w:line="276" w:lineRule="auto"/>
              <w:jc w:val="center"/>
              <w:rPr>
                <w:i/>
                <w:color w:val="FF0000"/>
              </w:rPr>
            </w:pPr>
            <w:r w:rsidRPr="008C10B5">
              <w:rPr>
                <w:i/>
                <w:color w:val="FF0000"/>
              </w:rPr>
              <w:t>Taip/Ne</w:t>
            </w:r>
          </w:p>
        </w:tc>
      </w:tr>
      <w:tr w:rsidR="00CD0A46" w14:paraId="5AB155D1" w14:textId="77777777" w:rsidTr="000534BA">
        <w:trPr>
          <w:trHeight w:val="620"/>
        </w:trPr>
        <w:tc>
          <w:tcPr>
            <w:tcW w:w="4981" w:type="dxa"/>
          </w:tcPr>
          <w:p w14:paraId="4E3CF34F" w14:textId="11FF24F6" w:rsidR="00CD0A46" w:rsidRDefault="00FA1734" w:rsidP="009D063F">
            <w:pPr>
              <w:pStyle w:val="ListParagraph"/>
              <w:tabs>
                <w:tab w:val="left" w:pos="851"/>
                <w:tab w:val="left" w:pos="1134"/>
              </w:tabs>
              <w:ind w:left="0"/>
              <w:jc w:val="both"/>
            </w:pPr>
            <w:r>
              <w:t xml:space="preserve">b) </w:t>
            </w:r>
            <w:r w:rsidRPr="00B100E5">
              <w:rPr>
                <w:kern w:val="2"/>
                <w:lang w:eastAsia="en-US"/>
                <w14:ligatures w14:val="standardContextual"/>
              </w:rPr>
              <w:t>kenkėjiškų veikėjų bei programų veikla</w:t>
            </w:r>
            <w:r>
              <w:rPr>
                <w:kern w:val="2"/>
                <w:lang w:eastAsia="en-US"/>
                <w14:ligatures w14:val="standardContextual"/>
              </w:rPr>
              <w:t>;</w:t>
            </w:r>
          </w:p>
        </w:tc>
        <w:tc>
          <w:tcPr>
            <w:tcW w:w="4981" w:type="dxa"/>
          </w:tcPr>
          <w:p w14:paraId="134F0CF9" w14:textId="1825A878" w:rsidR="00CD0A46" w:rsidRPr="008C10B5" w:rsidRDefault="00CD0A46" w:rsidP="000534BA">
            <w:pPr>
              <w:suppressAutoHyphens/>
              <w:spacing w:line="276" w:lineRule="auto"/>
              <w:jc w:val="center"/>
              <w:rPr>
                <w:i/>
                <w:color w:val="FF0000"/>
              </w:rPr>
            </w:pPr>
            <w:r w:rsidRPr="008C10B5">
              <w:rPr>
                <w:i/>
                <w:color w:val="FF0000"/>
              </w:rPr>
              <w:t>Taip/Ne</w:t>
            </w:r>
          </w:p>
        </w:tc>
      </w:tr>
      <w:tr w:rsidR="00CD0A46" w14:paraId="091A9324" w14:textId="77777777" w:rsidTr="000534BA">
        <w:trPr>
          <w:trHeight w:val="620"/>
        </w:trPr>
        <w:tc>
          <w:tcPr>
            <w:tcW w:w="4981" w:type="dxa"/>
          </w:tcPr>
          <w:p w14:paraId="68C95C1B" w14:textId="162AD402" w:rsidR="00CD0A46" w:rsidRDefault="00FA1734" w:rsidP="009D063F">
            <w:pPr>
              <w:pStyle w:val="ListParagraph"/>
              <w:tabs>
                <w:tab w:val="left" w:pos="851"/>
                <w:tab w:val="left" w:pos="1134"/>
              </w:tabs>
              <w:ind w:left="0"/>
              <w:jc w:val="both"/>
            </w:pPr>
            <w:r>
              <w:t xml:space="preserve">c) </w:t>
            </w:r>
            <w:r w:rsidRPr="00B100E5">
              <w:rPr>
                <w:kern w:val="2"/>
                <w:lang w:eastAsia="en-US"/>
                <w14:ligatures w14:val="standardContextual"/>
              </w:rPr>
              <w:t>informacijos nutekėjimu</w:t>
            </w:r>
            <w:r>
              <w:rPr>
                <w:kern w:val="2"/>
                <w:lang w:eastAsia="en-US"/>
                <w14:ligatures w14:val="standardContextual"/>
              </w:rPr>
              <w:t>;</w:t>
            </w:r>
          </w:p>
        </w:tc>
        <w:tc>
          <w:tcPr>
            <w:tcW w:w="4981" w:type="dxa"/>
          </w:tcPr>
          <w:p w14:paraId="0FDF6B0D" w14:textId="77BCB737" w:rsidR="00CD0A46" w:rsidRPr="008C10B5" w:rsidRDefault="00CD0A46" w:rsidP="000534BA">
            <w:pPr>
              <w:suppressAutoHyphens/>
              <w:spacing w:line="276" w:lineRule="auto"/>
              <w:jc w:val="center"/>
              <w:rPr>
                <w:i/>
                <w:color w:val="FF0000"/>
              </w:rPr>
            </w:pPr>
            <w:r w:rsidRPr="008C10B5">
              <w:rPr>
                <w:i/>
                <w:color w:val="FF0000"/>
              </w:rPr>
              <w:t>Taip/Ne</w:t>
            </w:r>
          </w:p>
        </w:tc>
      </w:tr>
      <w:tr w:rsidR="00934E7C" w14:paraId="6E19C8FC" w14:textId="77777777" w:rsidTr="000534BA">
        <w:trPr>
          <w:trHeight w:val="620"/>
        </w:trPr>
        <w:tc>
          <w:tcPr>
            <w:tcW w:w="4981" w:type="dxa"/>
          </w:tcPr>
          <w:p w14:paraId="5EEBCF70" w14:textId="4128FFE2" w:rsidR="00934E7C" w:rsidRPr="00A51ED7" w:rsidRDefault="00FA1734" w:rsidP="00CD0A46">
            <w:pPr>
              <w:pStyle w:val="ListParagraph"/>
              <w:tabs>
                <w:tab w:val="left" w:pos="851"/>
                <w:tab w:val="left" w:pos="1134"/>
              </w:tabs>
              <w:ind w:left="0"/>
              <w:jc w:val="both"/>
            </w:pPr>
            <w:r>
              <w:t xml:space="preserve">d) </w:t>
            </w:r>
            <w:r w:rsidRPr="00B100E5">
              <w:rPr>
                <w:kern w:val="2"/>
                <w:lang w:eastAsia="en-US"/>
                <w14:ligatures w14:val="standardContextual"/>
              </w:rPr>
              <w:t>vykstančias kibernetines atakas</w:t>
            </w:r>
            <w:r>
              <w:rPr>
                <w:kern w:val="2"/>
                <w:lang w:eastAsia="en-US"/>
                <w14:ligatures w14:val="standardContextual"/>
              </w:rPr>
              <w:t>;</w:t>
            </w:r>
          </w:p>
        </w:tc>
        <w:tc>
          <w:tcPr>
            <w:tcW w:w="4981" w:type="dxa"/>
          </w:tcPr>
          <w:p w14:paraId="1781EACF"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050EBFA8" w14:textId="77777777" w:rsidTr="000534BA">
        <w:trPr>
          <w:trHeight w:val="620"/>
        </w:trPr>
        <w:tc>
          <w:tcPr>
            <w:tcW w:w="4981" w:type="dxa"/>
          </w:tcPr>
          <w:p w14:paraId="6E4057D1" w14:textId="5E90EE39" w:rsidR="00934E7C" w:rsidRPr="00A51ED7" w:rsidRDefault="00FA1734" w:rsidP="009D063F">
            <w:pPr>
              <w:pStyle w:val="ListParagraph"/>
              <w:tabs>
                <w:tab w:val="left" w:pos="851"/>
                <w:tab w:val="left" w:pos="1134"/>
              </w:tabs>
              <w:ind w:left="0"/>
              <w:jc w:val="both"/>
            </w:pPr>
            <w:r>
              <w:lastRenderedPageBreak/>
              <w:t xml:space="preserve">e) </w:t>
            </w:r>
            <w:r w:rsidRPr="00B100E5">
              <w:rPr>
                <w:kern w:val="2"/>
                <w:lang w:eastAsia="en-US"/>
                <w14:ligatures w14:val="standardContextual"/>
              </w:rPr>
              <w:t>išpirkos reikalaujančia kenkėjiška programine įranga, bei kitomis kibernetinėmis grėsmėmis</w:t>
            </w:r>
            <w:r>
              <w:rPr>
                <w:kern w:val="2"/>
                <w:lang w:eastAsia="en-US"/>
                <w14:ligatures w14:val="standardContextual"/>
              </w:rPr>
              <w:t>.</w:t>
            </w:r>
          </w:p>
        </w:tc>
        <w:tc>
          <w:tcPr>
            <w:tcW w:w="4981" w:type="dxa"/>
          </w:tcPr>
          <w:p w14:paraId="3575D8E6"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FA1734" w14:paraId="0BB56A69" w14:textId="77777777" w:rsidTr="00C528A3">
        <w:trPr>
          <w:trHeight w:val="620"/>
        </w:trPr>
        <w:tc>
          <w:tcPr>
            <w:tcW w:w="9962" w:type="dxa"/>
            <w:gridSpan w:val="2"/>
            <w:shd w:val="clear" w:color="auto" w:fill="E7E6E6" w:themeFill="background2"/>
          </w:tcPr>
          <w:p w14:paraId="044FFD4F" w14:textId="13C60D9D" w:rsidR="00FA1734" w:rsidRPr="00CD0A46" w:rsidRDefault="00FA1734" w:rsidP="00C528A3">
            <w:pPr>
              <w:pStyle w:val="ListParagraph"/>
              <w:suppressAutoHyphens/>
              <w:spacing w:before="120" w:line="276" w:lineRule="auto"/>
              <w:ind w:left="0"/>
              <w:jc w:val="both"/>
              <w:rPr>
                <w:b/>
                <w:lang w:eastAsia="en-US"/>
              </w:rPr>
            </w:pPr>
            <w:r w:rsidRPr="00FA1734">
              <w:rPr>
                <w:lang w:eastAsia="en-US"/>
              </w:rPr>
              <w:t>3.4.</w:t>
            </w:r>
            <w:r>
              <w:rPr>
                <w:b/>
                <w:lang w:eastAsia="en-US"/>
              </w:rPr>
              <w:t xml:space="preserve"> </w:t>
            </w:r>
            <w:r w:rsidRPr="00B100E5">
              <w:rPr>
                <w:kern w:val="2"/>
                <w:lang w:eastAsia="en-US"/>
                <w14:ligatures w14:val="standardContextual"/>
              </w:rPr>
              <w:t>Turi būti informacija renkama iš</w:t>
            </w:r>
            <w:r>
              <w:rPr>
                <w:kern w:val="2"/>
                <w:lang w:eastAsia="en-US"/>
                <w14:ligatures w14:val="standardContextual"/>
              </w:rPr>
              <w:t>:</w:t>
            </w:r>
          </w:p>
        </w:tc>
      </w:tr>
      <w:tr w:rsidR="00934E7C" w14:paraId="276302D0" w14:textId="77777777" w:rsidTr="000534BA">
        <w:trPr>
          <w:trHeight w:val="620"/>
        </w:trPr>
        <w:tc>
          <w:tcPr>
            <w:tcW w:w="4981" w:type="dxa"/>
          </w:tcPr>
          <w:p w14:paraId="2DE0FF56" w14:textId="5000B6DF" w:rsidR="00934E7C" w:rsidRPr="00A51ED7" w:rsidRDefault="00FA1734" w:rsidP="009D063F">
            <w:pPr>
              <w:pStyle w:val="ListParagraph"/>
              <w:tabs>
                <w:tab w:val="left" w:pos="851"/>
                <w:tab w:val="left" w:pos="1134"/>
              </w:tabs>
              <w:ind w:left="0"/>
              <w:jc w:val="both"/>
            </w:pPr>
            <w:r>
              <w:t xml:space="preserve">a) </w:t>
            </w:r>
            <w:r w:rsidRPr="00B100E5">
              <w:rPr>
                <w:kern w:val="2"/>
                <w:lang w:eastAsia="en-US"/>
                <w14:ligatures w14:val="standardContextual"/>
              </w:rPr>
              <w:t>nacionalinių ir kitų kompiuterių saugumo centrų (angl. CERT)</w:t>
            </w:r>
            <w:r w:rsidR="00C32B56">
              <w:rPr>
                <w:kern w:val="2"/>
                <w:lang w:eastAsia="en-US"/>
                <w14:ligatures w14:val="standardContextual"/>
              </w:rPr>
              <w:t>;</w:t>
            </w:r>
          </w:p>
        </w:tc>
        <w:tc>
          <w:tcPr>
            <w:tcW w:w="4981" w:type="dxa"/>
          </w:tcPr>
          <w:p w14:paraId="2BB0596A"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79305300" w14:textId="77777777" w:rsidTr="000534BA">
        <w:trPr>
          <w:trHeight w:val="620"/>
        </w:trPr>
        <w:tc>
          <w:tcPr>
            <w:tcW w:w="4981" w:type="dxa"/>
          </w:tcPr>
          <w:p w14:paraId="1C6FAE18" w14:textId="5CD5E156" w:rsidR="00934E7C" w:rsidRDefault="00C32B56" w:rsidP="009D063F">
            <w:pPr>
              <w:pStyle w:val="ListParagraph"/>
              <w:tabs>
                <w:tab w:val="left" w:pos="851"/>
                <w:tab w:val="left" w:pos="1134"/>
              </w:tabs>
              <w:ind w:left="0"/>
              <w:jc w:val="both"/>
            </w:pPr>
            <w:r>
              <w:t xml:space="preserve">b) </w:t>
            </w:r>
            <w:r w:rsidRPr="00B100E5">
              <w:rPr>
                <w:kern w:val="2"/>
                <w:lang w:eastAsia="en-US"/>
                <w14:ligatures w14:val="standardContextual"/>
              </w:rPr>
              <w:t>blogų</w:t>
            </w:r>
            <w:r>
              <w:rPr>
                <w:kern w:val="2"/>
                <w:lang w:eastAsia="en-US"/>
                <w14:ligatures w14:val="standardContextual"/>
              </w:rPr>
              <w:t>;</w:t>
            </w:r>
          </w:p>
        </w:tc>
        <w:tc>
          <w:tcPr>
            <w:tcW w:w="4981" w:type="dxa"/>
          </w:tcPr>
          <w:p w14:paraId="0376A1F8"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25D2F0D3" w14:textId="77777777" w:rsidTr="000534BA">
        <w:trPr>
          <w:trHeight w:val="620"/>
        </w:trPr>
        <w:tc>
          <w:tcPr>
            <w:tcW w:w="4981" w:type="dxa"/>
          </w:tcPr>
          <w:p w14:paraId="2C1E4BD8" w14:textId="7C53C65B" w:rsidR="00934E7C" w:rsidRPr="00A51ED7" w:rsidRDefault="00C32B56" w:rsidP="009D063F">
            <w:pPr>
              <w:pStyle w:val="ListParagraph"/>
              <w:tabs>
                <w:tab w:val="left" w:pos="851"/>
                <w:tab w:val="left" w:pos="1134"/>
              </w:tabs>
              <w:ind w:left="0"/>
              <w:jc w:val="both"/>
            </w:pPr>
            <w:r>
              <w:t xml:space="preserve">c) </w:t>
            </w:r>
            <w:r w:rsidRPr="00B100E5">
              <w:rPr>
                <w:kern w:val="2"/>
                <w:lang w:eastAsia="en-US"/>
                <w14:ligatures w14:val="standardContextual"/>
              </w:rPr>
              <w:t>pasaulinių (įskaitant, bet neapsiribojant Microsoft, Apple, Google, Oracle)  programinės ir saugumo įrangos gamintojų, bei kibernetinio saugumo ekspertų naujienų</w:t>
            </w:r>
            <w:r>
              <w:rPr>
                <w:kern w:val="2"/>
                <w:lang w:eastAsia="en-US"/>
                <w14:ligatures w14:val="standardContextual"/>
              </w:rPr>
              <w:t>;</w:t>
            </w:r>
          </w:p>
        </w:tc>
        <w:tc>
          <w:tcPr>
            <w:tcW w:w="4981" w:type="dxa"/>
          </w:tcPr>
          <w:p w14:paraId="27E36C6D" w14:textId="77777777" w:rsidR="00CD0A46" w:rsidRDefault="00CD0A46" w:rsidP="000534BA">
            <w:pPr>
              <w:suppressAutoHyphens/>
              <w:spacing w:line="276" w:lineRule="auto"/>
              <w:jc w:val="center"/>
              <w:rPr>
                <w:i/>
                <w:color w:val="FF0000"/>
              </w:rPr>
            </w:pPr>
          </w:p>
          <w:p w14:paraId="5AC356C1" w14:textId="77777777" w:rsidR="00CD0A46" w:rsidRDefault="00CD0A46" w:rsidP="000534BA">
            <w:pPr>
              <w:suppressAutoHyphens/>
              <w:spacing w:line="276" w:lineRule="auto"/>
              <w:jc w:val="center"/>
              <w:rPr>
                <w:i/>
                <w:color w:val="FF0000"/>
              </w:rPr>
            </w:pPr>
          </w:p>
          <w:p w14:paraId="21506F84"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934E7C" w14:paraId="7B0F00D1" w14:textId="77777777" w:rsidTr="000534BA">
        <w:trPr>
          <w:trHeight w:val="620"/>
        </w:trPr>
        <w:tc>
          <w:tcPr>
            <w:tcW w:w="4981" w:type="dxa"/>
          </w:tcPr>
          <w:p w14:paraId="286D8846" w14:textId="4BDF70A6" w:rsidR="00934E7C" w:rsidRPr="00A51ED7" w:rsidRDefault="00C32B56" w:rsidP="009D063F">
            <w:pPr>
              <w:pStyle w:val="ListParagraph"/>
              <w:tabs>
                <w:tab w:val="left" w:pos="851"/>
                <w:tab w:val="left" w:pos="1134"/>
              </w:tabs>
              <w:ind w:left="0"/>
              <w:jc w:val="both"/>
            </w:pPr>
            <w:r>
              <w:t xml:space="preserve">d) </w:t>
            </w:r>
            <w:r w:rsidRPr="00B100E5">
              <w:rPr>
                <w:kern w:val="2"/>
                <w:lang w:eastAsia="en-US"/>
                <w14:ligatures w14:val="standardContextual"/>
              </w:rPr>
              <w:t>socialinių tinklų</w:t>
            </w:r>
            <w:r>
              <w:rPr>
                <w:kern w:val="2"/>
                <w:lang w:eastAsia="en-US"/>
                <w14:ligatures w14:val="standardContextual"/>
              </w:rPr>
              <w:t>;</w:t>
            </w:r>
          </w:p>
        </w:tc>
        <w:tc>
          <w:tcPr>
            <w:tcW w:w="4981" w:type="dxa"/>
          </w:tcPr>
          <w:p w14:paraId="0D11B30F" w14:textId="77777777" w:rsidR="00934E7C" w:rsidRDefault="008C10B5" w:rsidP="000534BA">
            <w:pPr>
              <w:suppressAutoHyphens/>
              <w:spacing w:line="276" w:lineRule="auto"/>
              <w:jc w:val="center"/>
              <w:rPr>
                <w:color w:val="FF0000"/>
                <w:lang w:eastAsia="en-US"/>
              </w:rPr>
            </w:pPr>
            <w:r w:rsidRPr="008C10B5">
              <w:rPr>
                <w:i/>
                <w:color w:val="FF0000"/>
              </w:rPr>
              <w:t>Taip/Ne</w:t>
            </w:r>
          </w:p>
        </w:tc>
      </w:tr>
      <w:tr w:rsidR="00221857" w14:paraId="7A617D7B" w14:textId="77777777" w:rsidTr="000534BA">
        <w:trPr>
          <w:trHeight w:val="620"/>
        </w:trPr>
        <w:tc>
          <w:tcPr>
            <w:tcW w:w="4981" w:type="dxa"/>
          </w:tcPr>
          <w:p w14:paraId="3B8AFC4C" w14:textId="28FD8C63" w:rsidR="00221857" w:rsidRDefault="00C32B56" w:rsidP="009D063F">
            <w:pPr>
              <w:pStyle w:val="ListParagraph"/>
              <w:tabs>
                <w:tab w:val="left" w:pos="851"/>
                <w:tab w:val="left" w:pos="1134"/>
              </w:tabs>
              <w:ind w:left="0"/>
              <w:jc w:val="both"/>
            </w:pPr>
            <w:r>
              <w:t xml:space="preserve">e) </w:t>
            </w:r>
            <w:r w:rsidRPr="00B100E5">
              <w:rPr>
                <w:kern w:val="2"/>
                <w:lang w:eastAsia="en-US"/>
                <w14:ligatures w14:val="standardContextual"/>
              </w:rPr>
              <w:t>giliojo interneto (angl. Deep web)</w:t>
            </w:r>
            <w:r>
              <w:rPr>
                <w:kern w:val="2"/>
                <w:lang w:eastAsia="en-US"/>
                <w14:ligatures w14:val="standardContextual"/>
              </w:rPr>
              <w:t>;</w:t>
            </w:r>
          </w:p>
        </w:tc>
        <w:tc>
          <w:tcPr>
            <w:tcW w:w="4981" w:type="dxa"/>
          </w:tcPr>
          <w:p w14:paraId="693D93F1" w14:textId="77777777" w:rsidR="008C10B5" w:rsidRDefault="008C10B5" w:rsidP="000534BA">
            <w:pPr>
              <w:suppressAutoHyphens/>
              <w:spacing w:line="276" w:lineRule="auto"/>
              <w:jc w:val="center"/>
              <w:rPr>
                <w:color w:val="FF0000"/>
                <w:lang w:eastAsia="en-US"/>
              </w:rPr>
            </w:pPr>
            <w:r w:rsidRPr="008C10B5">
              <w:rPr>
                <w:i/>
                <w:color w:val="FF0000"/>
              </w:rPr>
              <w:t>Taip/Ne</w:t>
            </w:r>
          </w:p>
        </w:tc>
      </w:tr>
      <w:tr w:rsidR="00C32B56" w14:paraId="2332BB24" w14:textId="77777777" w:rsidTr="000534BA">
        <w:trPr>
          <w:trHeight w:val="620"/>
        </w:trPr>
        <w:tc>
          <w:tcPr>
            <w:tcW w:w="4981" w:type="dxa"/>
          </w:tcPr>
          <w:p w14:paraId="77E34FAD" w14:textId="76655901" w:rsidR="00C32B56" w:rsidRDefault="00C32B56" w:rsidP="009D063F">
            <w:pPr>
              <w:pStyle w:val="ListParagraph"/>
              <w:tabs>
                <w:tab w:val="left" w:pos="851"/>
                <w:tab w:val="left" w:pos="1134"/>
              </w:tabs>
              <w:ind w:left="0"/>
              <w:jc w:val="both"/>
            </w:pPr>
            <w:r>
              <w:t xml:space="preserve">f) </w:t>
            </w:r>
            <w:r w:rsidRPr="00B100E5">
              <w:rPr>
                <w:kern w:val="2"/>
                <w:lang w:eastAsia="en-US"/>
                <w14:ligatures w14:val="standardContextual"/>
              </w:rPr>
              <w:t>tamsiojo interneto (angl. Dark web)</w:t>
            </w:r>
          </w:p>
        </w:tc>
        <w:tc>
          <w:tcPr>
            <w:tcW w:w="4981" w:type="dxa"/>
          </w:tcPr>
          <w:p w14:paraId="6674A033" w14:textId="371D46D4" w:rsidR="00C32B56" w:rsidRDefault="00C32B56" w:rsidP="000534BA">
            <w:pPr>
              <w:suppressAutoHyphens/>
              <w:spacing w:line="276" w:lineRule="auto"/>
              <w:jc w:val="center"/>
              <w:rPr>
                <w:color w:val="FF0000"/>
                <w:lang w:eastAsia="en-US"/>
              </w:rPr>
            </w:pPr>
            <w:r w:rsidRPr="008C10B5">
              <w:rPr>
                <w:i/>
                <w:color w:val="FF0000"/>
              </w:rPr>
              <w:t>Taip/Ne</w:t>
            </w:r>
          </w:p>
        </w:tc>
      </w:tr>
      <w:tr w:rsidR="00C32B56" w14:paraId="25FDCC0C" w14:textId="77777777" w:rsidTr="000534BA">
        <w:trPr>
          <w:trHeight w:val="620"/>
        </w:trPr>
        <w:tc>
          <w:tcPr>
            <w:tcW w:w="4981" w:type="dxa"/>
          </w:tcPr>
          <w:p w14:paraId="08DDD699" w14:textId="3A43A1F3" w:rsidR="00C32B56" w:rsidRDefault="00AD217E" w:rsidP="009D063F">
            <w:pPr>
              <w:pStyle w:val="ListParagraph"/>
              <w:tabs>
                <w:tab w:val="left" w:pos="851"/>
                <w:tab w:val="left" w:pos="1134"/>
              </w:tabs>
              <w:ind w:left="0"/>
              <w:jc w:val="both"/>
            </w:pPr>
            <w:r>
              <w:t xml:space="preserve">3.5. </w:t>
            </w:r>
            <w:r w:rsidRPr="00B100E5">
              <w:rPr>
                <w:kern w:val="2"/>
                <w:lang w:eastAsia="en-US"/>
                <w14:ligatures w14:val="standardContextual"/>
              </w:rPr>
              <w:t>Įranga turi turėti galimybę pridėti naujų informacijos šaltinių (naudojant API, ar STIX/TAXII formatus)</w:t>
            </w:r>
            <w:r>
              <w:rPr>
                <w:kern w:val="2"/>
                <w:lang w:eastAsia="en-US"/>
                <w14:ligatures w14:val="standardContextual"/>
              </w:rPr>
              <w:t>.</w:t>
            </w:r>
          </w:p>
        </w:tc>
        <w:tc>
          <w:tcPr>
            <w:tcW w:w="4981" w:type="dxa"/>
          </w:tcPr>
          <w:p w14:paraId="5F1B02F4" w14:textId="77777777" w:rsidR="00AD217E" w:rsidRDefault="00AD217E" w:rsidP="000534BA">
            <w:pPr>
              <w:suppressAutoHyphens/>
              <w:spacing w:line="276" w:lineRule="auto"/>
              <w:jc w:val="center"/>
              <w:rPr>
                <w:i/>
                <w:color w:val="FF0000"/>
              </w:rPr>
            </w:pPr>
          </w:p>
          <w:p w14:paraId="417E5132" w14:textId="6C93045B" w:rsidR="00C32B56" w:rsidRDefault="00AD217E" w:rsidP="000534BA">
            <w:pPr>
              <w:suppressAutoHyphens/>
              <w:spacing w:line="276" w:lineRule="auto"/>
              <w:jc w:val="center"/>
              <w:rPr>
                <w:color w:val="FF0000"/>
                <w:lang w:eastAsia="en-US"/>
              </w:rPr>
            </w:pPr>
            <w:r w:rsidRPr="008C10B5">
              <w:rPr>
                <w:i/>
                <w:color w:val="FF0000"/>
              </w:rPr>
              <w:t>Taip/Ne</w:t>
            </w:r>
          </w:p>
        </w:tc>
      </w:tr>
      <w:tr w:rsidR="00C32B56" w14:paraId="58C9FF95" w14:textId="77777777" w:rsidTr="000534BA">
        <w:trPr>
          <w:trHeight w:val="620"/>
        </w:trPr>
        <w:tc>
          <w:tcPr>
            <w:tcW w:w="4981" w:type="dxa"/>
          </w:tcPr>
          <w:p w14:paraId="01151741" w14:textId="5553C9B6" w:rsidR="00C32B56" w:rsidRDefault="00AD217E" w:rsidP="009D063F">
            <w:pPr>
              <w:pStyle w:val="ListParagraph"/>
              <w:tabs>
                <w:tab w:val="left" w:pos="851"/>
                <w:tab w:val="left" w:pos="1134"/>
              </w:tabs>
              <w:ind w:left="0"/>
              <w:jc w:val="both"/>
            </w:pPr>
            <w:r>
              <w:t xml:space="preserve">3.6. </w:t>
            </w:r>
            <w:r w:rsidRPr="00B100E5">
              <w:rPr>
                <w:kern w:val="2"/>
                <w:lang w:eastAsia="en-US"/>
                <w14:ligatures w14:val="standardContextual"/>
              </w:rPr>
              <w:t>Teikdama pažeidžiamumų informaciją, Programinė įranga privalo turėti sąsajas su didžiosiomis pažeidžiamumų duomenų bazėmis (VULDB, NVD) ir pagrindinėmis CVE paskyrimo institucijomis (angl. CNA - CVE Numbering Authorities)</w:t>
            </w:r>
            <w:r>
              <w:rPr>
                <w:kern w:val="2"/>
                <w:lang w:eastAsia="en-US"/>
                <w14:ligatures w14:val="standardContextual"/>
              </w:rPr>
              <w:t>.</w:t>
            </w:r>
          </w:p>
        </w:tc>
        <w:tc>
          <w:tcPr>
            <w:tcW w:w="4981" w:type="dxa"/>
          </w:tcPr>
          <w:p w14:paraId="38FEEE7D" w14:textId="77777777" w:rsidR="00C32B56" w:rsidRDefault="00C32B56" w:rsidP="000534BA">
            <w:pPr>
              <w:suppressAutoHyphens/>
              <w:spacing w:line="276" w:lineRule="auto"/>
              <w:jc w:val="center"/>
              <w:rPr>
                <w:color w:val="FF0000"/>
                <w:lang w:eastAsia="en-US"/>
              </w:rPr>
            </w:pPr>
          </w:p>
          <w:p w14:paraId="2710034F" w14:textId="77777777" w:rsidR="00AD217E" w:rsidRDefault="00AD217E" w:rsidP="00AD217E">
            <w:pPr>
              <w:jc w:val="center"/>
              <w:rPr>
                <w:i/>
                <w:color w:val="FF0000"/>
              </w:rPr>
            </w:pPr>
            <w:r w:rsidRPr="008C10B5">
              <w:rPr>
                <w:i/>
                <w:color w:val="FF0000"/>
              </w:rPr>
              <w:t>Taip/Ne</w:t>
            </w:r>
          </w:p>
          <w:p w14:paraId="2129B9CF" w14:textId="2C5BB5A2" w:rsidR="00AD217E" w:rsidRDefault="00AD217E" w:rsidP="00AD217E">
            <w:pPr>
              <w:suppressAutoHyphens/>
              <w:spacing w:line="276" w:lineRule="auto"/>
              <w:jc w:val="center"/>
              <w:rPr>
                <w:color w:val="FF0000"/>
                <w:lang w:eastAsia="en-US"/>
              </w:rPr>
            </w:pPr>
            <w:r w:rsidRPr="008C10B5">
              <w:rPr>
                <w:i/>
                <w:color w:val="FF0000"/>
              </w:rPr>
              <w:t>(tikslus aprašymas)</w:t>
            </w:r>
          </w:p>
        </w:tc>
      </w:tr>
      <w:tr w:rsidR="00C32B56" w14:paraId="40E4CA67" w14:textId="77777777" w:rsidTr="000534BA">
        <w:trPr>
          <w:trHeight w:val="620"/>
        </w:trPr>
        <w:tc>
          <w:tcPr>
            <w:tcW w:w="4981" w:type="dxa"/>
          </w:tcPr>
          <w:p w14:paraId="591A84C3" w14:textId="1E6AB2FA" w:rsidR="00C32B56" w:rsidRDefault="00AD217E" w:rsidP="009D063F">
            <w:pPr>
              <w:pStyle w:val="ListParagraph"/>
              <w:tabs>
                <w:tab w:val="left" w:pos="851"/>
                <w:tab w:val="left" w:pos="1134"/>
              </w:tabs>
              <w:ind w:left="0"/>
              <w:jc w:val="both"/>
            </w:pPr>
            <w:r>
              <w:t xml:space="preserve">3.7. </w:t>
            </w:r>
            <w:r w:rsidRPr="00B100E5">
              <w:rPr>
                <w:kern w:val="2"/>
                <w:lang w:eastAsia="en-US"/>
                <w14:ligatures w14:val="standardContextual"/>
              </w:rPr>
              <w:t>Programinė įranga turi teikti pažeidžiamumų ir jų išnaudojimo vertinimą CVSS formatu</w:t>
            </w:r>
            <w:r>
              <w:rPr>
                <w:kern w:val="2"/>
                <w:lang w:eastAsia="en-US"/>
                <w14:ligatures w14:val="standardContextual"/>
              </w:rPr>
              <w:t>.</w:t>
            </w:r>
          </w:p>
        </w:tc>
        <w:tc>
          <w:tcPr>
            <w:tcW w:w="4981" w:type="dxa"/>
          </w:tcPr>
          <w:p w14:paraId="69641E21" w14:textId="0C16F0F7" w:rsidR="00C32B56" w:rsidRDefault="00AD217E" w:rsidP="000534BA">
            <w:pPr>
              <w:suppressAutoHyphens/>
              <w:spacing w:line="276" w:lineRule="auto"/>
              <w:jc w:val="center"/>
              <w:rPr>
                <w:color w:val="FF0000"/>
                <w:lang w:eastAsia="en-US"/>
              </w:rPr>
            </w:pPr>
            <w:r w:rsidRPr="008C10B5">
              <w:rPr>
                <w:i/>
                <w:color w:val="FF0000"/>
              </w:rPr>
              <w:t>Taip/Ne</w:t>
            </w:r>
          </w:p>
        </w:tc>
      </w:tr>
      <w:tr w:rsidR="00C32B56" w14:paraId="467654E7" w14:textId="77777777" w:rsidTr="000534BA">
        <w:trPr>
          <w:trHeight w:val="620"/>
        </w:trPr>
        <w:tc>
          <w:tcPr>
            <w:tcW w:w="4981" w:type="dxa"/>
          </w:tcPr>
          <w:p w14:paraId="1312F46D" w14:textId="6A1FAA3F" w:rsidR="00C32B56" w:rsidRDefault="00AD217E" w:rsidP="009D063F">
            <w:pPr>
              <w:pStyle w:val="ListParagraph"/>
              <w:tabs>
                <w:tab w:val="left" w:pos="851"/>
                <w:tab w:val="left" w:pos="1134"/>
              </w:tabs>
              <w:ind w:left="0"/>
              <w:jc w:val="both"/>
            </w:pPr>
            <w:r>
              <w:t xml:space="preserve">3.8. </w:t>
            </w:r>
            <w:r w:rsidRPr="00B100E5">
              <w:rPr>
                <w:kern w:val="2"/>
                <w:lang w:eastAsia="en-US"/>
                <w14:ligatures w14:val="standardContextual"/>
              </w:rPr>
              <w:t>Programinė įranga turi turėti galimybę pagal programinės įrangos pavadinimą atrasti informaciją apie pažeidžiamumus, neužfiksuotus CVE infrastruktūroje (angl. Zero-day vulnerability)</w:t>
            </w:r>
            <w:r>
              <w:rPr>
                <w:kern w:val="2"/>
                <w:lang w:eastAsia="en-US"/>
                <w14:ligatures w14:val="standardContextual"/>
              </w:rPr>
              <w:t>.</w:t>
            </w:r>
          </w:p>
        </w:tc>
        <w:tc>
          <w:tcPr>
            <w:tcW w:w="4981" w:type="dxa"/>
          </w:tcPr>
          <w:p w14:paraId="6CC6DF25" w14:textId="77777777" w:rsidR="00C32B56" w:rsidRDefault="00C32B56" w:rsidP="000534BA">
            <w:pPr>
              <w:suppressAutoHyphens/>
              <w:spacing w:line="276" w:lineRule="auto"/>
              <w:jc w:val="center"/>
              <w:rPr>
                <w:color w:val="FF0000"/>
                <w:lang w:eastAsia="en-US"/>
              </w:rPr>
            </w:pPr>
          </w:p>
          <w:p w14:paraId="246B78B1" w14:textId="77777777" w:rsidR="00AD217E" w:rsidRDefault="00AD217E" w:rsidP="000534BA">
            <w:pPr>
              <w:suppressAutoHyphens/>
              <w:spacing w:line="276" w:lineRule="auto"/>
              <w:jc w:val="center"/>
              <w:rPr>
                <w:color w:val="FF0000"/>
                <w:lang w:eastAsia="en-US"/>
              </w:rPr>
            </w:pPr>
          </w:p>
          <w:p w14:paraId="5937A308" w14:textId="4A01E7A8" w:rsidR="00AD217E" w:rsidRDefault="00AD217E" w:rsidP="000534BA">
            <w:pPr>
              <w:suppressAutoHyphens/>
              <w:spacing w:line="276" w:lineRule="auto"/>
              <w:jc w:val="center"/>
              <w:rPr>
                <w:color w:val="FF0000"/>
                <w:lang w:eastAsia="en-US"/>
              </w:rPr>
            </w:pPr>
            <w:r w:rsidRPr="008C10B5">
              <w:rPr>
                <w:i/>
                <w:color w:val="FF0000"/>
              </w:rPr>
              <w:t>Taip/Ne</w:t>
            </w:r>
          </w:p>
        </w:tc>
      </w:tr>
      <w:tr w:rsidR="00C32B56" w14:paraId="77D8C6FC" w14:textId="77777777" w:rsidTr="000534BA">
        <w:trPr>
          <w:trHeight w:val="620"/>
        </w:trPr>
        <w:tc>
          <w:tcPr>
            <w:tcW w:w="4981" w:type="dxa"/>
          </w:tcPr>
          <w:p w14:paraId="5E3D7F6E" w14:textId="67FF9EEA" w:rsidR="00C32B56" w:rsidRDefault="00AD217E" w:rsidP="009D063F">
            <w:pPr>
              <w:pStyle w:val="ListParagraph"/>
              <w:tabs>
                <w:tab w:val="left" w:pos="851"/>
                <w:tab w:val="left" w:pos="1134"/>
              </w:tabs>
              <w:ind w:left="0"/>
              <w:jc w:val="both"/>
            </w:pPr>
            <w:r>
              <w:t xml:space="preserve">3.9. </w:t>
            </w:r>
            <w:r w:rsidRPr="00B100E5">
              <w:rPr>
                <w:kern w:val="2"/>
                <w:lang w:eastAsia="en-US"/>
                <w14:ligatures w14:val="standardContextual"/>
              </w:rPr>
              <w:t>Programinės įrangos naudotojai turi turėti galimybę valdyti, keisti, bei plėsti jų stebimus sąrašus be apribojimų</w:t>
            </w:r>
            <w:r>
              <w:rPr>
                <w:kern w:val="2"/>
                <w:lang w:eastAsia="en-US"/>
                <w14:ligatures w14:val="standardContextual"/>
              </w:rPr>
              <w:t>.</w:t>
            </w:r>
          </w:p>
        </w:tc>
        <w:tc>
          <w:tcPr>
            <w:tcW w:w="4981" w:type="dxa"/>
          </w:tcPr>
          <w:p w14:paraId="5354B78B" w14:textId="77777777" w:rsidR="00C32B56" w:rsidRDefault="00C32B56" w:rsidP="000534BA">
            <w:pPr>
              <w:suppressAutoHyphens/>
              <w:spacing w:line="276" w:lineRule="auto"/>
              <w:jc w:val="center"/>
              <w:rPr>
                <w:color w:val="FF0000"/>
                <w:lang w:eastAsia="en-US"/>
              </w:rPr>
            </w:pPr>
          </w:p>
          <w:p w14:paraId="784E8888" w14:textId="741225A9" w:rsidR="00AD217E" w:rsidRDefault="00AD217E" w:rsidP="000534BA">
            <w:pPr>
              <w:suppressAutoHyphens/>
              <w:spacing w:line="276" w:lineRule="auto"/>
              <w:jc w:val="center"/>
              <w:rPr>
                <w:color w:val="FF0000"/>
                <w:lang w:eastAsia="en-US"/>
              </w:rPr>
            </w:pPr>
            <w:r w:rsidRPr="008C10B5">
              <w:rPr>
                <w:i/>
                <w:color w:val="FF0000"/>
              </w:rPr>
              <w:t>Taip/Ne</w:t>
            </w:r>
          </w:p>
        </w:tc>
      </w:tr>
      <w:tr w:rsidR="00C32B56" w14:paraId="76D5CFCF" w14:textId="77777777" w:rsidTr="000534BA">
        <w:trPr>
          <w:trHeight w:val="620"/>
        </w:trPr>
        <w:tc>
          <w:tcPr>
            <w:tcW w:w="4981" w:type="dxa"/>
          </w:tcPr>
          <w:p w14:paraId="649EF4D2" w14:textId="2CFB4D4D" w:rsidR="00C32B56" w:rsidRDefault="00AD217E" w:rsidP="009D063F">
            <w:pPr>
              <w:pStyle w:val="ListParagraph"/>
              <w:tabs>
                <w:tab w:val="left" w:pos="851"/>
                <w:tab w:val="left" w:pos="1134"/>
              </w:tabs>
              <w:ind w:left="0"/>
              <w:jc w:val="both"/>
            </w:pPr>
            <w:r>
              <w:t xml:space="preserve">3.10. </w:t>
            </w:r>
            <w:r w:rsidRPr="00B100E5">
              <w:rPr>
                <w:kern w:val="2"/>
                <w:lang w:eastAsia="en-US"/>
                <w14:ligatures w14:val="standardContextual"/>
              </w:rPr>
              <w:t>Programinė įranga turi leisti vartotojams sudaryti bei palaikyti žvalgyboje stebimų įmonių, organizacijų, miestų, asmenų, ar kitų subjektų sąrašus</w:t>
            </w:r>
            <w:r>
              <w:rPr>
                <w:kern w:val="2"/>
                <w:lang w:eastAsia="en-US"/>
                <w14:ligatures w14:val="standardContextual"/>
              </w:rPr>
              <w:t>.</w:t>
            </w:r>
          </w:p>
        </w:tc>
        <w:tc>
          <w:tcPr>
            <w:tcW w:w="4981" w:type="dxa"/>
          </w:tcPr>
          <w:p w14:paraId="05E3F1FF" w14:textId="77777777" w:rsidR="00BA3117" w:rsidRDefault="00BA3117" w:rsidP="000534BA">
            <w:pPr>
              <w:suppressAutoHyphens/>
              <w:spacing w:line="276" w:lineRule="auto"/>
              <w:jc w:val="center"/>
              <w:rPr>
                <w:color w:val="FF0000"/>
                <w:lang w:eastAsia="en-US"/>
              </w:rPr>
            </w:pPr>
          </w:p>
          <w:p w14:paraId="41230078" w14:textId="14C77E4F" w:rsidR="00BA3117" w:rsidRDefault="00BA3117" w:rsidP="000534BA">
            <w:pPr>
              <w:suppressAutoHyphens/>
              <w:spacing w:line="276" w:lineRule="auto"/>
              <w:jc w:val="center"/>
              <w:rPr>
                <w:color w:val="FF0000"/>
                <w:lang w:eastAsia="en-US"/>
              </w:rPr>
            </w:pPr>
            <w:r w:rsidRPr="008C10B5">
              <w:rPr>
                <w:i/>
                <w:color w:val="FF0000"/>
              </w:rPr>
              <w:t>Taip/Ne</w:t>
            </w:r>
          </w:p>
        </w:tc>
      </w:tr>
      <w:tr w:rsidR="00BA3117" w14:paraId="656D9991" w14:textId="77777777" w:rsidTr="00C528A3">
        <w:trPr>
          <w:trHeight w:val="620"/>
        </w:trPr>
        <w:tc>
          <w:tcPr>
            <w:tcW w:w="4981" w:type="dxa"/>
          </w:tcPr>
          <w:p w14:paraId="17916B27" w14:textId="54932860" w:rsidR="00BA3117" w:rsidRDefault="00BA3117" w:rsidP="00C528A3">
            <w:pPr>
              <w:pStyle w:val="ListParagraph"/>
              <w:tabs>
                <w:tab w:val="left" w:pos="851"/>
                <w:tab w:val="left" w:pos="1134"/>
              </w:tabs>
              <w:ind w:left="0"/>
              <w:jc w:val="both"/>
            </w:pPr>
            <w:r>
              <w:t xml:space="preserve">3.11. </w:t>
            </w:r>
            <w:r w:rsidRPr="00B100E5">
              <w:rPr>
                <w:kern w:val="2"/>
                <w:lang w:eastAsia="en-US"/>
                <w14:ligatures w14:val="standardContextual"/>
              </w:rPr>
              <w:t>Programinė įranga turi palaikyti šaltinius rusų, ukrainiečių, kinų, korėjiečių, kalbomis</w:t>
            </w:r>
            <w:r>
              <w:rPr>
                <w:kern w:val="2"/>
                <w:lang w:eastAsia="en-US"/>
                <w14:ligatures w14:val="standardContextual"/>
              </w:rPr>
              <w:t>.</w:t>
            </w:r>
          </w:p>
        </w:tc>
        <w:tc>
          <w:tcPr>
            <w:tcW w:w="4981" w:type="dxa"/>
          </w:tcPr>
          <w:p w14:paraId="67863959" w14:textId="77777777" w:rsidR="00BA3117" w:rsidRDefault="00BA3117" w:rsidP="00BA3117">
            <w:pPr>
              <w:jc w:val="center"/>
              <w:rPr>
                <w:i/>
                <w:color w:val="FF0000"/>
              </w:rPr>
            </w:pPr>
            <w:r w:rsidRPr="008C10B5">
              <w:rPr>
                <w:i/>
                <w:color w:val="FF0000"/>
              </w:rPr>
              <w:t>Taip/Ne</w:t>
            </w:r>
          </w:p>
          <w:p w14:paraId="40C87642" w14:textId="2352F6C8" w:rsidR="00BA3117" w:rsidRDefault="00BA3117" w:rsidP="00BA3117">
            <w:pPr>
              <w:suppressAutoHyphens/>
              <w:spacing w:line="276" w:lineRule="auto"/>
              <w:jc w:val="center"/>
              <w:rPr>
                <w:color w:val="FF0000"/>
                <w:lang w:eastAsia="en-US"/>
              </w:rPr>
            </w:pPr>
            <w:r w:rsidRPr="008C10B5">
              <w:rPr>
                <w:i/>
                <w:color w:val="FF0000"/>
              </w:rPr>
              <w:t>(tikslus aprašymas)</w:t>
            </w:r>
          </w:p>
        </w:tc>
      </w:tr>
      <w:tr w:rsidR="00BA3117" w14:paraId="495E2899" w14:textId="77777777" w:rsidTr="00C528A3">
        <w:trPr>
          <w:trHeight w:val="620"/>
        </w:trPr>
        <w:tc>
          <w:tcPr>
            <w:tcW w:w="4981" w:type="dxa"/>
          </w:tcPr>
          <w:p w14:paraId="38A9367A" w14:textId="5DD94AF1" w:rsidR="00BA3117" w:rsidRDefault="00BA3117" w:rsidP="00BA3117">
            <w:pPr>
              <w:pStyle w:val="ListParagraph"/>
              <w:tabs>
                <w:tab w:val="left" w:pos="1701"/>
              </w:tabs>
              <w:ind w:left="0"/>
              <w:jc w:val="both"/>
            </w:pPr>
            <w:r>
              <w:lastRenderedPageBreak/>
              <w:t xml:space="preserve">3.12. </w:t>
            </w:r>
            <w:r w:rsidRPr="00B100E5">
              <w:rPr>
                <w:kern w:val="2"/>
                <w:lang w:eastAsia="en-US"/>
                <w14:ligatures w14:val="standardContextual"/>
              </w:rPr>
              <w:t>Programinė įranga turi turėti galimybę automatiškai versti šaltinius į anglų kalbą</w:t>
            </w:r>
            <w:r>
              <w:rPr>
                <w:kern w:val="2"/>
                <w:lang w:eastAsia="en-US"/>
                <w14:ligatures w14:val="standardContextual"/>
              </w:rPr>
              <w:t>.</w:t>
            </w:r>
          </w:p>
        </w:tc>
        <w:tc>
          <w:tcPr>
            <w:tcW w:w="4981" w:type="dxa"/>
          </w:tcPr>
          <w:p w14:paraId="0B6EC268" w14:textId="77777777" w:rsidR="00BA3117" w:rsidRDefault="00BA3117" w:rsidP="00BA3117">
            <w:pPr>
              <w:jc w:val="center"/>
              <w:rPr>
                <w:i/>
                <w:color w:val="FF0000"/>
              </w:rPr>
            </w:pPr>
            <w:r w:rsidRPr="008C10B5">
              <w:rPr>
                <w:i/>
                <w:color w:val="FF0000"/>
              </w:rPr>
              <w:t>Taip/Ne</w:t>
            </w:r>
          </w:p>
          <w:p w14:paraId="4E9BC840" w14:textId="77777777" w:rsidR="00BA3117" w:rsidRDefault="00BA3117" w:rsidP="00C528A3">
            <w:pPr>
              <w:suppressAutoHyphens/>
              <w:spacing w:line="276" w:lineRule="auto"/>
              <w:jc w:val="center"/>
              <w:rPr>
                <w:color w:val="FF0000"/>
                <w:lang w:eastAsia="en-US"/>
              </w:rPr>
            </w:pPr>
          </w:p>
        </w:tc>
      </w:tr>
      <w:tr w:rsidR="00BA3117" w14:paraId="35478B06" w14:textId="77777777" w:rsidTr="00C528A3">
        <w:trPr>
          <w:trHeight w:val="620"/>
        </w:trPr>
        <w:tc>
          <w:tcPr>
            <w:tcW w:w="4981" w:type="dxa"/>
          </w:tcPr>
          <w:p w14:paraId="3C485E42" w14:textId="5C84D8A0" w:rsidR="00BA3117" w:rsidRDefault="00BA3117" w:rsidP="00C528A3">
            <w:pPr>
              <w:pStyle w:val="ListParagraph"/>
              <w:tabs>
                <w:tab w:val="left" w:pos="851"/>
                <w:tab w:val="left" w:pos="1134"/>
              </w:tabs>
              <w:ind w:left="0"/>
              <w:jc w:val="both"/>
            </w:pPr>
            <w:r>
              <w:t xml:space="preserve">3.13. </w:t>
            </w:r>
            <w:r w:rsidRPr="00B100E5">
              <w:rPr>
                <w:kern w:val="2"/>
                <w:lang w:eastAsia="en-US"/>
                <w14:ligatures w14:val="standardContextual"/>
              </w:rPr>
              <w:t>Programinė įranga turi nuolatos atnaujinti informacinių skydelių turinį pagal stebimų subjektų sąrašus</w:t>
            </w:r>
            <w:r>
              <w:rPr>
                <w:kern w:val="2"/>
                <w:lang w:eastAsia="en-US"/>
                <w14:ligatures w14:val="standardContextual"/>
              </w:rPr>
              <w:t>.</w:t>
            </w:r>
          </w:p>
        </w:tc>
        <w:tc>
          <w:tcPr>
            <w:tcW w:w="4981" w:type="dxa"/>
          </w:tcPr>
          <w:p w14:paraId="65A66B17" w14:textId="77777777" w:rsidR="00BA3117" w:rsidRDefault="00BA3117" w:rsidP="00C528A3">
            <w:pPr>
              <w:suppressAutoHyphens/>
              <w:spacing w:line="276" w:lineRule="auto"/>
              <w:jc w:val="center"/>
              <w:rPr>
                <w:color w:val="FF0000"/>
                <w:lang w:eastAsia="en-US"/>
              </w:rPr>
            </w:pPr>
          </w:p>
          <w:p w14:paraId="3C6743FF" w14:textId="77777777" w:rsidR="00BA3117" w:rsidRDefault="00BA3117" w:rsidP="00BA3117">
            <w:pPr>
              <w:jc w:val="center"/>
              <w:rPr>
                <w:i/>
                <w:color w:val="FF0000"/>
              </w:rPr>
            </w:pPr>
            <w:r w:rsidRPr="008C10B5">
              <w:rPr>
                <w:i/>
                <w:color w:val="FF0000"/>
              </w:rPr>
              <w:t>Taip/Ne</w:t>
            </w:r>
          </w:p>
          <w:p w14:paraId="3F54DA4D" w14:textId="77777777" w:rsidR="00BA3117" w:rsidRDefault="00BA3117" w:rsidP="00C528A3">
            <w:pPr>
              <w:suppressAutoHyphens/>
              <w:spacing w:line="276" w:lineRule="auto"/>
              <w:jc w:val="center"/>
              <w:rPr>
                <w:color w:val="FF0000"/>
                <w:lang w:eastAsia="en-US"/>
              </w:rPr>
            </w:pPr>
          </w:p>
        </w:tc>
      </w:tr>
      <w:tr w:rsidR="00C32B56" w14:paraId="4BF492B0" w14:textId="77777777" w:rsidTr="000534BA">
        <w:trPr>
          <w:trHeight w:val="620"/>
        </w:trPr>
        <w:tc>
          <w:tcPr>
            <w:tcW w:w="4981" w:type="dxa"/>
          </w:tcPr>
          <w:p w14:paraId="491D66BD" w14:textId="4D51B4B9" w:rsidR="00C32B56" w:rsidRDefault="00BA3117" w:rsidP="009D063F">
            <w:pPr>
              <w:pStyle w:val="ListParagraph"/>
              <w:tabs>
                <w:tab w:val="left" w:pos="851"/>
                <w:tab w:val="left" w:pos="1134"/>
              </w:tabs>
              <w:ind w:left="0"/>
              <w:jc w:val="both"/>
            </w:pPr>
            <w:r>
              <w:t xml:space="preserve">3.14. </w:t>
            </w:r>
            <w:r w:rsidRPr="00B100E5">
              <w:rPr>
                <w:kern w:val="2"/>
                <w:lang w:eastAsia="en-US"/>
                <w14:ligatures w14:val="standardContextual"/>
              </w:rPr>
              <w:t>Programinės įrangos vartotojai turi turėti galimybę kurti savo informacinius skydelius pagal individualius reikalavimus be apribojimų dėl skydelių kiekio ar paskirties</w:t>
            </w:r>
            <w:r>
              <w:rPr>
                <w:kern w:val="2"/>
                <w:lang w:eastAsia="en-US"/>
                <w14:ligatures w14:val="standardContextual"/>
              </w:rPr>
              <w:t>.</w:t>
            </w:r>
          </w:p>
        </w:tc>
        <w:tc>
          <w:tcPr>
            <w:tcW w:w="4981" w:type="dxa"/>
          </w:tcPr>
          <w:p w14:paraId="467863A3" w14:textId="77777777" w:rsidR="00C32B56" w:rsidRDefault="00C32B56" w:rsidP="000534BA">
            <w:pPr>
              <w:suppressAutoHyphens/>
              <w:spacing w:line="276" w:lineRule="auto"/>
              <w:jc w:val="center"/>
              <w:rPr>
                <w:color w:val="FF0000"/>
                <w:lang w:eastAsia="en-US"/>
              </w:rPr>
            </w:pPr>
          </w:p>
          <w:p w14:paraId="13934314" w14:textId="77777777" w:rsidR="00BA3117" w:rsidRDefault="00BA3117" w:rsidP="00BA3117">
            <w:pPr>
              <w:jc w:val="center"/>
              <w:rPr>
                <w:i/>
                <w:color w:val="FF0000"/>
              </w:rPr>
            </w:pPr>
            <w:r w:rsidRPr="008C10B5">
              <w:rPr>
                <w:i/>
                <w:color w:val="FF0000"/>
              </w:rPr>
              <w:t>Taip/Ne</w:t>
            </w:r>
          </w:p>
          <w:p w14:paraId="07FB3A34" w14:textId="77777777" w:rsidR="00BA3117" w:rsidRDefault="00BA3117" w:rsidP="000534BA">
            <w:pPr>
              <w:suppressAutoHyphens/>
              <w:spacing w:line="276" w:lineRule="auto"/>
              <w:jc w:val="center"/>
              <w:rPr>
                <w:color w:val="FF0000"/>
                <w:lang w:eastAsia="en-US"/>
              </w:rPr>
            </w:pPr>
          </w:p>
        </w:tc>
      </w:tr>
      <w:tr w:rsidR="00C32B56" w14:paraId="7A87B7FB" w14:textId="77777777" w:rsidTr="000534BA">
        <w:trPr>
          <w:trHeight w:val="620"/>
        </w:trPr>
        <w:tc>
          <w:tcPr>
            <w:tcW w:w="4981" w:type="dxa"/>
          </w:tcPr>
          <w:p w14:paraId="417E22FF" w14:textId="2E59F7DA" w:rsidR="00C32B56" w:rsidRDefault="00BA3117" w:rsidP="009D063F">
            <w:pPr>
              <w:pStyle w:val="ListParagraph"/>
              <w:tabs>
                <w:tab w:val="left" w:pos="851"/>
                <w:tab w:val="left" w:pos="1134"/>
              </w:tabs>
              <w:ind w:left="0"/>
              <w:jc w:val="both"/>
            </w:pPr>
            <w:r>
              <w:t xml:space="preserve">3.15. </w:t>
            </w:r>
            <w:r w:rsidRPr="00B100E5">
              <w:rPr>
                <w:kern w:val="2"/>
                <w:lang w:eastAsia="en-US"/>
                <w14:ligatures w14:val="standardContextual"/>
              </w:rPr>
              <w:t>Naudotojo sąsaja turi būti anglų kalba</w:t>
            </w:r>
            <w:r>
              <w:rPr>
                <w:kern w:val="2"/>
                <w:lang w:eastAsia="en-US"/>
                <w14:ligatures w14:val="standardContextual"/>
              </w:rPr>
              <w:t>.</w:t>
            </w:r>
          </w:p>
        </w:tc>
        <w:tc>
          <w:tcPr>
            <w:tcW w:w="4981" w:type="dxa"/>
          </w:tcPr>
          <w:p w14:paraId="2BD1AC2F" w14:textId="77777777" w:rsidR="00BA3117" w:rsidRDefault="00BA3117" w:rsidP="00BA3117">
            <w:pPr>
              <w:jc w:val="center"/>
              <w:rPr>
                <w:i/>
                <w:color w:val="FF0000"/>
              </w:rPr>
            </w:pPr>
            <w:r w:rsidRPr="008C10B5">
              <w:rPr>
                <w:i/>
                <w:color w:val="FF0000"/>
              </w:rPr>
              <w:t>Taip/Ne</w:t>
            </w:r>
          </w:p>
          <w:p w14:paraId="1F116CCD" w14:textId="77777777" w:rsidR="00C32B56" w:rsidRDefault="00C32B56" w:rsidP="000534BA">
            <w:pPr>
              <w:suppressAutoHyphens/>
              <w:spacing w:line="276" w:lineRule="auto"/>
              <w:jc w:val="center"/>
              <w:rPr>
                <w:color w:val="FF0000"/>
                <w:lang w:eastAsia="en-US"/>
              </w:rPr>
            </w:pPr>
          </w:p>
        </w:tc>
      </w:tr>
      <w:tr w:rsidR="00BA3117" w14:paraId="4B507973" w14:textId="77777777" w:rsidTr="00C528A3">
        <w:trPr>
          <w:trHeight w:val="620"/>
        </w:trPr>
        <w:tc>
          <w:tcPr>
            <w:tcW w:w="9962" w:type="dxa"/>
            <w:gridSpan w:val="2"/>
            <w:shd w:val="clear" w:color="auto" w:fill="E7E6E6" w:themeFill="background2"/>
          </w:tcPr>
          <w:p w14:paraId="6975126B" w14:textId="4ACE6743" w:rsidR="00BA3117" w:rsidRPr="00CD0A46" w:rsidRDefault="00BA3117" w:rsidP="00C528A3">
            <w:pPr>
              <w:pStyle w:val="ListParagraph"/>
              <w:suppressAutoHyphens/>
              <w:spacing w:before="120" w:line="276" w:lineRule="auto"/>
              <w:ind w:left="0"/>
              <w:jc w:val="both"/>
              <w:rPr>
                <w:b/>
                <w:lang w:eastAsia="en-US"/>
              </w:rPr>
            </w:pPr>
            <w:r>
              <w:rPr>
                <w:lang w:eastAsia="en-US"/>
              </w:rPr>
              <w:t>3.16</w:t>
            </w:r>
            <w:r w:rsidRPr="00FA1734">
              <w:rPr>
                <w:lang w:eastAsia="en-US"/>
              </w:rPr>
              <w:t>.</w:t>
            </w:r>
            <w:r>
              <w:rPr>
                <w:b/>
                <w:lang w:eastAsia="en-US"/>
              </w:rPr>
              <w:t xml:space="preserve"> </w:t>
            </w:r>
            <w:r w:rsidRPr="00B100E5">
              <w:rPr>
                <w:kern w:val="2"/>
                <w:lang w:eastAsia="en-US"/>
                <w14:ligatures w14:val="standardContextual"/>
              </w:rPr>
              <w:t>Programinė įranga, naudodama informacinius skydelius (angl. dashboards) privalo teikti informaciją apie</w:t>
            </w:r>
            <w:r>
              <w:rPr>
                <w:kern w:val="2"/>
                <w:lang w:eastAsia="en-US"/>
                <w14:ligatures w14:val="standardContextual"/>
              </w:rPr>
              <w:t>:</w:t>
            </w:r>
          </w:p>
        </w:tc>
      </w:tr>
      <w:tr w:rsidR="00BA3117" w14:paraId="7F8998D0" w14:textId="77777777" w:rsidTr="00C528A3">
        <w:trPr>
          <w:trHeight w:val="620"/>
        </w:trPr>
        <w:tc>
          <w:tcPr>
            <w:tcW w:w="4981" w:type="dxa"/>
          </w:tcPr>
          <w:p w14:paraId="13D57E58" w14:textId="56D17182" w:rsidR="00BA3117" w:rsidRDefault="00BA3117" w:rsidP="00C528A3">
            <w:pPr>
              <w:pStyle w:val="ListParagraph"/>
              <w:tabs>
                <w:tab w:val="left" w:pos="851"/>
                <w:tab w:val="left" w:pos="1134"/>
              </w:tabs>
              <w:ind w:left="0"/>
              <w:jc w:val="both"/>
            </w:pPr>
            <w:r>
              <w:rPr>
                <w:kern w:val="2"/>
                <w:lang w:eastAsia="en-US"/>
                <w14:ligatures w14:val="standardContextual"/>
              </w:rPr>
              <w:t xml:space="preserve">a) </w:t>
            </w:r>
            <w:r w:rsidRPr="00B100E5">
              <w:rPr>
                <w:kern w:val="2"/>
                <w:lang w:eastAsia="en-US"/>
                <w14:ligatures w14:val="standardContextual"/>
              </w:rPr>
              <w:t>techninės, programinės įrangos ir trečiųjų šalių pažeidžiamumus</w:t>
            </w:r>
            <w:r>
              <w:rPr>
                <w:kern w:val="2"/>
                <w:lang w:eastAsia="en-US"/>
                <w14:ligatures w14:val="standardContextual"/>
              </w:rPr>
              <w:t>;</w:t>
            </w:r>
          </w:p>
        </w:tc>
        <w:tc>
          <w:tcPr>
            <w:tcW w:w="4981" w:type="dxa"/>
          </w:tcPr>
          <w:p w14:paraId="6E15E484" w14:textId="77777777" w:rsidR="007104B5" w:rsidRDefault="007104B5" w:rsidP="007104B5">
            <w:pPr>
              <w:jc w:val="center"/>
              <w:rPr>
                <w:i/>
                <w:color w:val="FF0000"/>
              </w:rPr>
            </w:pPr>
            <w:r w:rsidRPr="008C10B5">
              <w:rPr>
                <w:i/>
                <w:color w:val="FF0000"/>
              </w:rPr>
              <w:t>Taip/Ne</w:t>
            </w:r>
          </w:p>
          <w:p w14:paraId="005CB49D" w14:textId="77777777" w:rsidR="00BA3117" w:rsidRDefault="00BA3117" w:rsidP="00C528A3">
            <w:pPr>
              <w:suppressAutoHyphens/>
              <w:spacing w:line="276" w:lineRule="auto"/>
              <w:jc w:val="center"/>
              <w:rPr>
                <w:color w:val="FF0000"/>
                <w:lang w:eastAsia="en-US"/>
              </w:rPr>
            </w:pPr>
          </w:p>
        </w:tc>
      </w:tr>
      <w:tr w:rsidR="00BA3117" w14:paraId="292CC3EB" w14:textId="77777777" w:rsidTr="00C528A3">
        <w:trPr>
          <w:trHeight w:val="620"/>
        </w:trPr>
        <w:tc>
          <w:tcPr>
            <w:tcW w:w="4981" w:type="dxa"/>
          </w:tcPr>
          <w:p w14:paraId="5CB86317" w14:textId="66EEEE76" w:rsidR="00BA3117" w:rsidRDefault="007104B5" w:rsidP="00C528A3">
            <w:pPr>
              <w:pStyle w:val="ListParagraph"/>
              <w:tabs>
                <w:tab w:val="left" w:pos="851"/>
                <w:tab w:val="left" w:pos="1134"/>
              </w:tabs>
              <w:ind w:left="0"/>
              <w:jc w:val="both"/>
            </w:pPr>
            <w:r>
              <w:t xml:space="preserve">b) </w:t>
            </w:r>
            <w:r w:rsidRPr="00B100E5">
              <w:rPr>
                <w:kern w:val="2"/>
                <w:lang w:eastAsia="en-US"/>
                <w14:ligatures w14:val="standardContextual"/>
              </w:rPr>
              <w:t>operacinių technologijų (angl. OT - Operational Technology) pažeidžiamumus</w:t>
            </w:r>
            <w:r>
              <w:rPr>
                <w:kern w:val="2"/>
                <w:lang w:eastAsia="en-US"/>
                <w14:ligatures w14:val="standardContextual"/>
              </w:rPr>
              <w:t>;</w:t>
            </w:r>
          </w:p>
        </w:tc>
        <w:tc>
          <w:tcPr>
            <w:tcW w:w="4981" w:type="dxa"/>
          </w:tcPr>
          <w:p w14:paraId="29C85404" w14:textId="77777777" w:rsidR="007104B5" w:rsidRDefault="007104B5" w:rsidP="007104B5">
            <w:pPr>
              <w:jc w:val="center"/>
              <w:rPr>
                <w:i/>
                <w:color w:val="FF0000"/>
              </w:rPr>
            </w:pPr>
            <w:r w:rsidRPr="008C10B5">
              <w:rPr>
                <w:i/>
                <w:color w:val="FF0000"/>
              </w:rPr>
              <w:t>Taip/Ne</w:t>
            </w:r>
          </w:p>
          <w:p w14:paraId="28BE576D" w14:textId="77777777" w:rsidR="00BA3117" w:rsidRDefault="00BA3117" w:rsidP="00C528A3">
            <w:pPr>
              <w:suppressAutoHyphens/>
              <w:spacing w:line="276" w:lineRule="auto"/>
              <w:jc w:val="center"/>
              <w:rPr>
                <w:color w:val="FF0000"/>
                <w:lang w:eastAsia="en-US"/>
              </w:rPr>
            </w:pPr>
          </w:p>
        </w:tc>
      </w:tr>
      <w:tr w:rsidR="00BA3117" w14:paraId="1D956E26" w14:textId="77777777" w:rsidTr="00C528A3">
        <w:trPr>
          <w:trHeight w:val="620"/>
        </w:trPr>
        <w:tc>
          <w:tcPr>
            <w:tcW w:w="4981" w:type="dxa"/>
          </w:tcPr>
          <w:p w14:paraId="3564E79D" w14:textId="592AE636" w:rsidR="00BA3117" w:rsidRDefault="007104B5" w:rsidP="00C528A3">
            <w:pPr>
              <w:pStyle w:val="ListParagraph"/>
              <w:tabs>
                <w:tab w:val="left" w:pos="851"/>
                <w:tab w:val="left" w:pos="1134"/>
              </w:tabs>
              <w:ind w:left="0"/>
              <w:jc w:val="both"/>
            </w:pPr>
            <w:r>
              <w:t xml:space="preserve">c) </w:t>
            </w:r>
            <w:r w:rsidRPr="00B100E5">
              <w:rPr>
                <w:kern w:val="2"/>
                <w:lang w:eastAsia="en-US"/>
                <w14:ligatures w14:val="standardContextual"/>
              </w:rPr>
              <w:t>grėsmių aktorių ir programinė įrangos (angl. threat actors and malware) elgesio ypatumus (angl. TTPs, - tactics, techniques and procedures) analitiniuose straipsniuose ir struktūrizuotai, pagal MITRE ATT&amp;CK matricą</w:t>
            </w:r>
            <w:r>
              <w:rPr>
                <w:kern w:val="2"/>
                <w:lang w:eastAsia="en-US"/>
                <w14:ligatures w14:val="standardContextual"/>
              </w:rPr>
              <w:t>;</w:t>
            </w:r>
          </w:p>
        </w:tc>
        <w:tc>
          <w:tcPr>
            <w:tcW w:w="4981" w:type="dxa"/>
          </w:tcPr>
          <w:p w14:paraId="721DA969" w14:textId="77777777" w:rsidR="007104B5" w:rsidRDefault="007104B5" w:rsidP="00C528A3">
            <w:pPr>
              <w:suppressAutoHyphens/>
              <w:spacing w:line="276" w:lineRule="auto"/>
              <w:jc w:val="center"/>
              <w:rPr>
                <w:color w:val="FF0000"/>
                <w:lang w:eastAsia="en-US"/>
              </w:rPr>
            </w:pPr>
          </w:p>
          <w:p w14:paraId="76F92637" w14:textId="77777777" w:rsidR="007104B5" w:rsidRDefault="007104B5" w:rsidP="007104B5">
            <w:pPr>
              <w:jc w:val="center"/>
              <w:rPr>
                <w:i/>
                <w:color w:val="FF0000"/>
              </w:rPr>
            </w:pPr>
            <w:r w:rsidRPr="008C10B5">
              <w:rPr>
                <w:i/>
                <w:color w:val="FF0000"/>
              </w:rPr>
              <w:t>Taip/Ne</w:t>
            </w:r>
          </w:p>
          <w:p w14:paraId="7B163252" w14:textId="77777777" w:rsidR="007104B5" w:rsidRDefault="007104B5" w:rsidP="00C528A3">
            <w:pPr>
              <w:suppressAutoHyphens/>
              <w:spacing w:line="276" w:lineRule="auto"/>
              <w:jc w:val="center"/>
              <w:rPr>
                <w:color w:val="FF0000"/>
                <w:lang w:eastAsia="en-US"/>
              </w:rPr>
            </w:pPr>
          </w:p>
        </w:tc>
      </w:tr>
      <w:tr w:rsidR="00BA3117" w14:paraId="1C16E9A3" w14:textId="77777777" w:rsidTr="00C528A3">
        <w:trPr>
          <w:trHeight w:val="620"/>
        </w:trPr>
        <w:tc>
          <w:tcPr>
            <w:tcW w:w="4981" w:type="dxa"/>
          </w:tcPr>
          <w:p w14:paraId="08AF731C" w14:textId="5DCE878C" w:rsidR="00BA3117" w:rsidRDefault="007104B5" w:rsidP="00C528A3">
            <w:pPr>
              <w:pStyle w:val="ListParagraph"/>
              <w:tabs>
                <w:tab w:val="left" w:pos="851"/>
                <w:tab w:val="left" w:pos="1134"/>
              </w:tabs>
              <w:ind w:left="0"/>
              <w:jc w:val="both"/>
            </w:pPr>
            <w:r>
              <w:t xml:space="preserve">d) </w:t>
            </w:r>
            <w:r w:rsidRPr="00B100E5">
              <w:rPr>
                <w:kern w:val="2"/>
                <w:lang w:eastAsia="en-US"/>
                <w14:ligatures w14:val="standardContextual"/>
              </w:rPr>
              <w:t xml:space="preserve">atakas, susijusias su išpirkos reikalaujančia programine įranga (angl. ransomware) ir informacijos nutekėjimu (angl. data breaches) tiesiogiai iš kenkėjiškų aktorių naudojamų šaltinių (angl. </w:t>
            </w:r>
            <w:r w:rsidRPr="00B100E5">
              <w:rPr>
                <w:i/>
                <w:iCs/>
                <w:kern w:val="2"/>
                <w:lang w:eastAsia="en-US"/>
                <w14:ligatures w14:val="standardContextual"/>
              </w:rPr>
              <w:t>ransomware dls data leak sites</w:t>
            </w:r>
            <w:r w:rsidRPr="00B100E5">
              <w:rPr>
                <w:kern w:val="2"/>
                <w:lang w:eastAsia="en-US"/>
                <w14:ligatures w14:val="standardContextual"/>
              </w:rPr>
              <w:t>) ir iš atvirojo interneto</w:t>
            </w:r>
            <w:r>
              <w:rPr>
                <w:kern w:val="2"/>
                <w:lang w:eastAsia="en-US"/>
                <w14:ligatures w14:val="standardContextual"/>
              </w:rPr>
              <w:t>;</w:t>
            </w:r>
          </w:p>
        </w:tc>
        <w:tc>
          <w:tcPr>
            <w:tcW w:w="4981" w:type="dxa"/>
          </w:tcPr>
          <w:p w14:paraId="3B623B59" w14:textId="77777777" w:rsidR="00BA3117" w:rsidRDefault="00BA3117" w:rsidP="00C528A3">
            <w:pPr>
              <w:suppressAutoHyphens/>
              <w:spacing w:line="276" w:lineRule="auto"/>
              <w:jc w:val="center"/>
              <w:rPr>
                <w:color w:val="FF0000"/>
                <w:lang w:eastAsia="en-US"/>
              </w:rPr>
            </w:pPr>
          </w:p>
          <w:p w14:paraId="428B8B9D" w14:textId="77777777" w:rsidR="007104B5" w:rsidRDefault="007104B5" w:rsidP="00C528A3">
            <w:pPr>
              <w:suppressAutoHyphens/>
              <w:spacing w:line="276" w:lineRule="auto"/>
              <w:jc w:val="center"/>
              <w:rPr>
                <w:color w:val="FF0000"/>
                <w:lang w:eastAsia="en-US"/>
              </w:rPr>
            </w:pPr>
          </w:p>
          <w:p w14:paraId="7E77EE68" w14:textId="77777777" w:rsidR="007104B5" w:rsidRDefault="007104B5" w:rsidP="007104B5">
            <w:pPr>
              <w:jc w:val="center"/>
              <w:rPr>
                <w:i/>
                <w:color w:val="FF0000"/>
              </w:rPr>
            </w:pPr>
            <w:r w:rsidRPr="008C10B5">
              <w:rPr>
                <w:i/>
                <w:color w:val="FF0000"/>
              </w:rPr>
              <w:t>Taip/Ne</w:t>
            </w:r>
          </w:p>
          <w:p w14:paraId="4DDFC1B4" w14:textId="77777777" w:rsidR="007104B5" w:rsidRDefault="007104B5" w:rsidP="00C528A3">
            <w:pPr>
              <w:suppressAutoHyphens/>
              <w:spacing w:line="276" w:lineRule="auto"/>
              <w:jc w:val="center"/>
              <w:rPr>
                <w:color w:val="FF0000"/>
                <w:lang w:eastAsia="en-US"/>
              </w:rPr>
            </w:pPr>
          </w:p>
        </w:tc>
      </w:tr>
      <w:tr w:rsidR="00BA3117" w14:paraId="70B372E8" w14:textId="77777777" w:rsidTr="00C528A3">
        <w:trPr>
          <w:trHeight w:val="620"/>
        </w:trPr>
        <w:tc>
          <w:tcPr>
            <w:tcW w:w="4981" w:type="dxa"/>
          </w:tcPr>
          <w:p w14:paraId="360DE47D" w14:textId="5E7C147D" w:rsidR="00BA3117" w:rsidRDefault="007104B5" w:rsidP="00C528A3">
            <w:pPr>
              <w:pStyle w:val="ListParagraph"/>
              <w:tabs>
                <w:tab w:val="left" w:pos="851"/>
                <w:tab w:val="left" w:pos="1134"/>
              </w:tabs>
              <w:ind w:left="0"/>
              <w:jc w:val="both"/>
            </w:pPr>
            <w:r>
              <w:t xml:space="preserve">e) </w:t>
            </w:r>
            <w:r w:rsidRPr="00B100E5">
              <w:rPr>
                <w:kern w:val="2"/>
                <w:lang w:eastAsia="en-US"/>
                <w14:ligatures w14:val="standardContextual"/>
              </w:rPr>
              <w:t>atakas ir rizikas, susijusias su  valstybėmis, geografiniais vienetais, įmonėmis, organizacijomis, asmenimis, ir kitais subjektais</w:t>
            </w:r>
            <w:r>
              <w:rPr>
                <w:kern w:val="2"/>
                <w:lang w:eastAsia="en-US"/>
                <w14:ligatures w14:val="standardContextual"/>
              </w:rPr>
              <w:t>;</w:t>
            </w:r>
          </w:p>
        </w:tc>
        <w:tc>
          <w:tcPr>
            <w:tcW w:w="4981" w:type="dxa"/>
          </w:tcPr>
          <w:p w14:paraId="6C69F6C8" w14:textId="77777777" w:rsidR="00BA3117" w:rsidRDefault="00BA3117" w:rsidP="00C528A3">
            <w:pPr>
              <w:suppressAutoHyphens/>
              <w:spacing w:line="276" w:lineRule="auto"/>
              <w:jc w:val="center"/>
              <w:rPr>
                <w:color w:val="FF0000"/>
                <w:lang w:eastAsia="en-US"/>
              </w:rPr>
            </w:pPr>
          </w:p>
          <w:p w14:paraId="382D4C12" w14:textId="77777777" w:rsidR="007104B5" w:rsidRDefault="007104B5" w:rsidP="007104B5">
            <w:pPr>
              <w:jc w:val="center"/>
              <w:rPr>
                <w:i/>
                <w:color w:val="FF0000"/>
              </w:rPr>
            </w:pPr>
            <w:r w:rsidRPr="008C10B5">
              <w:rPr>
                <w:i/>
                <w:color w:val="FF0000"/>
              </w:rPr>
              <w:t>Taip/Ne</w:t>
            </w:r>
          </w:p>
          <w:p w14:paraId="4E0353D2" w14:textId="77777777" w:rsidR="007104B5" w:rsidRDefault="007104B5" w:rsidP="00C528A3">
            <w:pPr>
              <w:suppressAutoHyphens/>
              <w:spacing w:line="276" w:lineRule="auto"/>
              <w:jc w:val="center"/>
              <w:rPr>
                <w:color w:val="FF0000"/>
                <w:lang w:eastAsia="en-US"/>
              </w:rPr>
            </w:pPr>
          </w:p>
        </w:tc>
      </w:tr>
      <w:tr w:rsidR="00BA3117" w14:paraId="10C8404A" w14:textId="77777777" w:rsidTr="00C528A3">
        <w:trPr>
          <w:trHeight w:val="620"/>
        </w:trPr>
        <w:tc>
          <w:tcPr>
            <w:tcW w:w="4981" w:type="dxa"/>
          </w:tcPr>
          <w:p w14:paraId="2F4C2365" w14:textId="6D9DE772" w:rsidR="00BA3117" w:rsidRDefault="007104B5" w:rsidP="00C528A3">
            <w:pPr>
              <w:pStyle w:val="ListParagraph"/>
              <w:tabs>
                <w:tab w:val="left" w:pos="851"/>
                <w:tab w:val="left" w:pos="1134"/>
              </w:tabs>
              <w:ind w:left="0"/>
              <w:jc w:val="both"/>
            </w:pPr>
            <w:r>
              <w:t xml:space="preserve">f) </w:t>
            </w:r>
            <w:r w:rsidRPr="00B100E5">
              <w:rPr>
                <w:kern w:val="2"/>
                <w:lang w:eastAsia="en-US"/>
                <w14:ligatures w14:val="standardContextual"/>
              </w:rPr>
              <w:t>grėsmių indikatorius</w:t>
            </w:r>
            <w:r>
              <w:rPr>
                <w:kern w:val="2"/>
                <w:lang w:eastAsia="en-US"/>
                <w14:ligatures w14:val="standardContextual"/>
              </w:rPr>
              <w:t>.</w:t>
            </w:r>
          </w:p>
        </w:tc>
        <w:tc>
          <w:tcPr>
            <w:tcW w:w="4981" w:type="dxa"/>
          </w:tcPr>
          <w:p w14:paraId="6305FCE2" w14:textId="77777777" w:rsidR="007104B5" w:rsidRDefault="007104B5" w:rsidP="007104B5">
            <w:pPr>
              <w:jc w:val="center"/>
              <w:rPr>
                <w:i/>
                <w:color w:val="FF0000"/>
              </w:rPr>
            </w:pPr>
            <w:r w:rsidRPr="008C10B5">
              <w:rPr>
                <w:i/>
                <w:color w:val="FF0000"/>
              </w:rPr>
              <w:t>Taip/Ne</w:t>
            </w:r>
          </w:p>
          <w:p w14:paraId="16F6AFF0" w14:textId="77777777" w:rsidR="00BA3117" w:rsidRDefault="00BA3117" w:rsidP="00C528A3">
            <w:pPr>
              <w:suppressAutoHyphens/>
              <w:spacing w:line="276" w:lineRule="auto"/>
              <w:jc w:val="center"/>
              <w:rPr>
                <w:color w:val="FF0000"/>
                <w:lang w:eastAsia="en-US"/>
              </w:rPr>
            </w:pPr>
          </w:p>
        </w:tc>
      </w:tr>
      <w:tr w:rsidR="007104B5" w14:paraId="43F0F981" w14:textId="77777777" w:rsidTr="00C528A3">
        <w:trPr>
          <w:trHeight w:val="620"/>
        </w:trPr>
        <w:tc>
          <w:tcPr>
            <w:tcW w:w="9962" w:type="dxa"/>
            <w:gridSpan w:val="2"/>
            <w:shd w:val="clear" w:color="auto" w:fill="E7E6E6" w:themeFill="background2"/>
          </w:tcPr>
          <w:p w14:paraId="29DAA4CC" w14:textId="173EE305" w:rsidR="007104B5" w:rsidRPr="00CD0A46" w:rsidRDefault="007104B5" w:rsidP="00C528A3">
            <w:pPr>
              <w:pStyle w:val="ListParagraph"/>
              <w:suppressAutoHyphens/>
              <w:spacing w:before="120" w:line="276" w:lineRule="auto"/>
              <w:ind w:left="0"/>
              <w:jc w:val="both"/>
              <w:rPr>
                <w:b/>
                <w:lang w:eastAsia="en-US"/>
              </w:rPr>
            </w:pPr>
            <w:r>
              <w:rPr>
                <w:lang w:eastAsia="en-US"/>
              </w:rPr>
              <w:t>g</w:t>
            </w:r>
            <w:r w:rsidRPr="00FA1734">
              <w:rPr>
                <w:lang w:eastAsia="en-US"/>
              </w:rPr>
              <w:t>.</w:t>
            </w:r>
            <w:r>
              <w:rPr>
                <w:b/>
                <w:lang w:eastAsia="en-US"/>
              </w:rPr>
              <w:t xml:space="preserve"> </w:t>
            </w:r>
            <w:r w:rsidRPr="00B100E5">
              <w:rPr>
                <w:kern w:val="2"/>
                <w:lang w:eastAsia="en-US"/>
                <w14:ligatures w14:val="standardContextual"/>
              </w:rPr>
              <w:t>Platformos turinys turi būti pasiekiamas naudojant paiešką pagal</w:t>
            </w:r>
            <w:r>
              <w:rPr>
                <w:kern w:val="2"/>
                <w:lang w:eastAsia="en-US"/>
                <w14:ligatures w14:val="standardContextual"/>
              </w:rPr>
              <w:t>:</w:t>
            </w:r>
          </w:p>
        </w:tc>
      </w:tr>
      <w:tr w:rsidR="00BA3117" w14:paraId="58D03704" w14:textId="77777777" w:rsidTr="00C528A3">
        <w:trPr>
          <w:trHeight w:val="620"/>
        </w:trPr>
        <w:tc>
          <w:tcPr>
            <w:tcW w:w="4981" w:type="dxa"/>
          </w:tcPr>
          <w:p w14:paraId="6D570FE7" w14:textId="18DA5487" w:rsidR="00BA3117" w:rsidRDefault="007104B5" w:rsidP="007104B5">
            <w:pPr>
              <w:pStyle w:val="ListParagraph"/>
              <w:numPr>
                <w:ilvl w:val="0"/>
                <w:numId w:val="21"/>
              </w:numPr>
              <w:tabs>
                <w:tab w:val="left" w:pos="851"/>
                <w:tab w:val="left" w:pos="1134"/>
              </w:tabs>
              <w:jc w:val="both"/>
            </w:pPr>
            <w:r w:rsidRPr="00B100E5">
              <w:rPr>
                <w:kern w:val="2"/>
                <w:lang w:eastAsia="en-US"/>
                <w14:ligatures w14:val="standardContextual"/>
              </w:rPr>
              <w:t>geografinius regionus</w:t>
            </w:r>
            <w:r>
              <w:rPr>
                <w:kern w:val="2"/>
                <w:lang w:eastAsia="en-US"/>
                <w14:ligatures w14:val="standardContextual"/>
              </w:rPr>
              <w:t>;</w:t>
            </w:r>
          </w:p>
        </w:tc>
        <w:tc>
          <w:tcPr>
            <w:tcW w:w="4981" w:type="dxa"/>
          </w:tcPr>
          <w:p w14:paraId="3A07BB8C" w14:textId="77777777" w:rsidR="007104B5" w:rsidRDefault="007104B5" w:rsidP="007104B5">
            <w:pPr>
              <w:jc w:val="center"/>
              <w:rPr>
                <w:i/>
                <w:color w:val="FF0000"/>
              </w:rPr>
            </w:pPr>
            <w:r w:rsidRPr="008C10B5">
              <w:rPr>
                <w:i/>
                <w:color w:val="FF0000"/>
              </w:rPr>
              <w:t>Taip/Ne</w:t>
            </w:r>
          </w:p>
          <w:p w14:paraId="4009F386" w14:textId="77777777" w:rsidR="00BA3117" w:rsidRDefault="00BA3117" w:rsidP="00C528A3">
            <w:pPr>
              <w:suppressAutoHyphens/>
              <w:spacing w:line="276" w:lineRule="auto"/>
              <w:jc w:val="center"/>
              <w:rPr>
                <w:color w:val="FF0000"/>
                <w:lang w:eastAsia="en-US"/>
              </w:rPr>
            </w:pPr>
          </w:p>
        </w:tc>
      </w:tr>
      <w:tr w:rsidR="00BA3117" w14:paraId="52E87251" w14:textId="77777777" w:rsidTr="00C528A3">
        <w:trPr>
          <w:trHeight w:val="620"/>
        </w:trPr>
        <w:tc>
          <w:tcPr>
            <w:tcW w:w="4981" w:type="dxa"/>
          </w:tcPr>
          <w:p w14:paraId="73021679" w14:textId="283B262A" w:rsidR="00BA3117" w:rsidRDefault="007104B5" w:rsidP="007104B5">
            <w:pPr>
              <w:pStyle w:val="ListParagraph"/>
              <w:numPr>
                <w:ilvl w:val="0"/>
                <w:numId w:val="21"/>
              </w:numPr>
              <w:tabs>
                <w:tab w:val="left" w:pos="851"/>
                <w:tab w:val="left" w:pos="1134"/>
              </w:tabs>
              <w:jc w:val="both"/>
            </w:pPr>
            <w:r w:rsidRPr="00B100E5">
              <w:rPr>
                <w:kern w:val="2"/>
                <w:lang w:eastAsia="en-US"/>
                <w14:ligatures w14:val="standardContextual"/>
              </w:rPr>
              <w:t>veiklos sektorių</w:t>
            </w:r>
            <w:r>
              <w:rPr>
                <w:kern w:val="2"/>
                <w:lang w:eastAsia="en-US"/>
                <w14:ligatures w14:val="standardContextual"/>
              </w:rPr>
              <w:t>;</w:t>
            </w:r>
          </w:p>
        </w:tc>
        <w:tc>
          <w:tcPr>
            <w:tcW w:w="4981" w:type="dxa"/>
          </w:tcPr>
          <w:p w14:paraId="55B2CDBD" w14:textId="77777777" w:rsidR="007104B5" w:rsidRDefault="007104B5" w:rsidP="007104B5">
            <w:pPr>
              <w:jc w:val="center"/>
              <w:rPr>
                <w:i/>
                <w:color w:val="FF0000"/>
              </w:rPr>
            </w:pPr>
            <w:r w:rsidRPr="008C10B5">
              <w:rPr>
                <w:i/>
                <w:color w:val="FF0000"/>
              </w:rPr>
              <w:t>Taip/Ne</w:t>
            </w:r>
          </w:p>
          <w:p w14:paraId="32251020" w14:textId="77777777" w:rsidR="00BA3117" w:rsidRDefault="00BA3117" w:rsidP="00C528A3">
            <w:pPr>
              <w:suppressAutoHyphens/>
              <w:spacing w:line="276" w:lineRule="auto"/>
              <w:jc w:val="center"/>
              <w:rPr>
                <w:color w:val="FF0000"/>
                <w:lang w:eastAsia="en-US"/>
              </w:rPr>
            </w:pPr>
          </w:p>
        </w:tc>
      </w:tr>
      <w:tr w:rsidR="00BA3117" w14:paraId="6B0C5668" w14:textId="77777777" w:rsidTr="00C528A3">
        <w:trPr>
          <w:trHeight w:val="620"/>
        </w:trPr>
        <w:tc>
          <w:tcPr>
            <w:tcW w:w="4981" w:type="dxa"/>
          </w:tcPr>
          <w:p w14:paraId="3A766D56" w14:textId="15C8FF86" w:rsidR="00BA3117" w:rsidRDefault="007104B5" w:rsidP="007104B5">
            <w:pPr>
              <w:pStyle w:val="ListParagraph"/>
              <w:numPr>
                <w:ilvl w:val="0"/>
                <w:numId w:val="21"/>
              </w:numPr>
              <w:tabs>
                <w:tab w:val="left" w:pos="851"/>
                <w:tab w:val="left" w:pos="1134"/>
              </w:tabs>
              <w:jc w:val="both"/>
            </w:pPr>
            <w:r w:rsidRPr="00B100E5">
              <w:rPr>
                <w:kern w:val="2"/>
                <w:lang w:eastAsia="en-US"/>
                <w14:ligatures w14:val="standardContextual"/>
              </w:rPr>
              <w:t>įstaigos ar kito subjekto pavadinimą</w:t>
            </w:r>
            <w:r>
              <w:rPr>
                <w:kern w:val="2"/>
                <w:lang w:eastAsia="en-US"/>
                <w14:ligatures w14:val="standardContextual"/>
              </w:rPr>
              <w:t>;</w:t>
            </w:r>
          </w:p>
        </w:tc>
        <w:tc>
          <w:tcPr>
            <w:tcW w:w="4981" w:type="dxa"/>
          </w:tcPr>
          <w:p w14:paraId="478BAA5F" w14:textId="77777777" w:rsidR="007104B5" w:rsidRDefault="007104B5" w:rsidP="007104B5">
            <w:pPr>
              <w:jc w:val="center"/>
              <w:rPr>
                <w:i/>
                <w:color w:val="FF0000"/>
              </w:rPr>
            </w:pPr>
            <w:r w:rsidRPr="008C10B5">
              <w:rPr>
                <w:i/>
                <w:color w:val="FF0000"/>
              </w:rPr>
              <w:t>Taip/Ne</w:t>
            </w:r>
          </w:p>
          <w:p w14:paraId="6C4D42E6" w14:textId="77777777" w:rsidR="00BA3117" w:rsidRDefault="00BA3117" w:rsidP="00C528A3">
            <w:pPr>
              <w:suppressAutoHyphens/>
              <w:spacing w:line="276" w:lineRule="auto"/>
              <w:jc w:val="center"/>
              <w:rPr>
                <w:color w:val="FF0000"/>
                <w:lang w:eastAsia="en-US"/>
              </w:rPr>
            </w:pPr>
          </w:p>
        </w:tc>
      </w:tr>
      <w:tr w:rsidR="00BA3117" w14:paraId="29F25E08" w14:textId="77777777" w:rsidTr="00C528A3">
        <w:trPr>
          <w:trHeight w:val="620"/>
        </w:trPr>
        <w:tc>
          <w:tcPr>
            <w:tcW w:w="4981" w:type="dxa"/>
          </w:tcPr>
          <w:p w14:paraId="535BC080" w14:textId="46BC0838" w:rsidR="00BA3117" w:rsidRDefault="007104B5" w:rsidP="007104B5">
            <w:pPr>
              <w:pStyle w:val="ListParagraph"/>
              <w:numPr>
                <w:ilvl w:val="0"/>
                <w:numId w:val="21"/>
              </w:numPr>
              <w:tabs>
                <w:tab w:val="left" w:pos="851"/>
                <w:tab w:val="left" w:pos="1134"/>
              </w:tabs>
              <w:jc w:val="both"/>
            </w:pPr>
            <w:r w:rsidRPr="00B100E5">
              <w:rPr>
                <w:kern w:val="2"/>
                <w:lang w:eastAsia="en-US"/>
                <w14:ligatures w14:val="standardContextual"/>
              </w:rPr>
              <w:lastRenderedPageBreak/>
              <w:t>kenksmingo subjekto pavadinimą</w:t>
            </w:r>
            <w:r>
              <w:rPr>
                <w:kern w:val="2"/>
                <w:lang w:eastAsia="en-US"/>
                <w14:ligatures w14:val="standardContextual"/>
              </w:rPr>
              <w:t>;</w:t>
            </w:r>
          </w:p>
        </w:tc>
        <w:tc>
          <w:tcPr>
            <w:tcW w:w="4981" w:type="dxa"/>
          </w:tcPr>
          <w:p w14:paraId="5413C8C4" w14:textId="77777777" w:rsidR="007104B5" w:rsidRDefault="007104B5" w:rsidP="007104B5">
            <w:pPr>
              <w:jc w:val="center"/>
              <w:rPr>
                <w:i/>
                <w:color w:val="FF0000"/>
              </w:rPr>
            </w:pPr>
            <w:r w:rsidRPr="008C10B5">
              <w:rPr>
                <w:i/>
                <w:color w:val="FF0000"/>
              </w:rPr>
              <w:t>Taip/Ne</w:t>
            </w:r>
          </w:p>
          <w:p w14:paraId="01F4DDEC" w14:textId="77777777" w:rsidR="00BA3117" w:rsidRDefault="00BA3117" w:rsidP="00C528A3">
            <w:pPr>
              <w:suppressAutoHyphens/>
              <w:spacing w:line="276" w:lineRule="auto"/>
              <w:jc w:val="center"/>
              <w:rPr>
                <w:color w:val="FF0000"/>
                <w:lang w:eastAsia="en-US"/>
              </w:rPr>
            </w:pPr>
          </w:p>
        </w:tc>
      </w:tr>
      <w:tr w:rsidR="00BA3117" w14:paraId="0C8BA14C" w14:textId="77777777" w:rsidTr="00C528A3">
        <w:trPr>
          <w:trHeight w:val="620"/>
        </w:trPr>
        <w:tc>
          <w:tcPr>
            <w:tcW w:w="4981" w:type="dxa"/>
          </w:tcPr>
          <w:p w14:paraId="520E34B2" w14:textId="499F69B5" w:rsidR="00BA3117" w:rsidRDefault="007104B5" w:rsidP="007104B5">
            <w:pPr>
              <w:pStyle w:val="ListParagraph"/>
              <w:numPr>
                <w:ilvl w:val="0"/>
                <w:numId w:val="21"/>
              </w:numPr>
              <w:tabs>
                <w:tab w:val="left" w:pos="851"/>
                <w:tab w:val="left" w:pos="1134"/>
              </w:tabs>
              <w:jc w:val="both"/>
            </w:pPr>
            <w:r w:rsidRPr="00B100E5">
              <w:rPr>
                <w:kern w:val="2"/>
                <w:lang w:eastAsia="en-US"/>
                <w14:ligatures w14:val="standardContextual"/>
              </w:rPr>
              <w:t>kenksmingo subjekto pavadinimą</w:t>
            </w:r>
            <w:r>
              <w:rPr>
                <w:kern w:val="2"/>
                <w:lang w:eastAsia="en-US"/>
                <w14:ligatures w14:val="standardContextual"/>
              </w:rPr>
              <w:t>.</w:t>
            </w:r>
          </w:p>
        </w:tc>
        <w:tc>
          <w:tcPr>
            <w:tcW w:w="4981" w:type="dxa"/>
          </w:tcPr>
          <w:p w14:paraId="1609E145" w14:textId="77777777" w:rsidR="007104B5" w:rsidRDefault="007104B5" w:rsidP="007104B5">
            <w:pPr>
              <w:jc w:val="center"/>
              <w:rPr>
                <w:i/>
                <w:color w:val="FF0000"/>
              </w:rPr>
            </w:pPr>
            <w:r w:rsidRPr="008C10B5">
              <w:rPr>
                <w:i/>
                <w:color w:val="FF0000"/>
              </w:rPr>
              <w:t>Taip/Ne</w:t>
            </w:r>
          </w:p>
          <w:p w14:paraId="06086EB4" w14:textId="77777777" w:rsidR="00BA3117" w:rsidRDefault="00BA3117" w:rsidP="00C528A3">
            <w:pPr>
              <w:suppressAutoHyphens/>
              <w:spacing w:line="276" w:lineRule="auto"/>
              <w:jc w:val="center"/>
              <w:rPr>
                <w:color w:val="FF0000"/>
                <w:lang w:eastAsia="en-US"/>
              </w:rPr>
            </w:pPr>
          </w:p>
        </w:tc>
      </w:tr>
      <w:tr w:rsidR="007104B5" w14:paraId="52751116" w14:textId="77777777" w:rsidTr="00C528A3">
        <w:trPr>
          <w:trHeight w:val="620"/>
        </w:trPr>
        <w:tc>
          <w:tcPr>
            <w:tcW w:w="4981" w:type="dxa"/>
          </w:tcPr>
          <w:p w14:paraId="2C49EBAA" w14:textId="28B1E512" w:rsidR="007104B5" w:rsidRDefault="007104B5" w:rsidP="00C528A3">
            <w:pPr>
              <w:pStyle w:val="ListParagraph"/>
              <w:tabs>
                <w:tab w:val="left" w:pos="851"/>
                <w:tab w:val="left" w:pos="1134"/>
              </w:tabs>
              <w:ind w:left="0"/>
              <w:jc w:val="both"/>
            </w:pPr>
            <w:r>
              <w:rPr>
                <w:kern w:val="2"/>
                <w:lang w:eastAsia="en-US"/>
                <w14:ligatures w14:val="standardContextual"/>
              </w:rPr>
              <w:t xml:space="preserve">3.17. </w:t>
            </w:r>
            <w:r w:rsidRPr="00B100E5">
              <w:rPr>
                <w:kern w:val="2"/>
                <w:lang w:eastAsia="en-US"/>
                <w14:ligatures w14:val="standardContextual"/>
              </w:rPr>
              <w:t>Programinė įranga turi turėti galimybę automatiniais bei automatiniu-sustiprintu (angl. automation-enhanced) metodais, pasitelkdama dirbtinį intelektą, kurti ataskaitas bei įspėjamuosius pranešimus, kurie, esant poreikiui, gali būti siunčiami el. paštu nustatytiems gavėjų sąrašams</w:t>
            </w:r>
          </w:p>
        </w:tc>
        <w:tc>
          <w:tcPr>
            <w:tcW w:w="4981" w:type="dxa"/>
          </w:tcPr>
          <w:p w14:paraId="6DE9B2ED" w14:textId="77777777" w:rsidR="007104B5" w:rsidRDefault="007104B5" w:rsidP="00C528A3">
            <w:pPr>
              <w:suppressAutoHyphens/>
              <w:spacing w:line="276" w:lineRule="auto"/>
              <w:jc w:val="center"/>
              <w:rPr>
                <w:color w:val="FF0000"/>
                <w:lang w:eastAsia="en-US"/>
              </w:rPr>
            </w:pPr>
          </w:p>
          <w:p w14:paraId="39822024" w14:textId="77777777" w:rsidR="007104B5" w:rsidRDefault="007104B5" w:rsidP="00C528A3">
            <w:pPr>
              <w:suppressAutoHyphens/>
              <w:spacing w:line="276" w:lineRule="auto"/>
              <w:jc w:val="center"/>
              <w:rPr>
                <w:color w:val="FF0000"/>
                <w:lang w:eastAsia="en-US"/>
              </w:rPr>
            </w:pPr>
          </w:p>
          <w:p w14:paraId="5017CA3C" w14:textId="77777777" w:rsidR="007104B5" w:rsidRDefault="007104B5" w:rsidP="007104B5">
            <w:pPr>
              <w:jc w:val="center"/>
              <w:rPr>
                <w:i/>
                <w:color w:val="FF0000"/>
              </w:rPr>
            </w:pPr>
            <w:r w:rsidRPr="008C10B5">
              <w:rPr>
                <w:i/>
                <w:color w:val="FF0000"/>
              </w:rPr>
              <w:t>Taip/Ne</w:t>
            </w:r>
          </w:p>
          <w:p w14:paraId="2AE29B85" w14:textId="3BB652BD" w:rsidR="007104B5" w:rsidRDefault="007104B5" w:rsidP="007104B5">
            <w:pPr>
              <w:suppressAutoHyphens/>
              <w:spacing w:line="276" w:lineRule="auto"/>
              <w:jc w:val="center"/>
              <w:rPr>
                <w:color w:val="FF0000"/>
                <w:lang w:eastAsia="en-US"/>
              </w:rPr>
            </w:pPr>
            <w:r w:rsidRPr="008C10B5">
              <w:rPr>
                <w:i/>
                <w:color w:val="FF0000"/>
              </w:rPr>
              <w:t>(tikslus aprašymas)</w:t>
            </w:r>
          </w:p>
        </w:tc>
      </w:tr>
      <w:tr w:rsidR="007104B5" w14:paraId="57608EF5" w14:textId="77777777" w:rsidTr="00C528A3">
        <w:trPr>
          <w:trHeight w:val="620"/>
        </w:trPr>
        <w:tc>
          <w:tcPr>
            <w:tcW w:w="4981" w:type="dxa"/>
          </w:tcPr>
          <w:p w14:paraId="701D55AD" w14:textId="77CBB782" w:rsidR="007104B5" w:rsidRDefault="007104B5" w:rsidP="00C528A3">
            <w:pPr>
              <w:pStyle w:val="ListParagraph"/>
              <w:tabs>
                <w:tab w:val="left" w:pos="851"/>
                <w:tab w:val="left" w:pos="1134"/>
              </w:tabs>
              <w:ind w:left="0"/>
              <w:jc w:val="both"/>
            </w:pPr>
            <w:r>
              <w:t xml:space="preserve">3.18. </w:t>
            </w:r>
            <w:r w:rsidRPr="00B100E5">
              <w:rPr>
                <w:kern w:val="2"/>
                <w:lang w:eastAsia="en-US"/>
                <w14:ligatures w14:val="standardContextual"/>
              </w:rPr>
              <w:t>Programinė įranga turi turėti galimybę pašalinti visas nuorodas į platformą iš ataskaitų bei pranešimų, ir nukreipti pranešimų gavėjus į pirminius informacijos šaltinius</w:t>
            </w:r>
            <w:r>
              <w:rPr>
                <w:kern w:val="2"/>
                <w:lang w:eastAsia="en-US"/>
                <w14:ligatures w14:val="standardContextual"/>
              </w:rPr>
              <w:t>;</w:t>
            </w:r>
          </w:p>
        </w:tc>
        <w:tc>
          <w:tcPr>
            <w:tcW w:w="4981" w:type="dxa"/>
          </w:tcPr>
          <w:p w14:paraId="64824248" w14:textId="77777777" w:rsidR="007104B5" w:rsidRDefault="007104B5" w:rsidP="00C528A3">
            <w:pPr>
              <w:suppressAutoHyphens/>
              <w:spacing w:line="276" w:lineRule="auto"/>
              <w:jc w:val="center"/>
              <w:rPr>
                <w:color w:val="FF0000"/>
                <w:lang w:eastAsia="en-US"/>
              </w:rPr>
            </w:pPr>
          </w:p>
          <w:p w14:paraId="7435B465" w14:textId="77777777" w:rsidR="007104B5" w:rsidRDefault="007104B5" w:rsidP="007104B5">
            <w:pPr>
              <w:jc w:val="center"/>
              <w:rPr>
                <w:i/>
                <w:color w:val="FF0000"/>
              </w:rPr>
            </w:pPr>
            <w:r w:rsidRPr="008C10B5">
              <w:rPr>
                <w:i/>
                <w:color w:val="FF0000"/>
              </w:rPr>
              <w:t>Taip/Ne</w:t>
            </w:r>
          </w:p>
          <w:p w14:paraId="306CC223" w14:textId="77777777" w:rsidR="007104B5" w:rsidRDefault="007104B5" w:rsidP="00C528A3">
            <w:pPr>
              <w:suppressAutoHyphens/>
              <w:spacing w:line="276" w:lineRule="auto"/>
              <w:jc w:val="center"/>
              <w:rPr>
                <w:color w:val="FF0000"/>
                <w:lang w:eastAsia="en-US"/>
              </w:rPr>
            </w:pPr>
          </w:p>
        </w:tc>
      </w:tr>
      <w:tr w:rsidR="007104B5" w14:paraId="5249FEA4" w14:textId="77777777" w:rsidTr="00C528A3">
        <w:trPr>
          <w:trHeight w:val="620"/>
        </w:trPr>
        <w:tc>
          <w:tcPr>
            <w:tcW w:w="4981" w:type="dxa"/>
          </w:tcPr>
          <w:p w14:paraId="0559F137" w14:textId="7D16383F" w:rsidR="007104B5" w:rsidRPr="007104B5" w:rsidRDefault="007104B5" w:rsidP="00CB03CB">
            <w:pPr>
              <w:pStyle w:val="ListParagraph"/>
              <w:tabs>
                <w:tab w:val="left" w:pos="851"/>
                <w:tab w:val="left" w:pos="1134"/>
              </w:tabs>
              <w:ind w:left="0"/>
              <w:jc w:val="both"/>
            </w:pPr>
            <w:r>
              <w:t xml:space="preserve">3.19. </w:t>
            </w:r>
            <w:r w:rsidRPr="00B100E5">
              <w:rPr>
                <w:kern w:val="2"/>
                <w:lang w:eastAsia="en-US"/>
                <w14:ligatures w14:val="standardContextual"/>
              </w:rPr>
              <w:t>Programinės įrangos gamintojas privalo turėti galimybę suteikti prieigą prie automatizuoto struktūrizuoto kompromitavimo indikatorių (angl. IOC - indicators of compromise) srauto STIX formatu, suderinamu su PO naudojamomis grėsmių indikatorių analizės platforma (MISP)</w:t>
            </w:r>
            <w:r w:rsidR="00CB03CB">
              <w:rPr>
                <w:kern w:val="2"/>
                <w:lang w:eastAsia="en-US"/>
                <w14:ligatures w14:val="standardContextual"/>
              </w:rPr>
              <w:t>;</w:t>
            </w:r>
          </w:p>
        </w:tc>
        <w:tc>
          <w:tcPr>
            <w:tcW w:w="4981" w:type="dxa"/>
          </w:tcPr>
          <w:p w14:paraId="420AE4FF" w14:textId="77777777" w:rsidR="007104B5" w:rsidRDefault="007104B5" w:rsidP="00C528A3">
            <w:pPr>
              <w:suppressAutoHyphens/>
              <w:spacing w:line="276" w:lineRule="auto"/>
              <w:jc w:val="center"/>
              <w:rPr>
                <w:color w:val="FF0000"/>
                <w:lang w:eastAsia="en-US"/>
              </w:rPr>
            </w:pPr>
          </w:p>
          <w:p w14:paraId="36FFD2F2" w14:textId="77777777" w:rsidR="00CB03CB" w:rsidRDefault="00CB03CB" w:rsidP="00C528A3">
            <w:pPr>
              <w:suppressAutoHyphens/>
              <w:spacing w:line="276" w:lineRule="auto"/>
              <w:jc w:val="center"/>
              <w:rPr>
                <w:color w:val="FF0000"/>
                <w:lang w:eastAsia="en-US"/>
              </w:rPr>
            </w:pPr>
          </w:p>
          <w:p w14:paraId="0F4C4C42" w14:textId="77777777" w:rsidR="00CB03CB" w:rsidRDefault="00CB03CB" w:rsidP="00CB03CB">
            <w:pPr>
              <w:jc w:val="center"/>
              <w:rPr>
                <w:i/>
                <w:color w:val="FF0000"/>
              </w:rPr>
            </w:pPr>
            <w:r w:rsidRPr="008C10B5">
              <w:rPr>
                <w:i/>
                <w:color w:val="FF0000"/>
              </w:rPr>
              <w:t>Taip/Ne</w:t>
            </w:r>
          </w:p>
          <w:p w14:paraId="2D98999E" w14:textId="77777777" w:rsidR="00CB03CB" w:rsidRDefault="00CB03CB" w:rsidP="00C528A3">
            <w:pPr>
              <w:suppressAutoHyphens/>
              <w:spacing w:line="276" w:lineRule="auto"/>
              <w:jc w:val="center"/>
              <w:rPr>
                <w:color w:val="FF0000"/>
                <w:lang w:eastAsia="en-US"/>
              </w:rPr>
            </w:pPr>
          </w:p>
        </w:tc>
      </w:tr>
      <w:tr w:rsidR="007104B5" w14:paraId="6336B0D9" w14:textId="77777777" w:rsidTr="00C528A3">
        <w:trPr>
          <w:trHeight w:val="620"/>
        </w:trPr>
        <w:tc>
          <w:tcPr>
            <w:tcW w:w="4981" w:type="dxa"/>
          </w:tcPr>
          <w:p w14:paraId="7BBAB4EA" w14:textId="4B84A995" w:rsidR="007104B5" w:rsidRDefault="00CB03CB" w:rsidP="00C528A3">
            <w:pPr>
              <w:pStyle w:val="ListParagraph"/>
              <w:tabs>
                <w:tab w:val="left" w:pos="851"/>
                <w:tab w:val="left" w:pos="1134"/>
              </w:tabs>
              <w:ind w:left="0"/>
              <w:jc w:val="both"/>
            </w:pPr>
            <w:r>
              <w:t xml:space="preserve">3.20. </w:t>
            </w:r>
            <w:r w:rsidRPr="00B100E5">
              <w:rPr>
                <w:kern w:val="2"/>
                <w:lang w:eastAsia="en-US"/>
                <w14:ligatures w14:val="standardContextual"/>
              </w:rPr>
              <w:t>Programinės įrangos gamintojas privalo turėti galimybę suteikti prieigą prie įrangos aplikacij</w:t>
            </w:r>
            <w:r w:rsidRPr="00B100E5">
              <w:rPr>
                <w:kern w:val="2"/>
                <w:u w:val="single"/>
                <w:lang w:eastAsia="en-US"/>
                <w14:ligatures w14:val="standardContextual"/>
              </w:rPr>
              <w:t>ų</w:t>
            </w:r>
            <w:r w:rsidRPr="00B100E5">
              <w:rPr>
                <w:kern w:val="2"/>
                <w:lang w:eastAsia="en-US"/>
                <w14:ligatures w14:val="standardContextual"/>
              </w:rPr>
              <w:t xml:space="preserve"> programavimo sąsajos (angl. API - Aplication Programmin Interface), kuri leistų bet kokią informaciją, esančią analitinėje platformoje, pasiekti JSON formatu</w:t>
            </w:r>
          </w:p>
        </w:tc>
        <w:tc>
          <w:tcPr>
            <w:tcW w:w="4981" w:type="dxa"/>
          </w:tcPr>
          <w:p w14:paraId="6A820732" w14:textId="77777777" w:rsidR="007104B5" w:rsidRDefault="007104B5" w:rsidP="00C528A3">
            <w:pPr>
              <w:suppressAutoHyphens/>
              <w:spacing w:line="276" w:lineRule="auto"/>
              <w:jc w:val="center"/>
              <w:rPr>
                <w:color w:val="FF0000"/>
                <w:lang w:eastAsia="en-US"/>
              </w:rPr>
            </w:pPr>
          </w:p>
          <w:p w14:paraId="195AF2D1" w14:textId="77777777" w:rsidR="00CB03CB" w:rsidRDefault="00CB03CB" w:rsidP="00C528A3">
            <w:pPr>
              <w:suppressAutoHyphens/>
              <w:spacing w:line="276" w:lineRule="auto"/>
              <w:jc w:val="center"/>
              <w:rPr>
                <w:color w:val="FF0000"/>
                <w:lang w:eastAsia="en-US"/>
              </w:rPr>
            </w:pPr>
          </w:p>
          <w:p w14:paraId="5121F3BF" w14:textId="77777777" w:rsidR="00CB03CB" w:rsidRDefault="00CB03CB" w:rsidP="00CB03CB">
            <w:pPr>
              <w:jc w:val="center"/>
              <w:rPr>
                <w:i/>
                <w:color w:val="FF0000"/>
              </w:rPr>
            </w:pPr>
            <w:r w:rsidRPr="008C10B5">
              <w:rPr>
                <w:i/>
                <w:color w:val="FF0000"/>
              </w:rPr>
              <w:t>Taip/Ne</w:t>
            </w:r>
          </w:p>
          <w:p w14:paraId="44BB5EF5" w14:textId="77777777" w:rsidR="00CB03CB" w:rsidRDefault="00CB03CB" w:rsidP="00C528A3">
            <w:pPr>
              <w:suppressAutoHyphens/>
              <w:spacing w:line="276" w:lineRule="auto"/>
              <w:jc w:val="center"/>
              <w:rPr>
                <w:color w:val="FF0000"/>
                <w:lang w:eastAsia="en-US"/>
              </w:rPr>
            </w:pPr>
          </w:p>
        </w:tc>
      </w:tr>
      <w:tr w:rsidR="007104B5" w14:paraId="51467D99" w14:textId="77777777" w:rsidTr="00C528A3">
        <w:trPr>
          <w:trHeight w:val="620"/>
        </w:trPr>
        <w:tc>
          <w:tcPr>
            <w:tcW w:w="4981" w:type="dxa"/>
          </w:tcPr>
          <w:p w14:paraId="540E8C5F" w14:textId="41561F15" w:rsidR="007104B5" w:rsidRPr="00CB03CB" w:rsidRDefault="00CB03CB" w:rsidP="00CB03CB">
            <w:pPr>
              <w:pStyle w:val="ListParagraph"/>
              <w:tabs>
                <w:tab w:val="left" w:pos="851"/>
                <w:tab w:val="left" w:pos="1134"/>
              </w:tabs>
              <w:ind w:left="0"/>
              <w:jc w:val="both"/>
            </w:pPr>
            <w:r>
              <w:t xml:space="preserve">3.21. </w:t>
            </w:r>
            <w:r w:rsidRPr="00B100E5">
              <w:rPr>
                <w:kern w:val="2"/>
                <w:lang w:eastAsia="en-US"/>
                <w14:ligatures w14:val="standardContextual"/>
              </w:rPr>
              <w:t>Programinė įranga turi turėti funkcijas leidžiančias naudotojams automatizuotu būdu į platformą įkelti PDF ir CSV formato ataskaitas, ir pateikti platesnę informaciją apie ataskaitose minimus pažeidžiamumus, taip pat kenkėjiškus aktorius bei programas</w:t>
            </w:r>
            <w:r>
              <w:rPr>
                <w:kern w:val="2"/>
                <w:lang w:eastAsia="en-US"/>
                <w14:ligatures w14:val="standardContextual"/>
              </w:rPr>
              <w:t>;</w:t>
            </w:r>
          </w:p>
        </w:tc>
        <w:tc>
          <w:tcPr>
            <w:tcW w:w="4981" w:type="dxa"/>
          </w:tcPr>
          <w:p w14:paraId="40619405" w14:textId="77777777" w:rsidR="007104B5" w:rsidRDefault="007104B5" w:rsidP="00C528A3">
            <w:pPr>
              <w:suppressAutoHyphens/>
              <w:spacing w:line="276" w:lineRule="auto"/>
              <w:jc w:val="center"/>
              <w:rPr>
                <w:color w:val="FF0000"/>
                <w:lang w:eastAsia="en-US"/>
              </w:rPr>
            </w:pPr>
          </w:p>
          <w:p w14:paraId="7A784AFF" w14:textId="77777777" w:rsidR="00CB03CB" w:rsidRDefault="00CB03CB" w:rsidP="00C528A3">
            <w:pPr>
              <w:suppressAutoHyphens/>
              <w:spacing w:line="276" w:lineRule="auto"/>
              <w:jc w:val="center"/>
              <w:rPr>
                <w:color w:val="FF0000"/>
                <w:lang w:eastAsia="en-US"/>
              </w:rPr>
            </w:pPr>
          </w:p>
          <w:p w14:paraId="73E207E7" w14:textId="77777777" w:rsidR="00CB03CB" w:rsidRDefault="00CB03CB" w:rsidP="00CB03CB">
            <w:pPr>
              <w:jc w:val="center"/>
              <w:rPr>
                <w:i/>
                <w:color w:val="FF0000"/>
              </w:rPr>
            </w:pPr>
            <w:r w:rsidRPr="008C10B5">
              <w:rPr>
                <w:i/>
                <w:color w:val="FF0000"/>
              </w:rPr>
              <w:t>Taip/Ne</w:t>
            </w:r>
          </w:p>
          <w:p w14:paraId="4DEE7D37" w14:textId="77777777" w:rsidR="00CB03CB" w:rsidRDefault="00CB03CB" w:rsidP="00C528A3">
            <w:pPr>
              <w:suppressAutoHyphens/>
              <w:spacing w:line="276" w:lineRule="auto"/>
              <w:jc w:val="center"/>
              <w:rPr>
                <w:color w:val="FF0000"/>
                <w:lang w:eastAsia="en-US"/>
              </w:rPr>
            </w:pPr>
          </w:p>
        </w:tc>
      </w:tr>
      <w:tr w:rsidR="007104B5" w14:paraId="787656FB" w14:textId="77777777" w:rsidTr="00C528A3">
        <w:trPr>
          <w:trHeight w:val="620"/>
        </w:trPr>
        <w:tc>
          <w:tcPr>
            <w:tcW w:w="4981" w:type="dxa"/>
          </w:tcPr>
          <w:p w14:paraId="184D2F86" w14:textId="635CCB59" w:rsidR="007104B5" w:rsidRDefault="00CB03CB" w:rsidP="00C528A3">
            <w:pPr>
              <w:pStyle w:val="ListParagraph"/>
              <w:tabs>
                <w:tab w:val="left" w:pos="851"/>
                <w:tab w:val="left" w:pos="1134"/>
              </w:tabs>
              <w:ind w:left="0"/>
              <w:jc w:val="both"/>
            </w:pPr>
            <w:r>
              <w:t xml:space="preserve">3.22. </w:t>
            </w:r>
            <w:r w:rsidRPr="00B100E5">
              <w:rPr>
                <w:kern w:val="2"/>
                <w:lang w:eastAsia="en-US"/>
                <w14:ligatures w14:val="standardContextual"/>
              </w:rPr>
              <w:t>Programinė įranga privalo gebėti automatizuotai kurti ataskaitas apie grėsmes, ir taikyti perkančiosios organizacijos šablonus ataskaitų kūrimui</w:t>
            </w:r>
            <w:r>
              <w:rPr>
                <w:kern w:val="2"/>
                <w:lang w:eastAsia="en-US"/>
                <w14:ligatures w14:val="standardContextual"/>
              </w:rPr>
              <w:t>.</w:t>
            </w:r>
          </w:p>
        </w:tc>
        <w:tc>
          <w:tcPr>
            <w:tcW w:w="4981" w:type="dxa"/>
          </w:tcPr>
          <w:p w14:paraId="16EB5249" w14:textId="77777777" w:rsidR="00CB03CB" w:rsidRDefault="00CB03CB" w:rsidP="00CB03CB">
            <w:pPr>
              <w:suppressAutoHyphens/>
              <w:spacing w:line="276" w:lineRule="auto"/>
              <w:jc w:val="center"/>
              <w:rPr>
                <w:color w:val="FF0000"/>
                <w:lang w:eastAsia="en-US"/>
              </w:rPr>
            </w:pPr>
          </w:p>
          <w:p w14:paraId="5CC06C6C" w14:textId="77777777" w:rsidR="00CB03CB" w:rsidRDefault="00CB03CB" w:rsidP="00CB03CB">
            <w:pPr>
              <w:jc w:val="center"/>
              <w:rPr>
                <w:i/>
                <w:color w:val="FF0000"/>
              </w:rPr>
            </w:pPr>
            <w:r w:rsidRPr="008C10B5">
              <w:rPr>
                <w:i/>
                <w:color w:val="FF0000"/>
              </w:rPr>
              <w:t>Taip/Ne</w:t>
            </w:r>
          </w:p>
          <w:p w14:paraId="6424F275" w14:textId="77777777" w:rsidR="00CB03CB" w:rsidRDefault="00CB03CB" w:rsidP="00C528A3">
            <w:pPr>
              <w:suppressAutoHyphens/>
              <w:spacing w:line="276" w:lineRule="auto"/>
              <w:jc w:val="center"/>
              <w:rPr>
                <w:color w:val="FF0000"/>
                <w:lang w:eastAsia="en-US"/>
              </w:rPr>
            </w:pPr>
          </w:p>
        </w:tc>
      </w:tr>
      <w:tr w:rsidR="007104B5" w14:paraId="7CFDF62F" w14:textId="77777777" w:rsidTr="00C528A3">
        <w:trPr>
          <w:trHeight w:val="620"/>
        </w:trPr>
        <w:tc>
          <w:tcPr>
            <w:tcW w:w="4981" w:type="dxa"/>
          </w:tcPr>
          <w:p w14:paraId="6EF3CB46" w14:textId="61DE0A21" w:rsidR="007104B5" w:rsidRDefault="00CB03CB" w:rsidP="00C528A3">
            <w:pPr>
              <w:pStyle w:val="ListParagraph"/>
              <w:tabs>
                <w:tab w:val="left" w:pos="851"/>
                <w:tab w:val="left" w:pos="1134"/>
              </w:tabs>
              <w:ind w:left="0"/>
              <w:jc w:val="both"/>
            </w:pPr>
            <w:r>
              <w:t xml:space="preserve">3.23. </w:t>
            </w:r>
            <w:r w:rsidRPr="00B100E5">
              <w:rPr>
                <w:kern w:val="2"/>
                <w:lang w:eastAsia="en-US"/>
                <w14:ligatures w14:val="standardContextual"/>
              </w:rPr>
              <w:t>Vartotojai turi turėti galimybę kurti ataskaitas tiesiogiai analitinėje platformoje, naudodami perkančiosios organizacijos ataskaitų šablonus, su galimybe ataskaitas iškelti DOCX formatu</w:t>
            </w:r>
            <w:r>
              <w:rPr>
                <w:kern w:val="2"/>
                <w:lang w:eastAsia="en-US"/>
                <w14:ligatures w14:val="standardContextual"/>
              </w:rPr>
              <w:t>;</w:t>
            </w:r>
          </w:p>
        </w:tc>
        <w:tc>
          <w:tcPr>
            <w:tcW w:w="4981" w:type="dxa"/>
          </w:tcPr>
          <w:p w14:paraId="6764E0E5" w14:textId="77777777" w:rsidR="00CB03CB" w:rsidRDefault="00CB03CB" w:rsidP="00C528A3">
            <w:pPr>
              <w:suppressAutoHyphens/>
              <w:spacing w:line="276" w:lineRule="auto"/>
              <w:jc w:val="center"/>
              <w:rPr>
                <w:color w:val="FF0000"/>
                <w:lang w:eastAsia="en-US"/>
              </w:rPr>
            </w:pPr>
          </w:p>
          <w:p w14:paraId="2414A88E" w14:textId="77777777" w:rsidR="00CB03CB" w:rsidRDefault="00CB03CB" w:rsidP="00CB03CB">
            <w:pPr>
              <w:jc w:val="center"/>
              <w:rPr>
                <w:i/>
                <w:color w:val="FF0000"/>
              </w:rPr>
            </w:pPr>
            <w:r w:rsidRPr="008C10B5">
              <w:rPr>
                <w:i/>
                <w:color w:val="FF0000"/>
              </w:rPr>
              <w:t>Taip/Ne</w:t>
            </w:r>
          </w:p>
          <w:p w14:paraId="19CA3272" w14:textId="77777777" w:rsidR="00CB03CB" w:rsidRDefault="00CB03CB" w:rsidP="00C528A3">
            <w:pPr>
              <w:suppressAutoHyphens/>
              <w:spacing w:line="276" w:lineRule="auto"/>
              <w:jc w:val="center"/>
              <w:rPr>
                <w:color w:val="FF0000"/>
                <w:lang w:eastAsia="en-US"/>
              </w:rPr>
            </w:pPr>
          </w:p>
        </w:tc>
      </w:tr>
      <w:tr w:rsidR="007104B5" w14:paraId="1FF4A2B8" w14:textId="77777777" w:rsidTr="00C528A3">
        <w:trPr>
          <w:trHeight w:val="620"/>
        </w:trPr>
        <w:tc>
          <w:tcPr>
            <w:tcW w:w="4981" w:type="dxa"/>
          </w:tcPr>
          <w:p w14:paraId="35DA60D0" w14:textId="578C38CC" w:rsidR="007104B5" w:rsidRDefault="00CB03CB" w:rsidP="00C528A3">
            <w:pPr>
              <w:pStyle w:val="ListParagraph"/>
              <w:tabs>
                <w:tab w:val="left" w:pos="851"/>
                <w:tab w:val="left" w:pos="1134"/>
              </w:tabs>
              <w:ind w:left="0"/>
              <w:jc w:val="both"/>
            </w:pPr>
            <w:r>
              <w:t xml:space="preserve">3.24. </w:t>
            </w:r>
            <w:r w:rsidRPr="00B100E5">
              <w:rPr>
                <w:kern w:val="2"/>
                <w:lang w:eastAsia="en-US"/>
                <w14:ligatures w14:val="standardContextual"/>
              </w:rPr>
              <w:t>Palaikymas turi būti užtikrinamas visu paslaugos teikimo laikotarpiu skaičiuojant nuo programinės įrangos įdiegimo šia apimtimi</w:t>
            </w:r>
            <w:r>
              <w:rPr>
                <w:kern w:val="2"/>
                <w:lang w:eastAsia="en-US"/>
                <w14:ligatures w14:val="standardContextual"/>
              </w:rPr>
              <w:t>;</w:t>
            </w:r>
          </w:p>
        </w:tc>
        <w:tc>
          <w:tcPr>
            <w:tcW w:w="4981" w:type="dxa"/>
          </w:tcPr>
          <w:p w14:paraId="396BDE53" w14:textId="77777777" w:rsidR="007104B5" w:rsidRDefault="007104B5" w:rsidP="00C528A3">
            <w:pPr>
              <w:suppressAutoHyphens/>
              <w:spacing w:line="276" w:lineRule="auto"/>
              <w:jc w:val="center"/>
              <w:rPr>
                <w:color w:val="FF0000"/>
                <w:lang w:eastAsia="en-US"/>
              </w:rPr>
            </w:pPr>
          </w:p>
          <w:p w14:paraId="7A3CE56C" w14:textId="77777777" w:rsidR="00CB03CB" w:rsidRDefault="00CB03CB" w:rsidP="00CB03CB">
            <w:pPr>
              <w:jc w:val="center"/>
              <w:rPr>
                <w:i/>
                <w:color w:val="FF0000"/>
              </w:rPr>
            </w:pPr>
            <w:r w:rsidRPr="008C10B5">
              <w:rPr>
                <w:i/>
                <w:color w:val="FF0000"/>
              </w:rPr>
              <w:t>Taip/Ne</w:t>
            </w:r>
          </w:p>
          <w:p w14:paraId="15C0C93B" w14:textId="77777777" w:rsidR="00CB03CB" w:rsidRDefault="00CB03CB" w:rsidP="00C528A3">
            <w:pPr>
              <w:suppressAutoHyphens/>
              <w:spacing w:line="276" w:lineRule="auto"/>
              <w:jc w:val="center"/>
              <w:rPr>
                <w:color w:val="FF0000"/>
                <w:lang w:eastAsia="en-US"/>
              </w:rPr>
            </w:pPr>
          </w:p>
        </w:tc>
      </w:tr>
      <w:tr w:rsidR="007104B5" w14:paraId="4425D906" w14:textId="77777777" w:rsidTr="00C528A3">
        <w:trPr>
          <w:trHeight w:val="620"/>
        </w:trPr>
        <w:tc>
          <w:tcPr>
            <w:tcW w:w="4981" w:type="dxa"/>
          </w:tcPr>
          <w:p w14:paraId="4BFB5AE1" w14:textId="7A1431D3" w:rsidR="007104B5" w:rsidRDefault="00CB03CB" w:rsidP="00C528A3">
            <w:pPr>
              <w:pStyle w:val="ListParagraph"/>
              <w:tabs>
                <w:tab w:val="left" w:pos="851"/>
                <w:tab w:val="left" w:pos="1134"/>
              </w:tabs>
              <w:ind w:left="0"/>
              <w:jc w:val="both"/>
            </w:pPr>
            <w:r>
              <w:lastRenderedPageBreak/>
              <w:t xml:space="preserve">3.25. </w:t>
            </w:r>
            <w:r w:rsidRPr="00B100E5">
              <w:rPr>
                <w:kern w:val="2"/>
                <w:lang w:eastAsia="en-US"/>
                <w14:ligatures w14:val="standardContextual"/>
              </w:rPr>
              <w:t>PO turi būti priskirtas dedikuotas programinės įrangos specialistas, kuris rūpinasi PO poreikiais ir užtikrina sklandų bendradarbiavimą</w:t>
            </w:r>
            <w:r>
              <w:rPr>
                <w:kern w:val="2"/>
                <w:lang w:eastAsia="en-US"/>
                <w14:ligatures w14:val="standardContextual"/>
              </w:rPr>
              <w:t>;</w:t>
            </w:r>
          </w:p>
        </w:tc>
        <w:tc>
          <w:tcPr>
            <w:tcW w:w="4981" w:type="dxa"/>
          </w:tcPr>
          <w:p w14:paraId="718DFF9E" w14:textId="77777777" w:rsidR="007104B5" w:rsidRDefault="007104B5" w:rsidP="00C528A3">
            <w:pPr>
              <w:suppressAutoHyphens/>
              <w:spacing w:line="276" w:lineRule="auto"/>
              <w:jc w:val="center"/>
              <w:rPr>
                <w:color w:val="FF0000"/>
                <w:lang w:eastAsia="en-US"/>
              </w:rPr>
            </w:pPr>
          </w:p>
          <w:p w14:paraId="6F9436BF" w14:textId="77777777" w:rsidR="00CB03CB" w:rsidRDefault="00CB03CB" w:rsidP="00CB03CB">
            <w:pPr>
              <w:jc w:val="center"/>
              <w:rPr>
                <w:i/>
                <w:color w:val="FF0000"/>
              </w:rPr>
            </w:pPr>
            <w:r w:rsidRPr="008C10B5">
              <w:rPr>
                <w:i/>
                <w:color w:val="FF0000"/>
              </w:rPr>
              <w:t>Taip/Ne</w:t>
            </w:r>
          </w:p>
          <w:p w14:paraId="04DA4215" w14:textId="77777777" w:rsidR="00CB03CB" w:rsidRDefault="00CB03CB" w:rsidP="00C528A3">
            <w:pPr>
              <w:suppressAutoHyphens/>
              <w:spacing w:line="276" w:lineRule="auto"/>
              <w:jc w:val="center"/>
              <w:rPr>
                <w:color w:val="FF0000"/>
                <w:lang w:eastAsia="en-US"/>
              </w:rPr>
            </w:pPr>
          </w:p>
        </w:tc>
      </w:tr>
      <w:tr w:rsidR="007104B5" w14:paraId="7FA53324" w14:textId="77777777" w:rsidTr="00C528A3">
        <w:trPr>
          <w:trHeight w:val="620"/>
        </w:trPr>
        <w:tc>
          <w:tcPr>
            <w:tcW w:w="4981" w:type="dxa"/>
          </w:tcPr>
          <w:p w14:paraId="7B039A43" w14:textId="3B34DE91" w:rsidR="007104B5" w:rsidRDefault="00CB03CB" w:rsidP="00C528A3">
            <w:pPr>
              <w:pStyle w:val="ListParagraph"/>
              <w:tabs>
                <w:tab w:val="left" w:pos="851"/>
                <w:tab w:val="left" w:pos="1134"/>
              </w:tabs>
              <w:ind w:left="0"/>
              <w:jc w:val="both"/>
            </w:pPr>
            <w:r>
              <w:t xml:space="preserve">3.26. </w:t>
            </w:r>
            <w:r w:rsidRPr="00B100E5">
              <w:rPr>
                <w:kern w:val="2"/>
                <w:lang w:eastAsia="en-US"/>
                <w14:ligatures w14:val="standardContextual"/>
              </w:rPr>
              <w:t>Specialistas turi teikti konsultacijas dėl programinės įrangos atnaujinimų, klaidų taisymų bei geriausių praktikų taikymo</w:t>
            </w:r>
            <w:r>
              <w:rPr>
                <w:kern w:val="2"/>
                <w:lang w:eastAsia="en-US"/>
                <w14:ligatures w14:val="standardContextual"/>
              </w:rPr>
              <w:t>;</w:t>
            </w:r>
          </w:p>
        </w:tc>
        <w:tc>
          <w:tcPr>
            <w:tcW w:w="4981" w:type="dxa"/>
          </w:tcPr>
          <w:p w14:paraId="4849133B" w14:textId="77777777" w:rsidR="007104B5" w:rsidRDefault="007104B5" w:rsidP="00C528A3">
            <w:pPr>
              <w:suppressAutoHyphens/>
              <w:spacing w:line="276" w:lineRule="auto"/>
              <w:jc w:val="center"/>
              <w:rPr>
                <w:color w:val="FF0000"/>
                <w:lang w:eastAsia="en-US"/>
              </w:rPr>
            </w:pPr>
          </w:p>
          <w:p w14:paraId="36738DB5" w14:textId="77777777" w:rsidR="00CB03CB" w:rsidRDefault="00CB03CB" w:rsidP="00CB03CB">
            <w:pPr>
              <w:jc w:val="center"/>
              <w:rPr>
                <w:i/>
                <w:color w:val="FF0000"/>
              </w:rPr>
            </w:pPr>
            <w:r w:rsidRPr="008C10B5">
              <w:rPr>
                <w:i/>
                <w:color w:val="FF0000"/>
              </w:rPr>
              <w:t>Taip/Ne</w:t>
            </w:r>
          </w:p>
          <w:p w14:paraId="5441E96F" w14:textId="77777777" w:rsidR="00CB03CB" w:rsidRDefault="00CB03CB" w:rsidP="00C528A3">
            <w:pPr>
              <w:suppressAutoHyphens/>
              <w:spacing w:line="276" w:lineRule="auto"/>
              <w:jc w:val="center"/>
              <w:rPr>
                <w:color w:val="FF0000"/>
                <w:lang w:eastAsia="en-US"/>
              </w:rPr>
            </w:pPr>
          </w:p>
        </w:tc>
      </w:tr>
      <w:tr w:rsidR="007104B5" w14:paraId="3B7EA1E7" w14:textId="77777777" w:rsidTr="00C528A3">
        <w:trPr>
          <w:trHeight w:val="620"/>
        </w:trPr>
        <w:tc>
          <w:tcPr>
            <w:tcW w:w="4981" w:type="dxa"/>
          </w:tcPr>
          <w:p w14:paraId="7FA7FAE3" w14:textId="41BA8EF7" w:rsidR="007104B5" w:rsidRDefault="00CB03CB" w:rsidP="00C528A3">
            <w:pPr>
              <w:pStyle w:val="ListParagraph"/>
              <w:tabs>
                <w:tab w:val="left" w:pos="851"/>
                <w:tab w:val="left" w:pos="1134"/>
              </w:tabs>
              <w:ind w:left="0"/>
              <w:jc w:val="both"/>
            </w:pPr>
            <w:r>
              <w:t xml:space="preserve">3.27. </w:t>
            </w:r>
            <w:r w:rsidRPr="00B100E5">
              <w:rPr>
                <w:kern w:val="2"/>
                <w:lang w:eastAsia="en-US"/>
                <w14:ligatures w14:val="standardContextual"/>
              </w:rPr>
              <w:t>Konsultacijos turi vykti ne rečiau kaip kas mėnesį, organizuojant gyvo skambučio sesijas</w:t>
            </w:r>
            <w:r>
              <w:rPr>
                <w:kern w:val="2"/>
                <w:lang w:eastAsia="en-US"/>
                <w14:ligatures w14:val="standardContextual"/>
              </w:rPr>
              <w:t>;</w:t>
            </w:r>
          </w:p>
        </w:tc>
        <w:tc>
          <w:tcPr>
            <w:tcW w:w="4981" w:type="dxa"/>
          </w:tcPr>
          <w:p w14:paraId="04C133E8" w14:textId="77777777" w:rsidR="00CB03CB" w:rsidRDefault="00CB03CB" w:rsidP="00CB03CB">
            <w:pPr>
              <w:jc w:val="center"/>
              <w:rPr>
                <w:i/>
                <w:color w:val="FF0000"/>
              </w:rPr>
            </w:pPr>
            <w:r w:rsidRPr="008C10B5">
              <w:rPr>
                <w:i/>
                <w:color w:val="FF0000"/>
              </w:rPr>
              <w:t>Taip/Ne</w:t>
            </w:r>
          </w:p>
          <w:p w14:paraId="6A50DEC2" w14:textId="77777777" w:rsidR="007104B5" w:rsidRDefault="007104B5" w:rsidP="00C528A3">
            <w:pPr>
              <w:suppressAutoHyphens/>
              <w:spacing w:line="276" w:lineRule="auto"/>
              <w:jc w:val="center"/>
              <w:rPr>
                <w:color w:val="FF0000"/>
                <w:lang w:eastAsia="en-US"/>
              </w:rPr>
            </w:pPr>
          </w:p>
        </w:tc>
      </w:tr>
      <w:tr w:rsidR="007104B5" w14:paraId="74B9895B" w14:textId="77777777" w:rsidTr="00C528A3">
        <w:trPr>
          <w:trHeight w:val="620"/>
        </w:trPr>
        <w:tc>
          <w:tcPr>
            <w:tcW w:w="4981" w:type="dxa"/>
          </w:tcPr>
          <w:p w14:paraId="0415E434" w14:textId="7F104798" w:rsidR="007104B5" w:rsidRDefault="00CB03CB" w:rsidP="00C528A3">
            <w:pPr>
              <w:pStyle w:val="ListParagraph"/>
              <w:tabs>
                <w:tab w:val="left" w:pos="851"/>
                <w:tab w:val="left" w:pos="1134"/>
              </w:tabs>
              <w:ind w:left="0"/>
              <w:jc w:val="both"/>
            </w:pPr>
            <w:r>
              <w:t xml:space="preserve">3.28. </w:t>
            </w:r>
            <w:r w:rsidRPr="00B100E5">
              <w:rPr>
                <w:kern w:val="2"/>
                <w:lang w:eastAsia="en-US"/>
                <w14:ligatures w14:val="standardContextual"/>
              </w:rPr>
              <w:t>Visiems sistemos naudotojams turi būti suteikti apmokymai, kaip naudotis programine įranga, taip pat mokymai esant poreikiui, turi būti organizuojami naujai prisijungusiems darbuotojams</w:t>
            </w:r>
            <w:r>
              <w:rPr>
                <w:kern w:val="2"/>
                <w:lang w:eastAsia="en-US"/>
                <w14:ligatures w14:val="standardContextual"/>
              </w:rPr>
              <w:t>;</w:t>
            </w:r>
          </w:p>
        </w:tc>
        <w:tc>
          <w:tcPr>
            <w:tcW w:w="4981" w:type="dxa"/>
          </w:tcPr>
          <w:p w14:paraId="60122F94" w14:textId="77777777" w:rsidR="00CB03CB" w:rsidRDefault="00CB03CB" w:rsidP="00C528A3">
            <w:pPr>
              <w:suppressAutoHyphens/>
              <w:spacing w:line="276" w:lineRule="auto"/>
              <w:jc w:val="center"/>
              <w:rPr>
                <w:color w:val="FF0000"/>
                <w:lang w:eastAsia="en-US"/>
              </w:rPr>
            </w:pPr>
          </w:p>
          <w:p w14:paraId="34B82FF6" w14:textId="77777777" w:rsidR="00CB03CB" w:rsidRDefault="00CB03CB" w:rsidP="00CB03CB">
            <w:pPr>
              <w:jc w:val="center"/>
              <w:rPr>
                <w:i/>
                <w:color w:val="FF0000"/>
              </w:rPr>
            </w:pPr>
            <w:r w:rsidRPr="008C10B5">
              <w:rPr>
                <w:i/>
                <w:color w:val="FF0000"/>
              </w:rPr>
              <w:t>Taip/Ne</w:t>
            </w:r>
          </w:p>
          <w:p w14:paraId="56E044BA" w14:textId="77777777" w:rsidR="00CB03CB" w:rsidRDefault="00CB03CB" w:rsidP="00C528A3">
            <w:pPr>
              <w:suppressAutoHyphens/>
              <w:spacing w:line="276" w:lineRule="auto"/>
              <w:jc w:val="center"/>
              <w:rPr>
                <w:color w:val="FF0000"/>
                <w:lang w:eastAsia="en-US"/>
              </w:rPr>
            </w:pPr>
          </w:p>
        </w:tc>
      </w:tr>
      <w:tr w:rsidR="00BA3117" w14:paraId="56269A05" w14:textId="77777777" w:rsidTr="00C528A3">
        <w:trPr>
          <w:trHeight w:val="620"/>
        </w:trPr>
        <w:tc>
          <w:tcPr>
            <w:tcW w:w="4981" w:type="dxa"/>
          </w:tcPr>
          <w:p w14:paraId="741B02AD" w14:textId="37770976" w:rsidR="00BA3117" w:rsidRDefault="00CB03CB" w:rsidP="00C528A3">
            <w:pPr>
              <w:pStyle w:val="ListParagraph"/>
              <w:tabs>
                <w:tab w:val="left" w:pos="851"/>
                <w:tab w:val="left" w:pos="1134"/>
              </w:tabs>
              <w:ind w:left="0"/>
              <w:jc w:val="both"/>
            </w:pPr>
            <w:r>
              <w:t xml:space="preserve">3.29. </w:t>
            </w:r>
            <w:r w:rsidRPr="00B100E5">
              <w:rPr>
                <w:kern w:val="2"/>
                <w:lang w:eastAsia="en-US"/>
                <w14:ligatures w14:val="standardContextual"/>
              </w:rPr>
              <w:t>Kiekvieną ketvirtį specialistas su programos naudotojais aptaria pasiektus tikslus ir iškelia naujus ateinančiam ketvirčiui</w:t>
            </w:r>
            <w:r>
              <w:rPr>
                <w:kern w:val="2"/>
                <w:lang w:eastAsia="en-US"/>
                <w14:ligatures w14:val="standardContextual"/>
              </w:rPr>
              <w:t>.</w:t>
            </w:r>
          </w:p>
        </w:tc>
        <w:tc>
          <w:tcPr>
            <w:tcW w:w="4981" w:type="dxa"/>
          </w:tcPr>
          <w:p w14:paraId="6A45AFF9" w14:textId="77777777" w:rsidR="00CB03CB" w:rsidRDefault="00CB03CB" w:rsidP="00CB03CB">
            <w:pPr>
              <w:jc w:val="center"/>
              <w:rPr>
                <w:i/>
                <w:color w:val="FF0000"/>
              </w:rPr>
            </w:pPr>
          </w:p>
          <w:p w14:paraId="1247DF14" w14:textId="77777777" w:rsidR="00CB03CB" w:rsidRDefault="00CB03CB" w:rsidP="00CB03CB">
            <w:pPr>
              <w:jc w:val="center"/>
              <w:rPr>
                <w:i/>
                <w:color w:val="FF0000"/>
              </w:rPr>
            </w:pPr>
            <w:r w:rsidRPr="008C10B5">
              <w:rPr>
                <w:i/>
                <w:color w:val="FF0000"/>
              </w:rPr>
              <w:t>Taip/Ne</w:t>
            </w:r>
          </w:p>
          <w:p w14:paraId="4B42A0FB" w14:textId="77777777" w:rsidR="00BA3117" w:rsidRDefault="00BA3117" w:rsidP="00C528A3">
            <w:pPr>
              <w:suppressAutoHyphens/>
              <w:spacing w:line="276" w:lineRule="auto"/>
              <w:jc w:val="center"/>
              <w:rPr>
                <w:color w:val="FF0000"/>
                <w:lang w:eastAsia="en-US"/>
              </w:rPr>
            </w:pPr>
          </w:p>
        </w:tc>
      </w:tr>
      <w:tr w:rsidR="00BA3117" w14:paraId="70C966D3" w14:textId="77777777" w:rsidTr="00C528A3">
        <w:trPr>
          <w:trHeight w:val="620"/>
        </w:trPr>
        <w:tc>
          <w:tcPr>
            <w:tcW w:w="4981" w:type="dxa"/>
          </w:tcPr>
          <w:p w14:paraId="21EF8DAE" w14:textId="4C4087A7" w:rsidR="00BA3117" w:rsidRDefault="00CB03CB" w:rsidP="00C528A3">
            <w:pPr>
              <w:pStyle w:val="ListParagraph"/>
              <w:tabs>
                <w:tab w:val="left" w:pos="851"/>
                <w:tab w:val="left" w:pos="1134"/>
              </w:tabs>
              <w:ind w:left="0"/>
              <w:jc w:val="both"/>
            </w:pPr>
            <w:r>
              <w:t xml:space="preserve">3.30. </w:t>
            </w:r>
            <w:r w:rsidRPr="00B100E5">
              <w:rPr>
                <w:kern w:val="2"/>
                <w:lang w:eastAsia="en-US"/>
                <w14:ligatures w14:val="standardContextual"/>
              </w:rPr>
              <w:t>PO turi gauti integracijų inžinieriaus kontaktus (el. Paštą, prieigą prie nuotolinio bendravimo priemonių ar kitas priemones, leidžiančias susisiekti), kuris konsultuos  su API komunikacija susijusiais klausimais</w:t>
            </w:r>
            <w:r>
              <w:rPr>
                <w:kern w:val="2"/>
                <w:lang w:eastAsia="en-US"/>
                <w14:ligatures w14:val="standardContextual"/>
              </w:rPr>
              <w:t>;</w:t>
            </w:r>
          </w:p>
        </w:tc>
        <w:tc>
          <w:tcPr>
            <w:tcW w:w="4981" w:type="dxa"/>
          </w:tcPr>
          <w:p w14:paraId="67E92454" w14:textId="77777777" w:rsidR="00BA3117" w:rsidRDefault="00BA3117" w:rsidP="00C528A3">
            <w:pPr>
              <w:suppressAutoHyphens/>
              <w:spacing w:line="276" w:lineRule="auto"/>
              <w:jc w:val="center"/>
              <w:rPr>
                <w:color w:val="FF0000"/>
                <w:lang w:eastAsia="en-US"/>
              </w:rPr>
            </w:pPr>
          </w:p>
          <w:p w14:paraId="7623A1E0" w14:textId="77777777" w:rsidR="00CB03CB" w:rsidRDefault="00CB03CB" w:rsidP="00CB03CB">
            <w:pPr>
              <w:jc w:val="center"/>
              <w:rPr>
                <w:i/>
                <w:color w:val="FF0000"/>
              </w:rPr>
            </w:pPr>
            <w:r w:rsidRPr="008C10B5">
              <w:rPr>
                <w:i/>
                <w:color w:val="FF0000"/>
              </w:rPr>
              <w:t>Taip/Ne</w:t>
            </w:r>
          </w:p>
          <w:p w14:paraId="7E1B1A35" w14:textId="77777777" w:rsidR="00CB03CB" w:rsidRDefault="00CB03CB" w:rsidP="00C528A3">
            <w:pPr>
              <w:suppressAutoHyphens/>
              <w:spacing w:line="276" w:lineRule="auto"/>
              <w:jc w:val="center"/>
              <w:rPr>
                <w:color w:val="FF0000"/>
                <w:lang w:eastAsia="en-US"/>
              </w:rPr>
            </w:pPr>
          </w:p>
        </w:tc>
      </w:tr>
      <w:tr w:rsidR="00CB03CB" w14:paraId="433A01B9" w14:textId="77777777" w:rsidTr="00C528A3">
        <w:trPr>
          <w:trHeight w:val="620"/>
        </w:trPr>
        <w:tc>
          <w:tcPr>
            <w:tcW w:w="4981" w:type="dxa"/>
          </w:tcPr>
          <w:p w14:paraId="5E8AA7D2" w14:textId="04D4854B" w:rsidR="00CB03CB" w:rsidRDefault="00CB03CB" w:rsidP="00C528A3">
            <w:pPr>
              <w:pStyle w:val="ListParagraph"/>
              <w:tabs>
                <w:tab w:val="left" w:pos="851"/>
                <w:tab w:val="left" w:pos="1134"/>
              </w:tabs>
              <w:ind w:left="0"/>
              <w:jc w:val="both"/>
            </w:pPr>
            <w:r>
              <w:t xml:space="preserve">3.31. </w:t>
            </w:r>
            <w:r w:rsidRPr="00B100E5">
              <w:rPr>
                <w:kern w:val="2"/>
                <w:lang w:eastAsia="en-US"/>
                <w14:ligatures w14:val="standardContextual"/>
              </w:rPr>
              <w:t>PO turi teisę siūlyti programinės įrangos tobulinimus, stebėti jų įgyvendinimą ir dalyvauti naujų funkcijų bandymuose</w:t>
            </w:r>
            <w:r>
              <w:rPr>
                <w:kern w:val="2"/>
                <w:lang w:eastAsia="en-US"/>
                <w14:ligatures w14:val="standardContextual"/>
              </w:rPr>
              <w:t>;</w:t>
            </w:r>
          </w:p>
        </w:tc>
        <w:tc>
          <w:tcPr>
            <w:tcW w:w="4981" w:type="dxa"/>
          </w:tcPr>
          <w:p w14:paraId="561B38A4" w14:textId="77777777" w:rsidR="00CB03CB" w:rsidRDefault="00CB03CB" w:rsidP="00C528A3">
            <w:pPr>
              <w:suppressAutoHyphens/>
              <w:spacing w:line="276" w:lineRule="auto"/>
              <w:jc w:val="center"/>
              <w:rPr>
                <w:color w:val="FF0000"/>
                <w:lang w:eastAsia="en-US"/>
              </w:rPr>
            </w:pPr>
          </w:p>
          <w:p w14:paraId="6D58D7B2" w14:textId="77777777" w:rsidR="00CB03CB" w:rsidRDefault="00CB03CB" w:rsidP="00CB03CB">
            <w:pPr>
              <w:jc w:val="center"/>
              <w:rPr>
                <w:i/>
                <w:color w:val="FF0000"/>
              </w:rPr>
            </w:pPr>
            <w:r w:rsidRPr="008C10B5">
              <w:rPr>
                <w:i/>
                <w:color w:val="FF0000"/>
              </w:rPr>
              <w:t>Taip/Ne</w:t>
            </w:r>
          </w:p>
          <w:p w14:paraId="08551602" w14:textId="77777777" w:rsidR="00CB03CB" w:rsidRDefault="00CB03CB" w:rsidP="00C528A3">
            <w:pPr>
              <w:suppressAutoHyphens/>
              <w:spacing w:line="276" w:lineRule="auto"/>
              <w:jc w:val="center"/>
              <w:rPr>
                <w:color w:val="FF0000"/>
                <w:lang w:eastAsia="en-US"/>
              </w:rPr>
            </w:pPr>
          </w:p>
        </w:tc>
      </w:tr>
      <w:tr w:rsidR="00CB03CB" w14:paraId="5F58BBB2" w14:textId="77777777" w:rsidTr="00C528A3">
        <w:trPr>
          <w:trHeight w:val="620"/>
        </w:trPr>
        <w:tc>
          <w:tcPr>
            <w:tcW w:w="9962" w:type="dxa"/>
            <w:gridSpan w:val="2"/>
            <w:shd w:val="clear" w:color="auto" w:fill="E7E6E6" w:themeFill="background2"/>
          </w:tcPr>
          <w:p w14:paraId="2B61BB3C" w14:textId="6FE36590" w:rsidR="00CB03CB" w:rsidRPr="00CD0A46" w:rsidRDefault="00CB03CB" w:rsidP="00C528A3">
            <w:pPr>
              <w:pStyle w:val="ListParagraph"/>
              <w:suppressAutoHyphens/>
              <w:spacing w:before="120" w:line="276" w:lineRule="auto"/>
              <w:ind w:left="0"/>
              <w:jc w:val="both"/>
              <w:rPr>
                <w:b/>
                <w:lang w:eastAsia="en-US"/>
              </w:rPr>
            </w:pPr>
            <w:r>
              <w:rPr>
                <w:lang w:eastAsia="en-US"/>
              </w:rPr>
              <w:t>3.32</w:t>
            </w:r>
            <w:r w:rsidRPr="00FA1734">
              <w:rPr>
                <w:lang w:eastAsia="en-US"/>
              </w:rPr>
              <w:t>.</w:t>
            </w:r>
            <w:r>
              <w:rPr>
                <w:b/>
                <w:lang w:eastAsia="en-US"/>
              </w:rPr>
              <w:t xml:space="preserve"> </w:t>
            </w:r>
            <w:r w:rsidRPr="00B100E5">
              <w:rPr>
                <w:kern w:val="2"/>
                <w:lang w:eastAsia="en-US"/>
                <w14:ligatures w14:val="standardContextual"/>
              </w:rPr>
              <w:t>Techninių klaidų / kliūčių sprendimo terminai</w:t>
            </w:r>
            <w:r>
              <w:rPr>
                <w:kern w:val="2"/>
                <w:lang w:eastAsia="en-US"/>
                <w14:ligatures w14:val="standardContextual"/>
              </w:rPr>
              <w:t>:</w:t>
            </w:r>
          </w:p>
        </w:tc>
      </w:tr>
      <w:tr w:rsidR="00CB03CB" w14:paraId="21CCC176" w14:textId="77777777" w:rsidTr="00C528A3">
        <w:trPr>
          <w:trHeight w:val="620"/>
        </w:trPr>
        <w:tc>
          <w:tcPr>
            <w:tcW w:w="9962" w:type="dxa"/>
            <w:gridSpan w:val="2"/>
            <w:shd w:val="clear" w:color="auto" w:fill="E7E6E6" w:themeFill="background2"/>
          </w:tcPr>
          <w:p w14:paraId="125A005E" w14:textId="441405A0" w:rsidR="00CB03CB" w:rsidRPr="00CD0A46" w:rsidRDefault="00CB03CB" w:rsidP="00C528A3">
            <w:pPr>
              <w:pStyle w:val="ListParagraph"/>
              <w:suppressAutoHyphens/>
              <w:spacing w:before="120" w:line="276" w:lineRule="auto"/>
              <w:ind w:left="0"/>
              <w:jc w:val="both"/>
              <w:rPr>
                <w:b/>
                <w:lang w:eastAsia="en-US"/>
              </w:rPr>
            </w:pPr>
            <w:r>
              <w:t xml:space="preserve">a) </w:t>
            </w:r>
            <w:r w:rsidRPr="00B100E5">
              <w:rPr>
                <w:kern w:val="2"/>
                <w:lang w:eastAsia="en-US"/>
                <w14:ligatures w14:val="standardContextual"/>
              </w:rPr>
              <w:t>Svarbi klaida, kuri neleidžia naudotis sistema</w:t>
            </w:r>
            <w:r>
              <w:rPr>
                <w:kern w:val="2"/>
                <w:lang w:eastAsia="en-US"/>
                <w14:ligatures w14:val="standardContextual"/>
              </w:rPr>
              <w:t>:</w:t>
            </w:r>
          </w:p>
        </w:tc>
      </w:tr>
      <w:tr w:rsidR="00CB03CB" w14:paraId="04C68C26" w14:textId="77777777" w:rsidTr="00C528A3">
        <w:trPr>
          <w:trHeight w:val="620"/>
        </w:trPr>
        <w:tc>
          <w:tcPr>
            <w:tcW w:w="4981" w:type="dxa"/>
          </w:tcPr>
          <w:p w14:paraId="2360FC7C" w14:textId="2F59F7E5" w:rsidR="00CB03CB" w:rsidRDefault="00CB03CB" w:rsidP="00CB03CB">
            <w:pPr>
              <w:pStyle w:val="ListParagraph"/>
              <w:numPr>
                <w:ilvl w:val="0"/>
                <w:numId w:val="21"/>
              </w:numPr>
              <w:tabs>
                <w:tab w:val="left" w:pos="851"/>
                <w:tab w:val="left" w:pos="1134"/>
              </w:tabs>
              <w:jc w:val="both"/>
            </w:pPr>
            <w:r w:rsidRPr="00B100E5">
              <w:rPr>
                <w:kern w:val="2"/>
                <w:lang w:eastAsia="en-US"/>
                <w14:ligatures w14:val="standardContextual"/>
              </w:rPr>
              <w:t>Pirminis atsakymas - ne vėliau nei per 4 darbo valandas</w:t>
            </w:r>
            <w:r>
              <w:rPr>
                <w:kern w:val="2"/>
                <w:lang w:eastAsia="en-US"/>
                <w14:ligatures w14:val="standardContextual"/>
              </w:rPr>
              <w:t>;</w:t>
            </w:r>
          </w:p>
        </w:tc>
        <w:tc>
          <w:tcPr>
            <w:tcW w:w="4981" w:type="dxa"/>
          </w:tcPr>
          <w:p w14:paraId="3668CAA6" w14:textId="77777777" w:rsidR="00CB03CB" w:rsidRDefault="00CB03CB" w:rsidP="00CB03CB">
            <w:pPr>
              <w:jc w:val="center"/>
              <w:rPr>
                <w:i/>
                <w:color w:val="FF0000"/>
              </w:rPr>
            </w:pPr>
            <w:r w:rsidRPr="008C10B5">
              <w:rPr>
                <w:i/>
                <w:color w:val="FF0000"/>
              </w:rPr>
              <w:t>Taip/Ne</w:t>
            </w:r>
          </w:p>
          <w:p w14:paraId="5AC2F890" w14:textId="77777777" w:rsidR="00CB03CB" w:rsidRDefault="00CB03CB" w:rsidP="00C528A3">
            <w:pPr>
              <w:suppressAutoHyphens/>
              <w:spacing w:line="276" w:lineRule="auto"/>
              <w:jc w:val="center"/>
              <w:rPr>
                <w:color w:val="FF0000"/>
                <w:lang w:eastAsia="en-US"/>
              </w:rPr>
            </w:pPr>
          </w:p>
        </w:tc>
      </w:tr>
      <w:tr w:rsidR="00CB03CB" w14:paraId="74DA6295" w14:textId="77777777" w:rsidTr="00C528A3">
        <w:trPr>
          <w:trHeight w:val="620"/>
        </w:trPr>
        <w:tc>
          <w:tcPr>
            <w:tcW w:w="4981" w:type="dxa"/>
          </w:tcPr>
          <w:p w14:paraId="4FFB4D7E" w14:textId="6F802B42" w:rsidR="00CB03CB" w:rsidRDefault="00CB03CB" w:rsidP="00CB03CB">
            <w:pPr>
              <w:pStyle w:val="ListParagraph"/>
              <w:numPr>
                <w:ilvl w:val="0"/>
                <w:numId w:val="21"/>
              </w:numPr>
              <w:tabs>
                <w:tab w:val="left" w:pos="851"/>
                <w:tab w:val="left" w:pos="1134"/>
              </w:tabs>
              <w:jc w:val="both"/>
            </w:pPr>
            <w:r w:rsidRPr="00B100E5">
              <w:rPr>
                <w:kern w:val="2"/>
                <w:lang w:eastAsia="en-US"/>
                <w14:ligatures w14:val="standardContextual"/>
              </w:rPr>
              <w:t>Pirminis sprendimas -  ne vėliau nei per 12 darbo valandų</w:t>
            </w:r>
            <w:r>
              <w:rPr>
                <w:kern w:val="2"/>
                <w:lang w:eastAsia="en-US"/>
                <w14:ligatures w14:val="standardContextual"/>
              </w:rPr>
              <w:t>;</w:t>
            </w:r>
          </w:p>
        </w:tc>
        <w:tc>
          <w:tcPr>
            <w:tcW w:w="4981" w:type="dxa"/>
          </w:tcPr>
          <w:p w14:paraId="6D33055D" w14:textId="77777777" w:rsidR="00CB03CB" w:rsidRDefault="00CB03CB" w:rsidP="00CB03CB">
            <w:pPr>
              <w:jc w:val="center"/>
              <w:rPr>
                <w:i/>
                <w:color w:val="FF0000"/>
              </w:rPr>
            </w:pPr>
            <w:r w:rsidRPr="008C10B5">
              <w:rPr>
                <w:i/>
                <w:color w:val="FF0000"/>
              </w:rPr>
              <w:t>Taip/Ne</w:t>
            </w:r>
          </w:p>
          <w:p w14:paraId="76D8C3BF" w14:textId="77777777" w:rsidR="00CB03CB" w:rsidRDefault="00CB03CB" w:rsidP="00C528A3">
            <w:pPr>
              <w:suppressAutoHyphens/>
              <w:spacing w:line="276" w:lineRule="auto"/>
              <w:jc w:val="center"/>
              <w:rPr>
                <w:color w:val="FF0000"/>
                <w:lang w:eastAsia="en-US"/>
              </w:rPr>
            </w:pPr>
          </w:p>
        </w:tc>
      </w:tr>
      <w:tr w:rsidR="00CB03CB" w14:paraId="2CF7BE5C" w14:textId="77777777" w:rsidTr="00C528A3">
        <w:trPr>
          <w:trHeight w:val="620"/>
        </w:trPr>
        <w:tc>
          <w:tcPr>
            <w:tcW w:w="4981" w:type="dxa"/>
          </w:tcPr>
          <w:p w14:paraId="7904D30E" w14:textId="3B5BD606" w:rsidR="00CB03CB" w:rsidRDefault="00CB03CB" w:rsidP="00CB03CB">
            <w:pPr>
              <w:pStyle w:val="ListParagraph"/>
              <w:numPr>
                <w:ilvl w:val="0"/>
                <w:numId w:val="21"/>
              </w:numPr>
              <w:tabs>
                <w:tab w:val="left" w:pos="851"/>
                <w:tab w:val="left" w:pos="1134"/>
              </w:tabs>
              <w:jc w:val="both"/>
            </w:pPr>
            <w:r w:rsidRPr="00B100E5">
              <w:rPr>
                <w:kern w:val="2"/>
                <w:lang w:eastAsia="en-US"/>
                <w14:ligatures w14:val="standardContextual"/>
              </w:rPr>
              <w:t>Nuolatinis sprendimas -  ne vėliau nei per 2  savaites</w:t>
            </w:r>
            <w:r>
              <w:rPr>
                <w:kern w:val="2"/>
                <w:lang w:eastAsia="en-US"/>
                <w14:ligatures w14:val="standardContextual"/>
              </w:rPr>
              <w:t>;</w:t>
            </w:r>
          </w:p>
        </w:tc>
        <w:tc>
          <w:tcPr>
            <w:tcW w:w="4981" w:type="dxa"/>
          </w:tcPr>
          <w:p w14:paraId="5961B06D" w14:textId="77777777" w:rsidR="00CB03CB" w:rsidRDefault="00CB03CB" w:rsidP="00CB03CB">
            <w:pPr>
              <w:jc w:val="center"/>
              <w:rPr>
                <w:i/>
                <w:color w:val="FF0000"/>
              </w:rPr>
            </w:pPr>
            <w:r w:rsidRPr="008C10B5">
              <w:rPr>
                <w:i/>
                <w:color w:val="FF0000"/>
              </w:rPr>
              <w:t>Taip/Ne</w:t>
            </w:r>
          </w:p>
          <w:p w14:paraId="4921B3B3" w14:textId="77777777" w:rsidR="00CB03CB" w:rsidRDefault="00CB03CB" w:rsidP="00C528A3">
            <w:pPr>
              <w:suppressAutoHyphens/>
              <w:spacing w:line="276" w:lineRule="auto"/>
              <w:jc w:val="center"/>
              <w:rPr>
                <w:color w:val="FF0000"/>
                <w:lang w:eastAsia="en-US"/>
              </w:rPr>
            </w:pPr>
          </w:p>
        </w:tc>
      </w:tr>
      <w:tr w:rsidR="00CB03CB" w14:paraId="11A75C1C" w14:textId="77777777" w:rsidTr="00C528A3">
        <w:trPr>
          <w:trHeight w:val="620"/>
        </w:trPr>
        <w:tc>
          <w:tcPr>
            <w:tcW w:w="9962" w:type="dxa"/>
            <w:gridSpan w:val="2"/>
            <w:shd w:val="clear" w:color="auto" w:fill="E7E6E6" w:themeFill="background2"/>
          </w:tcPr>
          <w:p w14:paraId="640E3F82" w14:textId="7D6933BE" w:rsidR="00CB03CB" w:rsidRPr="00CD0A46" w:rsidRDefault="00CB03CB" w:rsidP="00C528A3">
            <w:pPr>
              <w:pStyle w:val="ListParagraph"/>
              <w:suppressAutoHyphens/>
              <w:spacing w:before="120" w:line="276" w:lineRule="auto"/>
              <w:ind w:left="0"/>
              <w:jc w:val="both"/>
              <w:rPr>
                <w:b/>
                <w:lang w:eastAsia="en-US"/>
              </w:rPr>
            </w:pPr>
            <w:r>
              <w:t xml:space="preserve">b) </w:t>
            </w:r>
            <w:r w:rsidRPr="00B100E5">
              <w:rPr>
                <w:kern w:val="2"/>
                <w:lang w:eastAsia="en-US"/>
                <w14:ligatures w14:val="standardContextual"/>
              </w:rPr>
              <w:t xml:space="preserve">Vidutinio svarbumo klaida, kuri paveikia PO būtinas sistemos ypatybes, ir neigiamai veikia </w:t>
            </w:r>
            <w:r w:rsidRPr="00B100E5">
              <w:rPr>
                <w:rFonts w:eastAsia="Calibri"/>
                <w:kern w:val="2"/>
                <w:lang w:eastAsia="en-US"/>
                <w14:ligatures w14:val="standardContextual"/>
              </w:rPr>
              <w:t>įprastą PO</w:t>
            </w:r>
            <w:r w:rsidRPr="00B100E5">
              <w:rPr>
                <w:kern w:val="2"/>
                <w:lang w:eastAsia="en-US"/>
                <w14:ligatures w14:val="standardContextual"/>
              </w:rPr>
              <w:t xml:space="preserve"> darbą</w:t>
            </w:r>
            <w:r>
              <w:rPr>
                <w:kern w:val="2"/>
                <w:lang w:eastAsia="en-US"/>
                <w14:ligatures w14:val="standardContextual"/>
              </w:rPr>
              <w:t>:</w:t>
            </w:r>
          </w:p>
        </w:tc>
      </w:tr>
      <w:tr w:rsidR="00CB03CB" w14:paraId="313F0B53" w14:textId="77777777" w:rsidTr="00C528A3">
        <w:trPr>
          <w:trHeight w:val="620"/>
        </w:trPr>
        <w:tc>
          <w:tcPr>
            <w:tcW w:w="4981" w:type="dxa"/>
          </w:tcPr>
          <w:p w14:paraId="374E8B37" w14:textId="20B6C3F5" w:rsidR="00CB03CB" w:rsidRDefault="00CB03CB" w:rsidP="00CB03CB">
            <w:pPr>
              <w:pStyle w:val="ListParagraph"/>
              <w:numPr>
                <w:ilvl w:val="0"/>
                <w:numId w:val="21"/>
              </w:numPr>
              <w:tabs>
                <w:tab w:val="left" w:pos="851"/>
                <w:tab w:val="left" w:pos="1134"/>
              </w:tabs>
              <w:jc w:val="both"/>
            </w:pPr>
            <w:r w:rsidRPr="00B100E5">
              <w:rPr>
                <w:kern w:val="2"/>
                <w:lang w:eastAsia="en-US"/>
                <w14:ligatures w14:val="standardContextual"/>
              </w:rPr>
              <w:t>Pirminis atsakymas - ne vėliau nei per 8 darbo valandas</w:t>
            </w:r>
            <w:r>
              <w:rPr>
                <w:kern w:val="2"/>
                <w:lang w:eastAsia="en-US"/>
                <w14:ligatures w14:val="standardContextual"/>
              </w:rPr>
              <w:t>;</w:t>
            </w:r>
          </w:p>
        </w:tc>
        <w:tc>
          <w:tcPr>
            <w:tcW w:w="4981" w:type="dxa"/>
          </w:tcPr>
          <w:p w14:paraId="0AF991E1" w14:textId="77777777" w:rsidR="00CB03CB" w:rsidRDefault="00CB03CB" w:rsidP="00CB03CB">
            <w:pPr>
              <w:jc w:val="center"/>
              <w:rPr>
                <w:i/>
                <w:color w:val="FF0000"/>
              </w:rPr>
            </w:pPr>
            <w:r w:rsidRPr="008C10B5">
              <w:rPr>
                <w:i/>
                <w:color w:val="FF0000"/>
              </w:rPr>
              <w:t>Taip/Ne</w:t>
            </w:r>
          </w:p>
          <w:p w14:paraId="5B3F94DF" w14:textId="77777777" w:rsidR="00CB03CB" w:rsidRDefault="00CB03CB" w:rsidP="00C528A3">
            <w:pPr>
              <w:suppressAutoHyphens/>
              <w:spacing w:line="276" w:lineRule="auto"/>
              <w:jc w:val="center"/>
              <w:rPr>
                <w:color w:val="FF0000"/>
                <w:lang w:eastAsia="en-US"/>
              </w:rPr>
            </w:pPr>
          </w:p>
        </w:tc>
      </w:tr>
      <w:tr w:rsidR="00CB03CB" w14:paraId="7BD70E8C" w14:textId="77777777" w:rsidTr="00C528A3">
        <w:trPr>
          <w:trHeight w:val="620"/>
        </w:trPr>
        <w:tc>
          <w:tcPr>
            <w:tcW w:w="4981" w:type="dxa"/>
          </w:tcPr>
          <w:p w14:paraId="5AA24099" w14:textId="5A11E64A" w:rsidR="00CB03CB" w:rsidRDefault="00CB03CB" w:rsidP="00CB03CB">
            <w:pPr>
              <w:pStyle w:val="ListParagraph"/>
              <w:numPr>
                <w:ilvl w:val="0"/>
                <w:numId w:val="21"/>
              </w:numPr>
              <w:tabs>
                <w:tab w:val="left" w:pos="851"/>
                <w:tab w:val="left" w:pos="1134"/>
              </w:tabs>
              <w:jc w:val="both"/>
            </w:pPr>
            <w:r w:rsidRPr="00B100E5">
              <w:rPr>
                <w:kern w:val="2"/>
                <w:lang w:eastAsia="en-US"/>
                <w14:ligatures w14:val="standardContextual"/>
              </w:rPr>
              <w:t>Pirminis sprendimas -  ne vėliau nei per 2 darbo dienas</w:t>
            </w:r>
            <w:r>
              <w:rPr>
                <w:kern w:val="2"/>
                <w:lang w:eastAsia="en-US"/>
                <w14:ligatures w14:val="standardContextual"/>
              </w:rPr>
              <w:t>;</w:t>
            </w:r>
          </w:p>
        </w:tc>
        <w:tc>
          <w:tcPr>
            <w:tcW w:w="4981" w:type="dxa"/>
          </w:tcPr>
          <w:p w14:paraId="235E10CD" w14:textId="77777777" w:rsidR="00CB03CB" w:rsidRDefault="00CB03CB" w:rsidP="00CB03CB">
            <w:pPr>
              <w:jc w:val="center"/>
              <w:rPr>
                <w:i/>
                <w:color w:val="FF0000"/>
              </w:rPr>
            </w:pPr>
            <w:r w:rsidRPr="008C10B5">
              <w:rPr>
                <w:i/>
                <w:color w:val="FF0000"/>
              </w:rPr>
              <w:t>Taip/Ne</w:t>
            </w:r>
          </w:p>
          <w:p w14:paraId="1D95186F" w14:textId="77777777" w:rsidR="00CB03CB" w:rsidRDefault="00CB03CB" w:rsidP="00C528A3">
            <w:pPr>
              <w:suppressAutoHyphens/>
              <w:spacing w:line="276" w:lineRule="auto"/>
              <w:jc w:val="center"/>
              <w:rPr>
                <w:color w:val="FF0000"/>
                <w:lang w:eastAsia="en-US"/>
              </w:rPr>
            </w:pPr>
          </w:p>
        </w:tc>
      </w:tr>
      <w:tr w:rsidR="00CB03CB" w14:paraId="611ACAA1" w14:textId="77777777" w:rsidTr="00C528A3">
        <w:trPr>
          <w:trHeight w:val="620"/>
        </w:trPr>
        <w:tc>
          <w:tcPr>
            <w:tcW w:w="4981" w:type="dxa"/>
          </w:tcPr>
          <w:p w14:paraId="045601DB" w14:textId="113E1CC4" w:rsidR="00CB03CB" w:rsidRDefault="00CB03CB" w:rsidP="00CB03CB">
            <w:pPr>
              <w:pStyle w:val="ListParagraph"/>
              <w:numPr>
                <w:ilvl w:val="0"/>
                <w:numId w:val="21"/>
              </w:numPr>
              <w:tabs>
                <w:tab w:val="left" w:pos="851"/>
                <w:tab w:val="left" w:pos="1134"/>
              </w:tabs>
              <w:jc w:val="both"/>
            </w:pPr>
            <w:r w:rsidRPr="00B100E5">
              <w:rPr>
                <w:kern w:val="2"/>
                <w:lang w:eastAsia="en-US"/>
                <w14:ligatures w14:val="standardContextual"/>
              </w:rPr>
              <w:lastRenderedPageBreak/>
              <w:t xml:space="preserve">Nuolatinis sprendimas - ne vėliau nei per 4 </w:t>
            </w:r>
            <w:r w:rsidRPr="00B100E5">
              <w:rPr>
                <w:strike/>
                <w:kern w:val="2"/>
                <w:lang w:eastAsia="en-US"/>
                <w14:ligatures w14:val="standardContextual"/>
              </w:rPr>
              <w:t xml:space="preserve"> </w:t>
            </w:r>
            <w:r w:rsidRPr="00B100E5">
              <w:rPr>
                <w:kern w:val="2"/>
                <w:lang w:eastAsia="en-US"/>
                <w14:ligatures w14:val="standardContextual"/>
              </w:rPr>
              <w:t>savaites</w:t>
            </w:r>
            <w:r>
              <w:rPr>
                <w:kern w:val="2"/>
                <w:lang w:eastAsia="en-US"/>
                <w14:ligatures w14:val="standardContextual"/>
              </w:rPr>
              <w:t>;</w:t>
            </w:r>
          </w:p>
        </w:tc>
        <w:tc>
          <w:tcPr>
            <w:tcW w:w="4981" w:type="dxa"/>
          </w:tcPr>
          <w:p w14:paraId="6AB74B72" w14:textId="77777777" w:rsidR="00CB03CB" w:rsidRDefault="00CB03CB" w:rsidP="00CB03CB">
            <w:pPr>
              <w:jc w:val="center"/>
              <w:rPr>
                <w:i/>
                <w:color w:val="FF0000"/>
              </w:rPr>
            </w:pPr>
            <w:r w:rsidRPr="008C10B5">
              <w:rPr>
                <w:i/>
                <w:color w:val="FF0000"/>
              </w:rPr>
              <w:t>Taip/Ne</w:t>
            </w:r>
          </w:p>
          <w:p w14:paraId="7291DEBC" w14:textId="77777777" w:rsidR="00CB03CB" w:rsidRDefault="00CB03CB" w:rsidP="00C528A3">
            <w:pPr>
              <w:suppressAutoHyphens/>
              <w:spacing w:line="276" w:lineRule="auto"/>
              <w:jc w:val="center"/>
              <w:rPr>
                <w:color w:val="FF0000"/>
                <w:lang w:eastAsia="en-US"/>
              </w:rPr>
            </w:pPr>
          </w:p>
        </w:tc>
      </w:tr>
      <w:tr w:rsidR="00CB03CB" w14:paraId="0C13E181" w14:textId="77777777" w:rsidTr="00C528A3">
        <w:trPr>
          <w:trHeight w:val="620"/>
        </w:trPr>
        <w:tc>
          <w:tcPr>
            <w:tcW w:w="9962" w:type="dxa"/>
            <w:gridSpan w:val="2"/>
            <w:shd w:val="clear" w:color="auto" w:fill="E7E6E6" w:themeFill="background2"/>
          </w:tcPr>
          <w:p w14:paraId="2C030CEE" w14:textId="1A7BC0B0" w:rsidR="00CB03CB" w:rsidRPr="00CD0A46" w:rsidRDefault="00CB03CB" w:rsidP="00C528A3">
            <w:pPr>
              <w:pStyle w:val="ListParagraph"/>
              <w:suppressAutoHyphens/>
              <w:spacing w:before="120" w:line="276" w:lineRule="auto"/>
              <w:ind w:left="0"/>
              <w:jc w:val="both"/>
              <w:rPr>
                <w:b/>
                <w:lang w:eastAsia="en-US"/>
              </w:rPr>
            </w:pPr>
            <w:r>
              <w:t xml:space="preserve">c) </w:t>
            </w:r>
            <w:r w:rsidRPr="00B100E5">
              <w:rPr>
                <w:kern w:val="2"/>
                <w:lang w:eastAsia="en-US"/>
                <w14:ligatures w14:val="standardContextual"/>
              </w:rPr>
              <w:t>Smulki klaida, kuri iš esmės nepaveikia klientui svarbių sistemos ypatybių</w:t>
            </w:r>
            <w:r>
              <w:rPr>
                <w:kern w:val="2"/>
                <w:lang w:eastAsia="en-US"/>
                <w14:ligatures w14:val="standardContextual"/>
              </w:rPr>
              <w:t>:</w:t>
            </w:r>
          </w:p>
        </w:tc>
      </w:tr>
      <w:tr w:rsidR="00CB03CB" w14:paraId="31E74698" w14:textId="77777777" w:rsidTr="00C528A3">
        <w:trPr>
          <w:trHeight w:val="620"/>
        </w:trPr>
        <w:tc>
          <w:tcPr>
            <w:tcW w:w="4981" w:type="dxa"/>
          </w:tcPr>
          <w:p w14:paraId="5BDC77E6" w14:textId="6751E421" w:rsidR="00CB03CB" w:rsidRDefault="00CB03CB" w:rsidP="00CB03CB">
            <w:pPr>
              <w:pStyle w:val="ListParagraph"/>
              <w:numPr>
                <w:ilvl w:val="0"/>
                <w:numId w:val="21"/>
              </w:numPr>
              <w:tabs>
                <w:tab w:val="left" w:pos="851"/>
                <w:tab w:val="left" w:pos="1134"/>
              </w:tabs>
              <w:jc w:val="both"/>
            </w:pPr>
            <w:r w:rsidRPr="00B100E5">
              <w:rPr>
                <w:kern w:val="2"/>
                <w:lang w:eastAsia="en-US"/>
                <w14:ligatures w14:val="standardContextual"/>
              </w:rPr>
              <w:t>Pirminis atsakymas - ne vėliau nei per 5 darbo dienas;</w:t>
            </w:r>
          </w:p>
          <w:p w14:paraId="6A27EC8C" w14:textId="77777777" w:rsidR="00CB03CB" w:rsidRPr="00CB03CB" w:rsidRDefault="00CB03CB" w:rsidP="00CB03CB">
            <w:pPr>
              <w:ind w:firstLine="720"/>
            </w:pPr>
          </w:p>
        </w:tc>
        <w:tc>
          <w:tcPr>
            <w:tcW w:w="4981" w:type="dxa"/>
          </w:tcPr>
          <w:p w14:paraId="1F505854" w14:textId="77777777" w:rsidR="00CB03CB" w:rsidRDefault="00CB03CB" w:rsidP="00CB03CB">
            <w:pPr>
              <w:jc w:val="center"/>
              <w:rPr>
                <w:i/>
                <w:color w:val="FF0000"/>
              </w:rPr>
            </w:pPr>
            <w:r w:rsidRPr="008C10B5">
              <w:rPr>
                <w:i/>
                <w:color w:val="FF0000"/>
              </w:rPr>
              <w:t>Taip/Ne</w:t>
            </w:r>
          </w:p>
          <w:p w14:paraId="33F0A499" w14:textId="77777777" w:rsidR="00CB03CB" w:rsidRDefault="00CB03CB" w:rsidP="00C528A3">
            <w:pPr>
              <w:suppressAutoHyphens/>
              <w:spacing w:line="276" w:lineRule="auto"/>
              <w:jc w:val="center"/>
              <w:rPr>
                <w:color w:val="FF0000"/>
                <w:lang w:eastAsia="en-US"/>
              </w:rPr>
            </w:pPr>
          </w:p>
        </w:tc>
      </w:tr>
      <w:tr w:rsidR="00CB03CB" w14:paraId="21E5BA27" w14:textId="77777777" w:rsidTr="00C528A3">
        <w:trPr>
          <w:trHeight w:val="620"/>
        </w:trPr>
        <w:tc>
          <w:tcPr>
            <w:tcW w:w="4981" w:type="dxa"/>
          </w:tcPr>
          <w:p w14:paraId="62F58A3C" w14:textId="3F0B64CA" w:rsidR="00CB03CB" w:rsidRDefault="00CB03CB" w:rsidP="00CB03CB">
            <w:pPr>
              <w:pStyle w:val="ListParagraph"/>
              <w:numPr>
                <w:ilvl w:val="0"/>
                <w:numId w:val="21"/>
              </w:numPr>
              <w:tabs>
                <w:tab w:val="left" w:pos="851"/>
                <w:tab w:val="left" w:pos="1134"/>
              </w:tabs>
              <w:jc w:val="both"/>
            </w:pPr>
            <w:r w:rsidRPr="00B100E5">
              <w:rPr>
                <w:kern w:val="2"/>
                <w:lang w:eastAsia="en-US"/>
                <w14:ligatures w14:val="standardContextual"/>
              </w:rPr>
              <w:t>Pirminis sprendimas - ne vėliau nei kito programinės įrangos atnaujinimo metu;</w:t>
            </w:r>
          </w:p>
        </w:tc>
        <w:tc>
          <w:tcPr>
            <w:tcW w:w="4981" w:type="dxa"/>
          </w:tcPr>
          <w:p w14:paraId="68594762" w14:textId="77777777" w:rsidR="00CB03CB" w:rsidRDefault="00CB03CB" w:rsidP="00CB03CB">
            <w:pPr>
              <w:jc w:val="center"/>
              <w:rPr>
                <w:i/>
                <w:color w:val="FF0000"/>
              </w:rPr>
            </w:pPr>
            <w:r w:rsidRPr="008C10B5">
              <w:rPr>
                <w:i/>
                <w:color w:val="FF0000"/>
              </w:rPr>
              <w:t>Taip/Ne</w:t>
            </w:r>
          </w:p>
          <w:p w14:paraId="00C5088D" w14:textId="77777777" w:rsidR="00CB03CB" w:rsidRDefault="00CB03CB" w:rsidP="00C528A3">
            <w:pPr>
              <w:suppressAutoHyphens/>
              <w:spacing w:line="276" w:lineRule="auto"/>
              <w:jc w:val="center"/>
              <w:rPr>
                <w:color w:val="FF0000"/>
                <w:lang w:eastAsia="en-US"/>
              </w:rPr>
            </w:pPr>
          </w:p>
        </w:tc>
      </w:tr>
      <w:tr w:rsidR="00CB03CB" w14:paraId="78355859" w14:textId="77777777" w:rsidTr="00C528A3">
        <w:trPr>
          <w:trHeight w:val="620"/>
        </w:trPr>
        <w:tc>
          <w:tcPr>
            <w:tcW w:w="4981" w:type="dxa"/>
          </w:tcPr>
          <w:p w14:paraId="0523351A" w14:textId="0A059D33" w:rsidR="00CB03CB" w:rsidRPr="00CB03CB" w:rsidRDefault="00CB03CB" w:rsidP="00CB03CB">
            <w:pPr>
              <w:numPr>
                <w:ilvl w:val="0"/>
                <w:numId w:val="21"/>
              </w:numPr>
              <w:spacing w:after="160" w:line="276" w:lineRule="auto"/>
              <w:contextualSpacing/>
              <w:jc w:val="both"/>
              <w:rPr>
                <w:kern w:val="2"/>
                <w:lang w:eastAsia="en-US"/>
                <w14:ligatures w14:val="standardContextual"/>
              </w:rPr>
            </w:pPr>
            <w:r w:rsidRPr="00B100E5">
              <w:rPr>
                <w:kern w:val="2"/>
                <w:lang w:eastAsia="en-US"/>
                <w14:ligatures w14:val="standardContextual"/>
              </w:rPr>
              <w:t>Nuolatinis sprendimas - ne vėliau nei  kito programinės įrangos atnaujinimo metu.</w:t>
            </w:r>
          </w:p>
        </w:tc>
        <w:tc>
          <w:tcPr>
            <w:tcW w:w="4981" w:type="dxa"/>
          </w:tcPr>
          <w:p w14:paraId="441475A2" w14:textId="77777777" w:rsidR="00CB03CB" w:rsidRDefault="00CB03CB" w:rsidP="00CB03CB">
            <w:pPr>
              <w:jc w:val="center"/>
              <w:rPr>
                <w:i/>
                <w:color w:val="FF0000"/>
              </w:rPr>
            </w:pPr>
            <w:r w:rsidRPr="008C10B5">
              <w:rPr>
                <w:i/>
                <w:color w:val="FF0000"/>
              </w:rPr>
              <w:t>Taip/Ne</w:t>
            </w:r>
          </w:p>
          <w:p w14:paraId="32B8D7A3" w14:textId="77777777" w:rsidR="00CB03CB" w:rsidRDefault="00CB03CB" w:rsidP="00C528A3">
            <w:pPr>
              <w:suppressAutoHyphens/>
              <w:spacing w:line="276" w:lineRule="auto"/>
              <w:jc w:val="center"/>
              <w:rPr>
                <w:color w:val="FF0000"/>
                <w:lang w:eastAsia="en-US"/>
              </w:rPr>
            </w:pPr>
          </w:p>
        </w:tc>
      </w:tr>
    </w:tbl>
    <w:p w14:paraId="0917DE55" w14:textId="77777777" w:rsidR="00AA6909" w:rsidRDefault="00AA6909" w:rsidP="00AA6909">
      <w:pPr>
        <w:jc w:val="center"/>
      </w:pPr>
    </w:p>
    <w:sectPr w:rsidR="00AA6909">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1A603" w14:textId="77777777" w:rsidR="00F43E08" w:rsidRDefault="00F43E08" w:rsidP="00A51ED7">
      <w:r>
        <w:separator/>
      </w:r>
    </w:p>
  </w:endnote>
  <w:endnote w:type="continuationSeparator" w:id="0">
    <w:p w14:paraId="01D528C3" w14:textId="77777777" w:rsidR="00F43E08" w:rsidRDefault="00F43E08" w:rsidP="00A5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A369C" w14:textId="77777777" w:rsidR="00F43E08" w:rsidRDefault="00F43E08" w:rsidP="00A51ED7">
      <w:r>
        <w:separator/>
      </w:r>
    </w:p>
  </w:footnote>
  <w:footnote w:type="continuationSeparator" w:id="0">
    <w:p w14:paraId="2A247E9C" w14:textId="77777777" w:rsidR="00F43E08" w:rsidRDefault="00F43E08" w:rsidP="00A5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30C54A4"/>
    <w:multiLevelType w:val="multilevel"/>
    <w:tmpl w:val="04F476C4"/>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 w15:restartNumberingAfterBreak="0">
    <w:nsid w:val="15836482"/>
    <w:multiLevelType w:val="hybridMultilevel"/>
    <w:tmpl w:val="8118027C"/>
    <w:lvl w:ilvl="0" w:tplc="0ACEF8B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7BF2175"/>
    <w:multiLevelType w:val="hybridMultilevel"/>
    <w:tmpl w:val="625607C8"/>
    <w:lvl w:ilvl="0" w:tplc="A9E8A834">
      <w:numFmt w:val="bullet"/>
      <w:lvlText w:val="–"/>
      <w:lvlJc w:val="left"/>
      <w:pPr>
        <w:ind w:left="394" w:hanging="360"/>
      </w:pPr>
      <w:rPr>
        <w:rFonts w:ascii="Times New Roman" w:eastAsia="Times New Roman"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4" w15:restartNumberingAfterBreak="0">
    <w:nsid w:val="23901054"/>
    <w:multiLevelType w:val="hybridMultilevel"/>
    <w:tmpl w:val="230CEFB6"/>
    <w:lvl w:ilvl="0" w:tplc="0BDAF8BE">
      <w:start w:val="1"/>
      <w:numFmt w:val="bullet"/>
      <w:lvlText w:val=""/>
      <w:lvlJc w:val="left"/>
      <w:pPr>
        <w:ind w:left="1656" w:hanging="360"/>
      </w:pPr>
      <w:rPr>
        <w:rFonts w:ascii="Symbol" w:hAnsi="Symbol" w:hint="default"/>
      </w:rPr>
    </w:lvl>
    <w:lvl w:ilvl="1" w:tplc="0BDAF8BE">
      <w:start w:val="1"/>
      <w:numFmt w:val="bullet"/>
      <w:lvlText w:val=""/>
      <w:lvlJc w:val="left"/>
      <w:pPr>
        <w:ind w:left="1296" w:hanging="360"/>
      </w:pPr>
      <w:rPr>
        <w:rFonts w:ascii="Symbol" w:hAnsi="Symbol" w:hint="default"/>
      </w:rPr>
    </w:lvl>
    <w:lvl w:ilvl="2" w:tplc="0BDAF8BE">
      <w:start w:val="1"/>
      <w:numFmt w:val="bullet"/>
      <w:lvlText w:val=""/>
      <w:lvlJc w:val="left"/>
      <w:pPr>
        <w:ind w:left="2016" w:hanging="360"/>
      </w:pPr>
      <w:rPr>
        <w:rFonts w:ascii="Symbol" w:hAnsi="Symbol" w:hint="default"/>
      </w:rPr>
    </w:lvl>
    <w:lvl w:ilvl="3" w:tplc="04270001">
      <w:start w:val="1"/>
      <w:numFmt w:val="bullet"/>
      <w:lvlText w:val=""/>
      <w:lvlJc w:val="left"/>
      <w:pPr>
        <w:ind w:left="2736" w:hanging="360"/>
      </w:pPr>
      <w:rPr>
        <w:rFonts w:ascii="Symbol" w:hAnsi="Symbol" w:hint="default"/>
      </w:rPr>
    </w:lvl>
    <w:lvl w:ilvl="4" w:tplc="04270003">
      <w:start w:val="1"/>
      <w:numFmt w:val="bullet"/>
      <w:lvlText w:val="o"/>
      <w:lvlJc w:val="left"/>
      <w:pPr>
        <w:ind w:left="3456" w:hanging="360"/>
      </w:pPr>
      <w:rPr>
        <w:rFonts w:ascii="Courier New" w:hAnsi="Courier New" w:cs="Courier New" w:hint="default"/>
      </w:rPr>
    </w:lvl>
    <w:lvl w:ilvl="5" w:tplc="04270005">
      <w:start w:val="1"/>
      <w:numFmt w:val="bullet"/>
      <w:lvlText w:val=""/>
      <w:lvlJc w:val="left"/>
      <w:pPr>
        <w:ind w:left="4176" w:hanging="360"/>
      </w:pPr>
      <w:rPr>
        <w:rFonts w:ascii="Wingdings" w:hAnsi="Wingdings" w:hint="default"/>
      </w:rPr>
    </w:lvl>
    <w:lvl w:ilvl="6" w:tplc="04270001">
      <w:start w:val="1"/>
      <w:numFmt w:val="bullet"/>
      <w:lvlText w:val=""/>
      <w:lvlJc w:val="left"/>
      <w:pPr>
        <w:ind w:left="4896" w:hanging="360"/>
      </w:pPr>
      <w:rPr>
        <w:rFonts w:ascii="Symbol" w:hAnsi="Symbol" w:hint="default"/>
      </w:rPr>
    </w:lvl>
    <w:lvl w:ilvl="7" w:tplc="04270003">
      <w:start w:val="1"/>
      <w:numFmt w:val="bullet"/>
      <w:lvlText w:val="o"/>
      <w:lvlJc w:val="left"/>
      <w:pPr>
        <w:ind w:left="5616" w:hanging="360"/>
      </w:pPr>
      <w:rPr>
        <w:rFonts w:ascii="Courier New" w:hAnsi="Courier New" w:cs="Courier New" w:hint="default"/>
      </w:rPr>
    </w:lvl>
    <w:lvl w:ilvl="8" w:tplc="04270005">
      <w:start w:val="1"/>
      <w:numFmt w:val="bullet"/>
      <w:lvlText w:val=""/>
      <w:lvlJc w:val="left"/>
      <w:pPr>
        <w:ind w:left="6336" w:hanging="360"/>
      </w:pPr>
      <w:rPr>
        <w:rFonts w:ascii="Wingdings" w:hAnsi="Wingdings" w:hint="default"/>
      </w:rPr>
    </w:lvl>
  </w:abstractNum>
  <w:abstractNum w:abstractNumId="5" w15:restartNumberingAfterBreak="0">
    <w:nsid w:val="24032CFF"/>
    <w:multiLevelType w:val="hybridMultilevel"/>
    <w:tmpl w:val="01B61DDC"/>
    <w:lvl w:ilvl="0" w:tplc="0ACEF8BA">
      <w:start w:val="1"/>
      <w:numFmt w:val="bullet"/>
      <w:lvlText w:val=""/>
      <w:lvlJc w:val="left"/>
      <w:pPr>
        <w:ind w:left="4615"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7B275AB"/>
    <w:multiLevelType w:val="multilevel"/>
    <w:tmpl w:val="32CAF65C"/>
    <w:lvl w:ilvl="0">
      <w:start w:val="1"/>
      <w:numFmt w:val="decimal"/>
      <w:pStyle w:val="Heading1"/>
      <w:lvlText w:val="%1."/>
      <w:lvlJc w:val="left"/>
      <w:pPr>
        <w:ind w:left="360" w:hanging="360"/>
      </w:pPr>
    </w:lvl>
    <w:lvl w:ilvl="1">
      <w:start w:val="1"/>
      <w:numFmt w:val="decimal"/>
      <w:pStyle w:val="Heading2"/>
      <w:lvlText w:val="%1.%2."/>
      <w:lvlJc w:val="left"/>
      <w:pPr>
        <w:ind w:left="114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9" w15:restartNumberingAfterBreak="0">
    <w:nsid w:val="48CA3113"/>
    <w:multiLevelType w:val="hybridMultilevel"/>
    <w:tmpl w:val="BC64CE5A"/>
    <w:lvl w:ilvl="0" w:tplc="0BDAF8BE">
      <w:start w:val="1"/>
      <w:numFmt w:val="bullet"/>
      <w:lvlText w:val=""/>
      <w:lvlJc w:val="left"/>
      <w:pPr>
        <w:ind w:left="4048" w:hanging="360"/>
      </w:pPr>
      <w:rPr>
        <w:rFonts w:ascii="Symbol" w:hAnsi="Symbol" w:hint="default"/>
      </w:rPr>
    </w:lvl>
    <w:lvl w:ilvl="1" w:tplc="04270003">
      <w:start w:val="1"/>
      <w:numFmt w:val="bullet"/>
      <w:lvlText w:val="o"/>
      <w:lvlJc w:val="left"/>
      <w:pPr>
        <w:ind w:left="4768" w:hanging="360"/>
      </w:pPr>
      <w:rPr>
        <w:rFonts w:ascii="Courier New" w:hAnsi="Courier New" w:cs="Courier New" w:hint="default"/>
      </w:rPr>
    </w:lvl>
    <w:lvl w:ilvl="2" w:tplc="04270005">
      <w:start w:val="1"/>
      <w:numFmt w:val="bullet"/>
      <w:lvlText w:val=""/>
      <w:lvlJc w:val="left"/>
      <w:pPr>
        <w:ind w:left="5488" w:hanging="360"/>
      </w:pPr>
      <w:rPr>
        <w:rFonts w:ascii="Wingdings" w:hAnsi="Wingdings" w:hint="default"/>
      </w:rPr>
    </w:lvl>
    <w:lvl w:ilvl="3" w:tplc="04270001">
      <w:start w:val="1"/>
      <w:numFmt w:val="bullet"/>
      <w:lvlText w:val=""/>
      <w:lvlJc w:val="left"/>
      <w:pPr>
        <w:ind w:left="6208" w:hanging="360"/>
      </w:pPr>
      <w:rPr>
        <w:rFonts w:ascii="Symbol" w:hAnsi="Symbol" w:hint="default"/>
      </w:rPr>
    </w:lvl>
    <w:lvl w:ilvl="4" w:tplc="04270003">
      <w:start w:val="1"/>
      <w:numFmt w:val="bullet"/>
      <w:lvlText w:val="o"/>
      <w:lvlJc w:val="left"/>
      <w:pPr>
        <w:ind w:left="6928" w:hanging="360"/>
      </w:pPr>
      <w:rPr>
        <w:rFonts w:ascii="Courier New" w:hAnsi="Courier New" w:cs="Courier New" w:hint="default"/>
      </w:rPr>
    </w:lvl>
    <w:lvl w:ilvl="5" w:tplc="04270005">
      <w:start w:val="1"/>
      <w:numFmt w:val="bullet"/>
      <w:lvlText w:val=""/>
      <w:lvlJc w:val="left"/>
      <w:pPr>
        <w:ind w:left="7648" w:hanging="360"/>
      </w:pPr>
      <w:rPr>
        <w:rFonts w:ascii="Wingdings" w:hAnsi="Wingdings" w:hint="default"/>
      </w:rPr>
    </w:lvl>
    <w:lvl w:ilvl="6" w:tplc="04270001">
      <w:start w:val="1"/>
      <w:numFmt w:val="bullet"/>
      <w:lvlText w:val=""/>
      <w:lvlJc w:val="left"/>
      <w:pPr>
        <w:ind w:left="8368" w:hanging="360"/>
      </w:pPr>
      <w:rPr>
        <w:rFonts w:ascii="Symbol" w:hAnsi="Symbol" w:hint="default"/>
      </w:rPr>
    </w:lvl>
    <w:lvl w:ilvl="7" w:tplc="04270003">
      <w:start w:val="1"/>
      <w:numFmt w:val="bullet"/>
      <w:lvlText w:val="o"/>
      <w:lvlJc w:val="left"/>
      <w:pPr>
        <w:ind w:left="9088" w:hanging="360"/>
      </w:pPr>
      <w:rPr>
        <w:rFonts w:ascii="Courier New" w:hAnsi="Courier New" w:cs="Courier New" w:hint="default"/>
      </w:rPr>
    </w:lvl>
    <w:lvl w:ilvl="8" w:tplc="04270005">
      <w:start w:val="1"/>
      <w:numFmt w:val="bullet"/>
      <w:lvlText w:val=""/>
      <w:lvlJc w:val="left"/>
      <w:pPr>
        <w:ind w:left="9808" w:hanging="360"/>
      </w:pPr>
      <w:rPr>
        <w:rFonts w:ascii="Wingdings" w:hAnsi="Wingdings" w:hint="default"/>
      </w:rPr>
    </w:lvl>
  </w:abstractNum>
  <w:abstractNum w:abstractNumId="10" w15:restartNumberingAfterBreak="0">
    <w:nsid w:val="51F313F9"/>
    <w:multiLevelType w:val="multilevel"/>
    <w:tmpl w:val="096A7A2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5313432C"/>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3" w15:restartNumberingAfterBreak="0">
    <w:nsid w:val="7E0F6777"/>
    <w:multiLevelType w:val="hybridMultilevel"/>
    <w:tmpl w:val="E0DE4512"/>
    <w:lvl w:ilvl="0" w:tplc="3A86A6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79291C"/>
    <w:multiLevelType w:val="hybridMultilevel"/>
    <w:tmpl w:val="A3E89654"/>
    <w:lvl w:ilvl="0" w:tplc="3438C2C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9"/>
  </w:num>
  <w:num w:numId="5">
    <w:abstractNumId w:val="2"/>
  </w:num>
  <w:num w:numId="6">
    <w:abstractNumId w:val="5"/>
  </w:num>
  <w:num w:numId="7">
    <w:abstractNumId w:val="6"/>
  </w:num>
  <w:num w:numId="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F4C"/>
    <w:rsid w:val="00022051"/>
    <w:rsid w:val="0004107D"/>
    <w:rsid w:val="00051290"/>
    <w:rsid w:val="000A15FE"/>
    <w:rsid w:val="000F508C"/>
    <w:rsid w:val="00107DDB"/>
    <w:rsid w:val="0012381E"/>
    <w:rsid w:val="0013473A"/>
    <w:rsid w:val="00221857"/>
    <w:rsid w:val="00242DFF"/>
    <w:rsid w:val="00266677"/>
    <w:rsid w:val="002D1CD2"/>
    <w:rsid w:val="002F1F4C"/>
    <w:rsid w:val="003061AC"/>
    <w:rsid w:val="00381CEA"/>
    <w:rsid w:val="003B73B6"/>
    <w:rsid w:val="003D197A"/>
    <w:rsid w:val="003D2996"/>
    <w:rsid w:val="003D60FC"/>
    <w:rsid w:val="00416C35"/>
    <w:rsid w:val="00495395"/>
    <w:rsid w:val="004D2A10"/>
    <w:rsid w:val="004F0D2E"/>
    <w:rsid w:val="004F5D00"/>
    <w:rsid w:val="005364A0"/>
    <w:rsid w:val="00537416"/>
    <w:rsid w:val="00603277"/>
    <w:rsid w:val="00630B0F"/>
    <w:rsid w:val="006A7784"/>
    <w:rsid w:val="007058BA"/>
    <w:rsid w:val="007104B5"/>
    <w:rsid w:val="00721601"/>
    <w:rsid w:val="0073316E"/>
    <w:rsid w:val="007B4201"/>
    <w:rsid w:val="007D3859"/>
    <w:rsid w:val="007D6CB7"/>
    <w:rsid w:val="008240B4"/>
    <w:rsid w:val="0086410B"/>
    <w:rsid w:val="00883527"/>
    <w:rsid w:val="008B2430"/>
    <w:rsid w:val="008C10B5"/>
    <w:rsid w:val="00906D1D"/>
    <w:rsid w:val="00934E7C"/>
    <w:rsid w:val="00957247"/>
    <w:rsid w:val="009A7CC0"/>
    <w:rsid w:val="009D063F"/>
    <w:rsid w:val="009E49A3"/>
    <w:rsid w:val="009E78D9"/>
    <w:rsid w:val="009F23FB"/>
    <w:rsid w:val="00A216B0"/>
    <w:rsid w:val="00A51ED7"/>
    <w:rsid w:val="00AA6909"/>
    <w:rsid w:val="00AD217E"/>
    <w:rsid w:val="00AE071B"/>
    <w:rsid w:val="00B65748"/>
    <w:rsid w:val="00B7370E"/>
    <w:rsid w:val="00BA3117"/>
    <w:rsid w:val="00BB544D"/>
    <w:rsid w:val="00C32B56"/>
    <w:rsid w:val="00C56C86"/>
    <w:rsid w:val="00CB03CB"/>
    <w:rsid w:val="00CD0A46"/>
    <w:rsid w:val="00CF2C9F"/>
    <w:rsid w:val="00D464CC"/>
    <w:rsid w:val="00DE284B"/>
    <w:rsid w:val="00E763EA"/>
    <w:rsid w:val="00E80156"/>
    <w:rsid w:val="00E87E6F"/>
    <w:rsid w:val="00F43E08"/>
    <w:rsid w:val="00F61862"/>
    <w:rsid w:val="00F70CDC"/>
    <w:rsid w:val="00F74AA0"/>
    <w:rsid w:val="00FA1734"/>
    <w:rsid w:val="00FD0CA3"/>
    <w:rsid w:val="00FD7AA9"/>
    <w:rsid w:val="00FE0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BECC"/>
  <w15:chartTrackingRefBased/>
  <w15:docId w15:val="{5399C627-2C95-45D7-AC8F-7EF54FB6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857"/>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A51ED7"/>
    <w:pPr>
      <w:numPr>
        <w:numId w:val="12"/>
      </w:numPr>
      <w:spacing w:line="276" w:lineRule="auto"/>
      <w:jc w:val="both"/>
      <w:outlineLvl w:val="0"/>
    </w:pPr>
    <w:rPr>
      <w:b/>
      <w:u w:val="single"/>
      <w:lang w:eastAsia="ar-SA"/>
    </w:rPr>
  </w:style>
  <w:style w:type="paragraph" w:styleId="Heading2">
    <w:name w:val="heading 2"/>
    <w:basedOn w:val="Normal"/>
    <w:next w:val="Normal"/>
    <w:link w:val="Heading2Char"/>
    <w:uiPriority w:val="9"/>
    <w:unhideWhenUsed/>
    <w:qFormat/>
    <w:rsid w:val="00A51ED7"/>
    <w:pPr>
      <w:numPr>
        <w:ilvl w:val="1"/>
        <w:numId w:val="12"/>
      </w:numPr>
      <w:spacing w:line="276" w:lineRule="auto"/>
      <w:jc w:val="both"/>
      <w:outlineLvl w:val="1"/>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
    <w:basedOn w:val="Normal"/>
    <w:link w:val="ListParagraphChar"/>
    <w:uiPriority w:val="34"/>
    <w:qFormat/>
    <w:rsid w:val="00A51ED7"/>
    <w:pPr>
      <w:ind w:left="720"/>
      <w:contextualSpacing/>
    </w:pPr>
  </w:style>
  <w:style w:type="character" w:customStyle="1" w:styleId="ListParagraphChar">
    <w:name w:val="List Paragraph Char"/>
    <w:aliases w:val="Numbering Char,ERP-List Paragraph Char,List Paragraph11 Char,Bullet EY Char,List Paragraph2 Char,List Paragraph Red Char,List Paragraph1 Char"/>
    <w:link w:val="ListParagraph"/>
    <w:qFormat/>
    <w:rsid w:val="00A51ED7"/>
    <w:rPr>
      <w:rFonts w:ascii="Times New Roman" w:eastAsia="Times New Roman" w:hAnsi="Times New Roman" w:cs="Times New Roman"/>
      <w:sz w:val="24"/>
      <w:szCs w:val="24"/>
      <w:lang w:val="lt-LT" w:eastAsia="lt-LT"/>
    </w:rPr>
  </w:style>
  <w:style w:type="table" w:styleId="TableGrid">
    <w:name w:val="Table Grid"/>
    <w:basedOn w:val="TableNormal"/>
    <w:rsid w:val="00A51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1ED7"/>
    <w:rPr>
      <w:rFonts w:ascii="Times New Roman" w:eastAsia="Times New Roman" w:hAnsi="Times New Roman" w:cs="Times New Roman"/>
      <w:b/>
      <w:sz w:val="24"/>
      <w:szCs w:val="24"/>
      <w:u w:val="single"/>
      <w:lang w:val="lt-LT" w:eastAsia="ar-SA"/>
    </w:rPr>
  </w:style>
  <w:style w:type="character" w:customStyle="1" w:styleId="Heading2Char">
    <w:name w:val="Heading 2 Char"/>
    <w:basedOn w:val="DefaultParagraphFont"/>
    <w:link w:val="Heading2"/>
    <w:uiPriority w:val="9"/>
    <w:rsid w:val="00A51ED7"/>
    <w:rPr>
      <w:rFonts w:ascii="Times New Roman" w:eastAsia="Times New Roman" w:hAnsi="Times New Roman" w:cs="Times New Roman"/>
      <w:sz w:val="24"/>
      <w:szCs w:val="24"/>
      <w:lang w:val="lt-LT" w:eastAsia="ar-SA"/>
    </w:rPr>
  </w:style>
  <w:style w:type="paragraph" w:styleId="FootnoteText">
    <w:name w:val="footnote text"/>
    <w:basedOn w:val="Normal"/>
    <w:link w:val="FootnoteTextChar"/>
    <w:uiPriority w:val="99"/>
    <w:semiHidden/>
    <w:unhideWhenUsed/>
    <w:rsid w:val="00A51ED7"/>
    <w:pPr>
      <w:spacing w:line="276" w:lineRule="auto"/>
      <w:ind w:left="2126" w:hanging="1049"/>
      <w:jc w:val="both"/>
    </w:pPr>
    <w:rPr>
      <w:sz w:val="20"/>
      <w:szCs w:val="20"/>
      <w:lang w:eastAsia="ar-SA"/>
    </w:rPr>
  </w:style>
  <w:style w:type="character" w:customStyle="1" w:styleId="FootnoteTextChar">
    <w:name w:val="Footnote Text Char"/>
    <w:basedOn w:val="DefaultParagraphFont"/>
    <w:link w:val="FootnoteText"/>
    <w:uiPriority w:val="99"/>
    <w:semiHidden/>
    <w:rsid w:val="00A51ED7"/>
    <w:rPr>
      <w:rFonts w:ascii="Times New Roman" w:eastAsia="Times New Roman" w:hAnsi="Times New Roman" w:cs="Times New Roman"/>
      <w:sz w:val="20"/>
      <w:szCs w:val="20"/>
      <w:lang w:val="lt-LT" w:eastAsia="ar-SA"/>
    </w:rPr>
  </w:style>
  <w:style w:type="character" w:styleId="FootnoteReference">
    <w:name w:val="footnote reference"/>
    <w:basedOn w:val="DefaultParagraphFont"/>
    <w:uiPriority w:val="99"/>
    <w:semiHidden/>
    <w:unhideWhenUsed/>
    <w:rsid w:val="00A51ED7"/>
    <w:rPr>
      <w:vertAlign w:val="superscript"/>
    </w:rPr>
  </w:style>
  <w:style w:type="character" w:styleId="Hyperlink">
    <w:name w:val="Hyperlink"/>
    <w:basedOn w:val="DefaultParagraphFont"/>
    <w:uiPriority w:val="99"/>
    <w:unhideWhenUsed/>
    <w:rsid w:val="00A51ED7"/>
    <w:rPr>
      <w:color w:val="0563C1" w:themeColor="hyperlink"/>
      <w:u w:val="single"/>
    </w:rPr>
  </w:style>
  <w:style w:type="character" w:styleId="FollowedHyperlink">
    <w:name w:val="FollowedHyperlink"/>
    <w:basedOn w:val="DefaultParagraphFont"/>
    <w:uiPriority w:val="99"/>
    <w:semiHidden/>
    <w:unhideWhenUsed/>
    <w:rsid w:val="00F70CDC"/>
    <w:rPr>
      <w:color w:val="954F72" w:themeColor="followedHyperlink"/>
      <w:u w:val="single"/>
    </w:rPr>
  </w:style>
  <w:style w:type="paragraph" w:styleId="Caption">
    <w:name w:val="caption"/>
    <w:basedOn w:val="Normal"/>
    <w:next w:val="Normal"/>
    <w:uiPriority w:val="35"/>
    <w:unhideWhenUsed/>
    <w:qFormat/>
    <w:rsid w:val="000A15FE"/>
    <w:pPr>
      <w:spacing w:after="200" w:line="276" w:lineRule="auto"/>
      <w:ind w:left="2126" w:hanging="1049"/>
      <w:jc w:val="both"/>
    </w:pPr>
    <w:rPr>
      <w:i/>
      <w:iCs/>
      <w:color w:val="44546A" w:themeColor="text2"/>
      <w:sz w:val="18"/>
      <w:szCs w:val="18"/>
      <w:lang w:eastAsia="ar-SA"/>
    </w:rPr>
  </w:style>
  <w:style w:type="paragraph" w:styleId="BalloonText">
    <w:name w:val="Balloon Text"/>
    <w:basedOn w:val="Normal"/>
    <w:link w:val="BalloonTextChar"/>
    <w:uiPriority w:val="99"/>
    <w:semiHidden/>
    <w:unhideWhenUsed/>
    <w:rsid w:val="007B4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01"/>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B4201"/>
    <w:rPr>
      <w:sz w:val="16"/>
      <w:szCs w:val="16"/>
    </w:rPr>
  </w:style>
  <w:style w:type="paragraph" w:styleId="CommentText">
    <w:name w:val="annotation text"/>
    <w:basedOn w:val="Normal"/>
    <w:link w:val="CommentTextChar"/>
    <w:uiPriority w:val="99"/>
    <w:semiHidden/>
    <w:unhideWhenUsed/>
    <w:rsid w:val="007B4201"/>
    <w:rPr>
      <w:sz w:val="20"/>
      <w:szCs w:val="20"/>
    </w:rPr>
  </w:style>
  <w:style w:type="character" w:customStyle="1" w:styleId="CommentTextChar">
    <w:name w:val="Comment Text Char"/>
    <w:basedOn w:val="DefaultParagraphFont"/>
    <w:link w:val="CommentText"/>
    <w:uiPriority w:val="99"/>
    <w:semiHidden/>
    <w:rsid w:val="007B420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B4201"/>
    <w:rPr>
      <w:b/>
      <w:bCs/>
    </w:rPr>
  </w:style>
  <w:style w:type="character" w:customStyle="1" w:styleId="CommentSubjectChar">
    <w:name w:val="Comment Subject Char"/>
    <w:basedOn w:val="CommentTextChar"/>
    <w:link w:val="CommentSubject"/>
    <w:uiPriority w:val="99"/>
    <w:semiHidden/>
    <w:rsid w:val="007B4201"/>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2296</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60</cp:revision>
  <dcterms:created xsi:type="dcterms:W3CDTF">2024-05-14T06:22:00Z</dcterms:created>
  <dcterms:modified xsi:type="dcterms:W3CDTF">2025-03-04T12:19:00Z</dcterms:modified>
</cp:coreProperties>
</file>