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C40F6" w14:textId="47FFB5D7" w:rsidR="00F66BEE" w:rsidRPr="00B061E1" w:rsidRDefault="007133B0" w:rsidP="00F66BEE">
      <w:pPr>
        <w:spacing w:after="0" w:line="240" w:lineRule="auto"/>
        <w:ind w:right="-615"/>
        <w:jc w:val="center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1"/>
          <w:szCs w:val="21"/>
          <w:lang w:eastAsia="lt-LT"/>
          <w14:ligatures w14:val="none"/>
        </w:rPr>
        <w:t>TECHNINĖS SPECIFIKACIJOS</w:t>
      </w:r>
      <w:r w:rsidR="00F64A9F">
        <w:rPr>
          <w:rFonts w:ascii="Calibri" w:eastAsia="Times New Roman" w:hAnsi="Calibri" w:cs="Calibri"/>
          <w:b/>
          <w:bCs/>
          <w:kern w:val="0"/>
          <w:sz w:val="21"/>
          <w:szCs w:val="21"/>
          <w:lang w:eastAsia="lt-LT"/>
          <w14:ligatures w14:val="none"/>
        </w:rPr>
        <w:t xml:space="preserve"> PROJEKTO VIEŠINIMAS</w:t>
      </w:r>
    </w:p>
    <w:p w14:paraId="0C64FBA1" w14:textId="77777777" w:rsidR="00F66BEE" w:rsidRPr="00B061E1" w:rsidRDefault="00F66BEE" w:rsidP="00B061E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 </w:t>
      </w:r>
    </w:p>
    <w:p w14:paraId="1916164C" w14:textId="7874BBE1" w:rsidR="00F66BEE" w:rsidRPr="00B061E1" w:rsidRDefault="007133B0" w:rsidP="00B061E1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7133B0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Nacionalinis kibernetinio saugumo centras prie Krašto apsaugos ministerijos</w:t>
      </w:r>
      <w:r w:rsidR="00F66BEE"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(toliau – Perkančioji organizacija arba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NKSC</w:t>
      </w:r>
      <w:r w:rsidR="00F66BEE"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)</w:t>
      </w:r>
      <w:r w:rsidR="00D05603"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,</w:t>
      </w:r>
      <w:r w:rsidR="00F66BEE"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siekdama tinkamai pasiruošti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planuojamam</w:t>
      </w:r>
      <w:r w:rsidR="00F66BEE"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</w:t>
      </w:r>
      <w:r w:rsidR="00F64A9F">
        <w:rPr>
          <w:rFonts w:ascii="Calibri" w:hAnsi="Calibri" w:cs="Calibri"/>
          <w:sz w:val="21"/>
          <w:szCs w:val="21"/>
          <w:lang w:eastAsia="lt-LT"/>
        </w:rPr>
        <w:t>viešajam pirkimui</w:t>
      </w:r>
      <w:r w:rsidR="00157D34"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,</w:t>
      </w:r>
      <w:r w:rsidR="00F66BEE" w:rsidRPr="00B061E1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</w:t>
      </w:r>
      <w:r w:rsidR="00F64A9F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viešina ugniasienės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techninės specifikacijos </w:t>
      </w:r>
      <w:r w:rsidR="00F64A9F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projektą, gauti pastabas ir pasiūlymus</w:t>
      </w:r>
      <w:r w:rsidR="00B061E1">
        <w:rPr>
          <w:rFonts w:ascii="Calibri" w:hAnsi="Calibri" w:cs="Calibri"/>
          <w:sz w:val="21"/>
          <w:szCs w:val="21"/>
          <w:lang w:eastAsia="lt-LT"/>
        </w:rPr>
        <w:t>.</w:t>
      </w:r>
    </w:p>
    <w:p w14:paraId="7F622E08" w14:textId="77777777" w:rsidR="00F66BEE" w:rsidRPr="00B061E1" w:rsidRDefault="00F66BEE" w:rsidP="00F66BE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B061E1"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8145"/>
      </w:tblGrid>
      <w:tr w:rsidR="00F66BEE" w:rsidRPr="00B061E1" w14:paraId="07EE2AA9" w14:textId="77777777" w:rsidTr="007133B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1644F" w14:textId="77777777" w:rsidR="00F66BEE" w:rsidRPr="00B061E1" w:rsidRDefault="00F66BEE" w:rsidP="00F66B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Pirkimo objektas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6F9684" w14:textId="3707F5B6" w:rsidR="00B321DC" w:rsidRPr="00B321DC" w:rsidRDefault="00163CD2" w:rsidP="00F64A9F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321DC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Saugu</w:t>
            </w:r>
            <w:r w:rsidR="00F64A9F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mo prieigos įranga (ugniasienė), s</w:t>
            </w:r>
            <w:r w:rsidR="00F64A9F" w:rsidRPr="00F64A9F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kirta įveiklinti </w:t>
            </w:r>
            <w:r w:rsidR="00F64A9F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NKSC</w:t>
            </w:r>
            <w:r w:rsidR="00F64A9F" w:rsidRPr="00F64A9F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 Nusikalstamų veikų elektroninėje erdvėje tyrimų ir mokymų laboratoriją</w:t>
            </w:r>
            <w:r w:rsidR="00F64A9F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, apsaugant jos tinklą.</w:t>
            </w:r>
          </w:p>
        </w:tc>
      </w:tr>
      <w:tr w:rsidR="00F66BEE" w:rsidRPr="00B061E1" w14:paraId="3D0E7460" w14:textId="77777777" w:rsidTr="007133B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74DAA" w14:textId="296E8696" w:rsidR="00F66BEE" w:rsidRPr="00B061E1" w:rsidRDefault="00F66BEE" w:rsidP="00F66B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Rinkos konsultacijos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br/>
            </w:r>
            <w:r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tikslas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B5C69" w14:textId="12DD3755" w:rsidR="00F66BEE" w:rsidRPr="009D1FAB" w:rsidRDefault="00F66BEE" w:rsidP="00F66BE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Vadovaujantis Lietuvos Respublikos viešųjų pirkimų įstatymo 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br/>
              <w:t xml:space="preserve">(toliau – VPĮ) 27 straipsnio 1 dalies </w:t>
            </w:r>
            <w:r w:rsidR="00F64A9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punktu, </w:t>
            </w:r>
            <w:r w:rsidR="007133B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NKSC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, siekdama pasirengti pirkimui ir pranešti tiekėjams apie savo pirkimų planus ir reikalavimus, </w:t>
            </w:r>
            <w:r w:rsidR="00F64A9F" w:rsidRPr="00F64A9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Perkančioji organizacija, siekdama pasirengti pirkimui ir pranešti tiekėjams apie savo pirkimo planus ir reikalavimus, gali</w:t>
            </w:r>
            <w:r w:rsidR="009D1FA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="009D1FAB" w:rsidRPr="009D1FA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iš anksto Centrinėje viešųjų pirkimų informacinėje sistemoje (CVP IS) paskelbti pirkimų techninių specifikacijų projektus. Techninių specifikacijų projektai skelbiami, dėl šių projektų gautos pastabos ir pasiūlymai vertinami </w:t>
            </w:r>
            <w:hyperlink r:id="rId11" w:history="1">
              <w:r w:rsidR="009D1FAB" w:rsidRPr="009D1FAB">
                <w:rPr>
                  <w:rStyle w:val="Hyperlink"/>
                  <w:rFonts w:ascii="Calibri" w:eastAsia="Times New Roman" w:hAnsi="Calibri" w:cs="Calibri"/>
                  <w:kern w:val="0"/>
                  <w:sz w:val="21"/>
                  <w:szCs w:val="21"/>
                  <w:lang w:eastAsia="lt-LT"/>
                  <w14:ligatures w14:val="none"/>
                </w:rPr>
                <w:t>Viešųjų pirkimų tarnybos nustatyta tvarka</w:t>
              </w:r>
            </w:hyperlink>
            <w:r w:rsidRPr="009D1FAB">
              <w:rPr>
                <w:rFonts w:ascii="Calibri" w:eastAsia="Times New Roman" w:hAnsi="Calibri" w:cs="Calibri"/>
                <w:i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.</w:t>
            </w:r>
            <w:r w:rsidRPr="009D1FA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</w:p>
          <w:p w14:paraId="1D34DFF8" w14:textId="4F387527" w:rsidR="00F66BEE" w:rsidRPr="00B061E1" w:rsidRDefault="009D1FAB" w:rsidP="00F66BE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Techninės specifikacijos projekto paskelbimas</w:t>
            </w:r>
            <w:r w:rsidR="00F66BEE"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nėra skelbimas apie pirkimą ar išankstinis skelbimas apie pirkimą. </w:t>
            </w:r>
            <w:r w:rsidR="00F66BEE"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ai yra t</w:t>
            </w:r>
            <w:r w:rsidR="00F66BEE"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inkamas pasirengimas pirkimui ir tiekėjų informavimas apie planuojamas pirkti </w:t>
            </w:r>
            <w:r w:rsidR="00C37AA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prekes</w:t>
            </w:r>
            <w:r w:rsidR="00F66BEE"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ir sudaryti sąlygas rinkos dalyviams ir kitiems suinteresuotiems asmenims pateikti</w:t>
            </w:r>
            <w:r w:rsidR="00C37AA8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pastabas ir </w:t>
            </w:r>
            <w:r w:rsidR="00F66BEE"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pasiūlymus dėl technin</w:t>
            </w:r>
            <w:r w:rsidR="003D0CBE"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ės</w:t>
            </w:r>
            <w:r w:rsidR="00F66BEE"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specifikacij</w:t>
            </w:r>
            <w:r w:rsidR="003D0CBE"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os</w:t>
            </w:r>
            <w:r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projekto</w:t>
            </w:r>
            <w:r w:rsidR="00F66BEE"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.  </w:t>
            </w:r>
          </w:p>
          <w:p w14:paraId="1080ECF0" w14:textId="174BF51D" w:rsidR="00F66BEE" w:rsidRPr="00B061E1" w:rsidRDefault="00F66BEE" w:rsidP="009D1FA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Tiekėjo pateikti atsakymai, nelaikytini pasiūlymu ir bus naudojami tik </w:t>
            </w:r>
            <w:r w:rsidR="009D1FAB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dokumentų rengimo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tikslais, siekiant tinkamai pasirengti būsimam</w:t>
            </w:r>
            <w:r w:rsidR="009D1FAB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viešajam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pirkimui. </w:t>
            </w:r>
          </w:p>
        </w:tc>
      </w:tr>
      <w:tr w:rsidR="00F66BEE" w:rsidRPr="00B061E1" w14:paraId="1B9E7A04" w14:textId="77777777" w:rsidTr="007133B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361C3" w14:textId="77777777" w:rsidR="00F66BEE" w:rsidRPr="00B061E1" w:rsidRDefault="00F66BEE" w:rsidP="00F66B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Rinkos konsultacijos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br/>
            </w:r>
            <w:r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vykdymo tvarka 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56207" w14:textId="66472387" w:rsidR="00F66BEE" w:rsidRPr="00B061E1" w:rsidRDefault="00F66BEE" w:rsidP="00E55F0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  <w:r w:rsidR="00C37AA8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astabos ir p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asiūlymai turi būti pateikti CVP IS susirašinėjimo priemonių pagalba per </w:t>
            </w:r>
            <w:r w:rsidR="00E55F0A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(</w:t>
            </w:r>
            <w:r w:rsidR="00E55F0A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penkias</w:t>
            </w:r>
            <w:r w:rsid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) </w:t>
            </w:r>
            <w:r w:rsidR="00E55F0A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darbo dienas</w:t>
            </w:r>
            <w:bookmarkStart w:id="0" w:name="_GoBack"/>
            <w:bookmarkEnd w:id="0"/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nuo </w:t>
            </w:r>
            <w:r w:rsidR="009D1FAB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techninės specifikacijos projekto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paskelbimo</w:t>
            </w:r>
            <w:r w:rsidR="009D1FAB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dienos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. Išnagrinėjus pateiktus klausimus ir pasiūlymus pagal poreikį</w:t>
            </w:r>
            <w:r w:rsidR="00EE5A4B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, gali būti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organizuojami susitikimai su potencialiais </w:t>
            </w:r>
            <w:r w:rsidR="00C37AA8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tiekėjais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gyvai arba panaudojant </w:t>
            </w:r>
            <w:r w:rsidRPr="00EE5A4B">
              <w:rPr>
                <w:rFonts w:ascii="Calibri" w:eastAsia="Times New Roman" w:hAnsi="Calibri" w:cs="Calibri"/>
                <w:i/>
                <w:kern w:val="0"/>
                <w:sz w:val="21"/>
                <w:szCs w:val="21"/>
                <w:lang w:eastAsia="lt-LT"/>
                <w14:ligatures w14:val="none"/>
              </w:rPr>
              <w:t>Teams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="00C37AA8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elektronine susitikimų 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platformą, siekiant detalizuoti pateiktus pasiūlymus bei galimus sprendinius. </w:t>
            </w:r>
          </w:p>
        </w:tc>
      </w:tr>
      <w:tr w:rsidR="00F66BEE" w:rsidRPr="00B061E1" w14:paraId="2C3B0A58" w14:textId="77777777" w:rsidTr="007133B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BAC45" w14:textId="77777777" w:rsidR="00F66BEE" w:rsidRPr="00B061E1" w:rsidRDefault="00F66BEE" w:rsidP="00F66B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Rinkos konsultacijos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br/>
            </w:r>
            <w:r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metu siūlymų ir atsakymų į klausimus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br/>
            </w:r>
            <w:r w:rsidRPr="00B061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nagrinėjimo tvarka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C8B1D" w14:textId="5DDB146C" w:rsidR="00F66BEE" w:rsidRPr="00B061E1" w:rsidRDefault="00F66BEE" w:rsidP="00F66BE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Perkančioj</w:t>
            </w:r>
            <w:r w:rsidR="00C37AA8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i organizacija, gavusi pastabas ir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pasiūlymus, juos išnagrinėjusi, įvertinusi jų svarbą bei atitiktį Perkančiosios organizacijos  por</w:t>
            </w:r>
            <w:r w:rsidR="009D1FA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eikiams, atsižvelgs pradėdama viešąjį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pirkimą. </w:t>
            </w:r>
          </w:p>
          <w:p w14:paraId="0501AC48" w14:textId="38AB655A" w:rsidR="00F66BEE" w:rsidRPr="00B061E1" w:rsidRDefault="00F66BEE" w:rsidP="00F66BE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Perkančioji organizacija neįsipareigoja, skelbiant apie pirkimą,  atsižvelgti į visas</w:t>
            </w:r>
            <w:r w:rsidR="009D1FA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tiekėjų</w:t>
            </w:r>
            <w:r w:rsidRPr="00B061E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rekomendacijas, pastabas ir pasiūlymus. </w:t>
            </w:r>
          </w:p>
        </w:tc>
      </w:tr>
      <w:tr w:rsidR="00F66BEE" w:rsidRPr="00B061E1" w14:paraId="426CAA09" w14:textId="77777777" w:rsidTr="007133B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890AE" w14:textId="77777777" w:rsidR="00F66BEE" w:rsidRPr="00B061E1" w:rsidRDefault="00F66BEE" w:rsidP="00F66B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61E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Kontaktiniai asmenys</w:t>
            </w:r>
            <w:r w:rsidRPr="00B061E1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E3EFA1" w14:textId="369992C4" w:rsidR="00F66BEE" w:rsidRPr="00B061E1" w:rsidRDefault="00B061E1" w:rsidP="00B061E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Susirašinėjimas, pasiūlymų ir klausimų pateikimas, vyksta CVP IS priemonėmis.</w:t>
            </w:r>
          </w:p>
        </w:tc>
      </w:tr>
    </w:tbl>
    <w:p w14:paraId="5DC3FE19" w14:textId="77777777" w:rsidR="00F66BEE" w:rsidRPr="00B061E1" w:rsidRDefault="00F66BEE" w:rsidP="00F66BE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B061E1"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> </w:t>
      </w:r>
    </w:p>
    <w:p w14:paraId="42F7F553" w14:textId="3AF01806" w:rsidR="00F66BEE" w:rsidRPr="00B061E1" w:rsidRDefault="00F66BEE" w:rsidP="00F66BEE">
      <w:pPr>
        <w:spacing w:after="0" w:line="240" w:lineRule="auto"/>
        <w:ind w:firstLine="420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B061E1"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>Pažymime, kad Perkančioji organizacija neriboja tiekėjų konkurencijos, todėl tiekėjo pasiūlymai, sprendiniai neturi būti pateikti tokie, kad sudaryt</w:t>
      </w:r>
      <w:r w:rsidR="00911217" w:rsidRPr="00B061E1"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>ų</w:t>
      </w:r>
      <w:r w:rsidRPr="00B061E1"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 xml:space="preserve"> išskirtines sąlygas savo produkcijai, kurią siūlytų įsigyti Perkančiajai organizacijai. </w:t>
      </w:r>
    </w:p>
    <w:p w14:paraId="24587D7B" w14:textId="1FE5D405" w:rsidR="00F66BEE" w:rsidRDefault="00F66BEE" w:rsidP="00B061E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</w:p>
    <w:p w14:paraId="0D4473E1" w14:textId="161E24E1" w:rsidR="00827EA0" w:rsidRPr="00B061E1" w:rsidRDefault="00827EA0" w:rsidP="00827EA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>__________________</w:t>
      </w:r>
    </w:p>
    <w:sectPr w:rsidR="00827EA0" w:rsidRPr="00B061E1" w:rsidSect="007133B0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BD98B" w14:textId="77777777" w:rsidR="000400F9" w:rsidRDefault="000400F9" w:rsidP="004C75ED">
      <w:pPr>
        <w:spacing w:after="0" w:line="240" w:lineRule="auto"/>
      </w:pPr>
      <w:r>
        <w:separator/>
      </w:r>
    </w:p>
  </w:endnote>
  <w:endnote w:type="continuationSeparator" w:id="0">
    <w:p w14:paraId="6E3883D6" w14:textId="77777777" w:rsidR="000400F9" w:rsidRDefault="000400F9" w:rsidP="004C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7904" w14:textId="77777777" w:rsidR="000400F9" w:rsidRDefault="000400F9" w:rsidP="004C75ED">
      <w:pPr>
        <w:spacing w:after="0" w:line="240" w:lineRule="auto"/>
      </w:pPr>
      <w:r>
        <w:separator/>
      </w:r>
    </w:p>
  </w:footnote>
  <w:footnote w:type="continuationSeparator" w:id="0">
    <w:p w14:paraId="6BD06B19" w14:textId="77777777" w:rsidR="000400F9" w:rsidRDefault="000400F9" w:rsidP="004C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0CE9"/>
    <w:multiLevelType w:val="multilevel"/>
    <w:tmpl w:val="FE8AA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56DD1"/>
    <w:multiLevelType w:val="multilevel"/>
    <w:tmpl w:val="4FDC30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F57CF"/>
    <w:multiLevelType w:val="multilevel"/>
    <w:tmpl w:val="D4ECE2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705F4"/>
    <w:multiLevelType w:val="hybridMultilevel"/>
    <w:tmpl w:val="F5C899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EE"/>
    <w:rsid w:val="00016A09"/>
    <w:rsid w:val="00016E5E"/>
    <w:rsid w:val="000400F9"/>
    <w:rsid w:val="000434E5"/>
    <w:rsid w:val="00157D34"/>
    <w:rsid w:val="00163CD2"/>
    <w:rsid w:val="0022307F"/>
    <w:rsid w:val="00230A5D"/>
    <w:rsid w:val="0029728E"/>
    <w:rsid w:val="002F3375"/>
    <w:rsid w:val="003D0CBE"/>
    <w:rsid w:val="00425CC6"/>
    <w:rsid w:val="004C75ED"/>
    <w:rsid w:val="004C7696"/>
    <w:rsid w:val="006032B1"/>
    <w:rsid w:val="0062081F"/>
    <w:rsid w:val="006A0088"/>
    <w:rsid w:val="007133B0"/>
    <w:rsid w:val="00721FE6"/>
    <w:rsid w:val="00746174"/>
    <w:rsid w:val="00795A79"/>
    <w:rsid w:val="007E5249"/>
    <w:rsid w:val="00827EA0"/>
    <w:rsid w:val="00883A0F"/>
    <w:rsid w:val="008A592F"/>
    <w:rsid w:val="008C3CF2"/>
    <w:rsid w:val="008F1667"/>
    <w:rsid w:val="00911217"/>
    <w:rsid w:val="009235CB"/>
    <w:rsid w:val="009D1FAB"/>
    <w:rsid w:val="00A254A9"/>
    <w:rsid w:val="00A25DA3"/>
    <w:rsid w:val="00A467BF"/>
    <w:rsid w:val="00AB4DBF"/>
    <w:rsid w:val="00AE36F8"/>
    <w:rsid w:val="00B0616A"/>
    <w:rsid w:val="00B061E1"/>
    <w:rsid w:val="00B321DC"/>
    <w:rsid w:val="00B87DF1"/>
    <w:rsid w:val="00B97EFC"/>
    <w:rsid w:val="00C17DE0"/>
    <w:rsid w:val="00C37AA8"/>
    <w:rsid w:val="00CB0EEB"/>
    <w:rsid w:val="00CD636E"/>
    <w:rsid w:val="00D05603"/>
    <w:rsid w:val="00D24E59"/>
    <w:rsid w:val="00D764E4"/>
    <w:rsid w:val="00DA1671"/>
    <w:rsid w:val="00E135CB"/>
    <w:rsid w:val="00E2584E"/>
    <w:rsid w:val="00E3342A"/>
    <w:rsid w:val="00E55F0A"/>
    <w:rsid w:val="00E747B7"/>
    <w:rsid w:val="00E854E3"/>
    <w:rsid w:val="00EE5A4B"/>
    <w:rsid w:val="00F6384F"/>
    <w:rsid w:val="00F64A9F"/>
    <w:rsid w:val="00F66BEE"/>
    <w:rsid w:val="0AC2DEE4"/>
    <w:rsid w:val="162E7E35"/>
    <w:rsid w:val="16AA008B"/>
    <w:rsid w:val="1D32EC0A"/>
    <w:rsid w:val="21C481E4"/>
    <w:rsid w:val="2C4A2E86"/>
    <w:rsid w:val="2D79A209"/>
    <w:rsid w:val="2D7EC8E7"/>
    <w:rsid w:val="346501B2"/>
    <w:rsid w:val="4EFBB88F"/>
    <w:rsid w:val="6E1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F095"/>
  <w15:chartTrackingRefBased/>
  <w15:docId w15:val="{A9E07219-B889-4CE2-A28C-264E7BBB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B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B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B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B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B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5ED"/>
  </w:style>
  <w:style w:type="paragraph" w:styleId="Footer">
    <w:name w:val="footer"/>
    <w:basedOn w:val="Normal"/>
    <w:link w:val="FooterChar"/>
    <w:uiPriority w:val="99"/>
    <w:unhideWhenUsed/>
    <w:rsid w:val="004C7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5ED"/>
  </w:style>
  <w:style w:type="character" w:styleId="Hyperlink">
    <w:name w:val="Hyperlink"/>
    <w:basedOn w:val="DefaultParagraphFont"/>
    <w:uiPriority w:val="99"/>
    <w:unhideWhenUsed/>
    <w:rsid w:val="00F638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38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18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0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1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8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810ece3054e311e7846ef01bfffb9b64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b231e-1a5d-4b72-bd64-d864042207e0" xsi:nil="true"/>
    <lcf76f155ced4ddcb4097134ff3c332f xmlns="2ae7745e-f039-4f9b-988e-e38d355b2d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4F9A2F0A3131440A842EBB0FD655A70" ma:contentTypeVersion="14" ma:contentTypeDescription="Kurkite naują dokumentą." ma:contentTypeScope="" ma:versionID="01145ad4706ac5dbcecf5962a5da61cb">
  <xsd:schema xmlns:xsd="http://www.w3.org/2001/XMLSchema" xmlns:xs="http://www.w3.org/2001/XMLSchema" xmlns:p="http://schemas.microsoft.com/office/2006/metadata/properties" xmlns:ns2="2ae7745e-f039-4f9b-988e-e38d355b2d6c" xmlns:ns3="c8fb231e-1a5d-4b72-bd64-d864042207e0" targetNamespace="http://schemas.microsoft.com/office/2006/metadata/properties" ma:root="true" ma:fieldsID="ada1535dec85ce26dd724e0ebdaaba39" ns2:_="" ns3:_="">
    <xsd:import namespace="2ae7745e-f039-4f9b-988e-e38d355b2d6c"/>
    <xsd:import namespace="c8fb231e-1a5d-4b72-bd64-d86404220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7745e-f039-4f9b-988e-e38d355b2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31e-1a5d-4b72-bd64-d864042207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stulpelis" ma:hidden="true" ma:list="{c7751840-915f-4bf5-8699-74ede30cba71}" ma:internalName="TaxCatchAll" ma:showField="CatchAllData" ma:web="c8fb231e-1a5d-4b72-bd64-d86404220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9B91-D66E-419F-AB4F-B154C50EDE3F}">
  <ds:schemaRefs>
    <ds:schemaRef ds:uri="http://schemas.microsoft.com/office/2006/metadata/properties"/>
    <ds:schemaRef ds:uri="http://schemas.microsoft.com/office/infopath/2007/PartnerControls"/>
    <ds:schemaRef ds:uri="c8fb231e-1a5d-4b72-bd64-d864042207e0"/>
    <ds:schemaRef ds:uri="2ae7745e-f039-4f9b-988e-e38d355b2d6c"/>
  </ds:schemaRefs>
</ds:datastoreItem>
</file>

<file path=customXml/itemProps2.xml><?xml version="1.0" encoding="utf-8"?>
<ds:datastoreItem xmlns:ds="http://schemas.openxmlformats.org/officeDocument/2006/customXml" ds:itemID="{9AD91B84-66E4-4924-9C69-740B7028A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2D329-B2A9-4B87-AF52-672BE3CD6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7745e-f039-4f9b-988e-e38d355b2d6c"/>
    <ds:schemaRef ds:uri="c8fb231e-1a5d-4b72-bd64-d86404220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436F0-C09B-4FD6-A981-4420A9F5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1885</Words>
  <Characters>1076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2024-04-23T17:07:00Z</dcterms:created>
  <dcterms:modified xsi:type="dcterms:W3CDTF">2025-03-13T13:39:00Z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0x010100F4F9A2F0A3131440A842EBB0FD655A70</vt:lpwstr>
  </property>
  <property fmtid="{D5CDD505-2E9C-101B-9397-08002B2CF9AE}" pid="3" name="MediaServiceImageTags">
    <vt:lpwstr/>
  </property>
</Properties>
</file>