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8"/>
        <w:gridCol w:w="1218"/>
        <w:gridCol w:w="1371"/>
        <w:gridCol w:w="1371"/>
        <w:gridCol w:w="1924"/>
        <w:gridCol w:w="236"/>
      </w:tblGrid>
      <w:tr w:rsidR="00664072" w:rsidRPr="00676A98" w14:paraId="07759F08" w14:textId="77777777" w:rsidTr="00A86C0E">
        <w:trPr>
          <w:cantSplit/>
          <w:trHeight w:val="284"/>
        </w:trPr>
        <w:tc>
          <w:tcPr>
            <w:tcW w:w="3708" w:type="dxa"/>
            <w:vMerge w:val="restart"/>
            <w:tcBorders>
              <w:top w:val="nil"/>
              <w:left w:val="nil"/>
              <w:bottom w:val="nil"/>
              <w:right w:val="nil"/>
            </w:tcBorders>
            <w:shd w:val="clear" w:color="auto" w:fill="auto"/>
          </w:tcPr>
          <w:p w14:paraId="728D12A4" w14:textId="77777777" w:rsidR="00664072" w:rsidRPr="00676A98" w:rsidRDefault="00DA6A87" w:rsidP="00597AAD">
            <w:pPr>
              <w:pStyle w:val="Antrats"/>
              <w:tabs>
                <w:tab w:val="left" w:pos="1296"/>
              </w:tabs>
            </w:pPr>
            <w:r w:rsidRPr="00676A98">
              <w:t>Tiekėjams</w:t>
            </w:r>
          </w:p>
        </w:tc>
        <w:tc>
          <w:tcPr>
            <w:tcW w:w="1218" w:type="dxa"/>
            <w:tcBorders>
              <w:top w:val="nil"/>
              <w:left w:val="nil"/>
              <w:bottom w:val="nil"/>
              <w:right w:val="nil"/>
            </w:tcBorders>
            <w:shd w:val="clear" w:color="auto" w:fill="auto"/>
          </w:tcPr>
          <w:p w14:paraId="291109DA" w14:textId="77777777" w:rsidR="00664072" w:rsidRPr="00676A98" w:rsidRDefault="00664072" w:rsidP="00597AAD">
            <w:pPr>
              <w:jc w:val="center"/>
            </w:pPr>
          </w:p>
        </w:tc>
        <w:tc>
          <w:tcPr>
            <w:tcW w:w="2742" w:type="dxa"/>
            <w:gridSpan w:val="2"/>
            <w:tcBorders>
              <w:top w:val="nil"/>
              <w:left w:val="nil"/>
              <w:bottom w:val="nil"/>
              <w:right w:val="nil"/>
            </w:tcBorders>
            <w:shd w:val="clear" w:color="auto" w:fill="auto"/>
          </w:tcPr>
          <w:p w14:paraId="0DB3B5CF" w14:textId="77777777" w:rsidR="00664072" w:rsidRPr="00676A98" w:rsidRDefault="00664072" w:rsidP="00E26393">
            <w:pPr>
              <w:jc w:val="right"/>
            </w:pPr>
            <w:r w:rsidRPr="00676A98">
              <w:t xml:space="preserve">        </w:t>
            </w:r>
          </w:p>
        </w:tc>
        <w:tc>
          <w:tcPr>
            <w:tcW w:w="1924" w:type="dxa"/>
            <w:tcBorders>
              <w:top w:val="nil"/>
              <w:left w:val="nil"/>
              <w:bottom w:val="nil"/>
              <w:right w:val="nil"/>
            </w:tcBorders>
            <w:shd w:val="clear" w:color="auto" w:fill="auto"/>
          </w:tcPr>
          <w:p w14:paraId="42526FDC" w14:textId="05AE33B3" w:rsidR="00664072" w:rsidRPr="00676A98" w:rsidRDefault="00E26393" w:rsidP="00E26393">
            <w:pPr>
              <w:jc w:val="right"/>
            </w:pPr>
            <w:r w:rsidRPr="00676A98">
              <w:t>202</w:t>
            </w:r>
            <w:r w:rsidR="00BE1A17" w:rsidRPr="00676A98">
              <w:t>5</w:t>
            </w:r>
            <w:r w:rsidR="00FA3681" w:rsidRPr="00676A98">
              <w:t>-0</w:t>
            </w:r>
            <w:r w:rsidR="00BE1A17" w:rsidRPr="00676A98">
              <w:t>3</w:t>
            </w:r>
            <w:r w:rsidR="00FA3681" w:rsidRPr="00676A98">
              <w:t>-</w:t>
            </w:r>
            <w:r w:rsidR="002B13A3" w:rsidRPr="00676A98">
              <w:t>14</w:t>
            </w:r>
          </w:p>
        </w:tc>
        <w:tc>
          <w:tcPr>
            <w:tcW w:w="236" w:type="dxa"/>
            <w:tcBorders>
              <w:top w:val="nil"/>
              <w:left w:val="nil"/>
              <w:bottom w:val="nil"/>
              <w:right w:val="nil"/>
            </w:tcBorders>
            <w:shd w:val="clear" w:color="auto" w:fill="auto"/>
          </w:tcPr>
          <w:p w14:paraId="6F9A2475" w14:textId="77777777" w:rsidR="00664072" w:rsidRPr="00676A98" w:rsidRDefault="00664072" w:rsidP="00597AAD"/>
        </w:tc>
      </w:tr>
      <w:tr w:rsidR="00664072" w:rsidRPr="00676A98" w14:paraId="26815455" w14:textId="77777777" w:rsidTr="00A86C0E">
        <w:trPr>
          <w:cantSplit/>
          <w:trHeight w:val="283"/>
        </w:trPr>
        <w:tc>
          <w:tcPr>
            <w:tcW w:w="3708" w:type="dxa"/>
            <w:vMerge/>
            <w:tcBorders>
              <w:top w:val="nil"/>
              <w:left w:val="nil"/>
              <w:bottom w:val="nil"/>
              <w:right w:val="nil"/>
            </w:tcBorders>
            <w:shd w:val="clear" w:color="auto" w:fill="auto"/>
            <w:vAlign w:val="center"/>
          </w:tcPr>
          <w:p w14:paraId="4662B991" w14:textId="77777777" w:rsidR="00664072" w:rsidRPr="00676A98" w:rsidRDefault="00664072" w:rsidP="00597AAD"/>
        </w:tc>
        <w:tc>
          <w:tcPr>
            <w:tcW w:w="1218" w:type="dxa"/>
            <w:tcBorders>
              <w:top w:val="nil"/>
              <w:left w:val="nil"/>
              <w:bottom w:val="nil"/>
              <w:right w:val="nil"/>
            </w:tcBorders>
            <w:shd w:val="clear" w:color="auto" w:fill="auto"/>
          </w:tcPr>
          <w:p w14:paraId="5475CA57" w14:textId="77777777" w:rsidR="00664072" w:rsidRPr="00676A98" w:rsidRDefault="00664072" w:rsidP="00597AAD">
            <w:pPr>
              <w:jc w:val="center"/>
            </w:pPr>
          </w:p>
        </w:tc>
        <w:tc>
          <w:tcPr>
            <w:tcW w:w="1371" w:type="dxa"/>
            <w:tcBorders>
              <w:top w:val="nil"/>
              <w:left w:val="nil"/>
              <w:bottom w:val="nil"/>
              <w:right w:val="nil"/>
            </w:tcBorders>
            <w:shd w:val="clear" w:color="auto" w:fill="auto"/>
          </w:tcPr>
          <w:p w14:paraId="45E03D34" w14:textId="77777777" w:rsidR="00664072" w:rsidRPr="00676A98" w:rsidRDefault="00664072" w:rsidP="00597AAD">
            <w:pPr>
              <w:jc w:val="right"/>
            </w:pPr>
          </w:p>
        </w:tc>
        <w:tc>
          <w:tcPr>
            <w:tcW w:w="1371" w:type="dxa"/>
            <w:tcBorders>
              <w:top w:val="nil"/>
              <w:left w:val="nil"/>
              <w:bottom w:val="nil"/>
              <w:right w:val="nil"/>
            </w:tcBorders>
            <w:shd w:val="clear" w:color="auto" w:fill="auto"/>
          </w:tcPr>
          <w:p w14:paraId="4698C650" w14:textId="77777777" w:rsidR="00664072" w:rsidRPr="00676A98" w:rsidRDefault="00664072" w:rsidP="00597AAD">
            <w:pPr>
              <w:jc w:val="center"/>
            </w:pPr>
          </w:p>
        </w:tc>
        <w:tc>
          <w:tcPr>
            <w:tcW w:w="1924" w:type="dxa"/>
            <w:tcBorders>
              <w:top w:val="nil"/>
              <w:left w:val="nil"/>
              <w:bottom w:val="nil"/>
              <w:right w:val="nil"/>
            </w:tcBorders>
            <w:shd w:val="clear" w:color="auto" w:fill="auto"/>
          </w:tcPr>
          <w:p w14:paraId="6DFCBD68" w14:textId="77777777" w:rsidR="00664072" w:rsidRPr="00676A98" w:rsidRDefault="00664072" w:rsidP="00597AAD"/>
        </w:tc>
        <w:tc>
          <w:tcPr>
            <w:tcW w:w="236" w:type="dxa"/>
            <w:tcBorders>
              <w:top w:val="nil"/>
              <w:left w:val="nil"/>
              <w:bottom w:val="nil"/>
              <w:right w:val="nil"/>
            </w:tcBorders>
            <w:shd w:val="clear" w:color="auto" w:fill="auto"/>
          </w:tcPr>
          <w:p w14:paraId="13FB3087" w14:textId="77777777" w:rsidR="00664072" w:rsidRPr="00676A98" w:rsidRDefault="00664072" w:rsidP="00597AAD"/>
        </w:tc>
      </w:tr>
      <w:tr w:rsidR="00664072" w:rsidRPr="00676A98" w14:paraId="3F543E3A" w14:textId="77777777" w:rsidTr="00A86C0E">
        <w:trPr>
          <w:cantSplit/>
          <w:trHeight w:val="565"/>
        </w:trPr>
        <w:tc>
          <w:tcPr>
            <w:tcW w:w="3708" w:type="dxa"/>
            <w:vMerge/>
            <w:tcBorders>
              <w:top w:val="nil"/>
              <w:left w:val="nil"/>
              <w:bottom w:val="nil"/>
              <w:right w:val="nil"/>
            </w:tcBorders>
            <w:shd w:val="clear" w:color="auto" w:fill="auto"/>
            <w:vAlign w:val="center"/>
          </w:tcPr>
          <w:p w14:paraId="4A8CF794" w14:textId="77777777" w:rsidR="00664072" w:rsidRPr="00676A98" w:rsidRDefault="00664072" w:rsidP="00597AAD"/>
        </w:tc>
        <w:tc>
          <w:tcPr>
            <w:tcW w:w="1218" w:type="dxa"/>
            <w:tcBorders>
              <w:top w:val="nil"/>
              <w:left w:val="nil"/>
              <w:bottom w:val="nil"/>
              <w:right w:val="nil"/>
            </w:tcBorders>
            <w:shd w:val="clear" w:color="auto" w:fill="auto"/>
          </w:tcPr>
          <w:p w14:paraId="1D02B32C" w14:textId="77777777" w:rsidR="00664072" w:rsidRPr="00676A98" w:rsidRDefault="00664072" w:rsidP="00597AAD">
            <w:pPr>
              <w:jc w:val="center"/>
            </w:pPr>
          </w:p>
        </w:tc>
        <w:tc>
          <w:tcPr>
            <w:tcW w:w="2742" w:type="dxa"/>
            <w:gridSpan w:val="2"/>
            <w:tcBorders>
              <w:top w:val="nil"/>
              <w:left w:val="nil"/>
              <w:bottom w:val="nil"/>
              <w:right w:val="nil"/>
            </w:tcBorders>
            <w:shd w:val="clear" w:color="auto" w:fill="auto"/>
          </w:tcPr>
          <w:p w14:paraId="0BA060A0" w14:textId="77777777" w:rsidR="00664072" w:rsidRPr="00676A98" w:rsidRDefault="00664072" w:rsidP="00597AAD">
            <w:pPr>
              <w:jc w:val="center"/>
            </w:pPr>
          </w:p>
        </w:tc>
        <w:tc>
          <w:tcPr>
            <w:tcW w:w="1924" w:type="dxa"/>
            <w:tcBorders>
              <w:top w:val="nil"/>
              <w:left w:val="nil"/>
              <w:bottom w:val="nil"/>
              <w:right w:val="nil"/>
            </w:tcBorders>
            <w:shd w:val="clear" w:color="auto" w:fill="auto"/>
          </w:tcPr>
          <w:p w14:paraId="22A79219" w14:textId="77777777" w:rsidR="00664072" w:rsidRPr="00676A98" w:rsidRDefault="00664072" w:rsidP="00597AAD">
            <w:pPr>
              <w:jc w:val="center"/>
            </w:pPr>
          </w:p>
        </w:tc>
        <w:tc>
          <w:tcPr>
            <w:tcW w:w="236" w:type="dxa"/>
            <w:tcBorders>
              <w:top w:val="nil"/>
              <w:left w:val="nil"/>
              <w:bottom w:val="nil"/>
              <w:right w:val="nil"/>
            </w:tcBorders>
            <w:shd w:val="clear" w:color="auto" w:fill="auto"/>
          </w:tcPr>
          <w:p w14:paraId="119C96DC" w14:textId="77777777" w:rsidR="00664072" w:rsidRPr="00676A98" w:rsidRDefault="00664072" w:rsidP="00597AAD">
            <w:pPr>
              <w:jc w:val="center"/>
            </w:pPr>
          </w:p>
        </w:tc>
      </w:tr>
      <w:tr w:rsidR="00664072" w:rsidRPr="00676A98" w14:paraId="530A5990" w14:textId="77777777" w:rsidTr="00A86C0E">
        <w:trPr>
          <w:cantSplit/>
          <w:trHeight w:val="995"/>
        </w:trPr>
        <w:tc>
          <w:tcPr>
            <w:tcW w:w="9828" w:type="dxa"/>
            <w:gridSpan w:val="6"/>
            <w:tcBorders>
              <w:top w:val="nil"/>
              <w:left w:val="nil"/>
              <w:bottom w:val="nil"/>
              <w:right w:val="nil"/>
            </w:tcBorders>
            <w:shd w:val="clear" w:color="auto" w:fill="auto"/>
          </w:tcPr>
          <w:p w14:paraId="1DE41BC7" w14:textId="51403BB5" w:rsidR="00664072" w:rsidRPr="00676A98" w:rsidRDefault="00664072" w:rsidP="00A55A54">
            <w:pPr>
              <w:ind w:firstLine="37"/>
              <w:rPr>
                <w:b/>
              </w:rPr>
            </w:pPr>
            <w:r w:rsidRPr="00676A98">
              <w:rPr>
                <w:b/>
              </w:rPr>
              <w:t xml:space="preserve">DĖL PIRKIMO </w:t>
            </w:r>
            <w:r w:rsidR="00BE1A17" w:rsidRPr="00676A98">
              <w:rPr>
                <w:b/>
              </w:rPr>
              <w:t>ID</w:t>
            </w:r>
            <w:r w:rsidRPr="00676A98">
              <w:rPr>
                <w:b/>
              </w:rPr>
              <w:t xml:space="preserve"> </w:t>
            </w:r>
            <w:r w:rsidR="00BE1A17" w:rsidRPr="00676A98">
              <w:rPr>
                <w:b/>
              </w:rPr>
              <w:t>1</w:t>
            </w:r>
            <w:r w:rsidR="00F93ABA" w:rsidRPr="00676A98">
              <w:rPr>
                <w:b/>
                <w:caps/>
              </w:rPr>
              <w:t>4</w:t>
            </w:r>
            <w:r w:rsidR="00BE1A17" w:rsidRPr="00676A98">
              <w:rPr>
                <w:b/>
                <w:caps/>
              </w:rPr>
              <w:t>2</w:t>
            </w:r>
            <w:r w:rsidR="00F93ABA" w:rsidRPr="00676A98">
              <w:rPr>
                <w:b/>
                <w:caps/>
              </w:rPr>
              <w:t>8</w:t>
            </w:r>
            <w:r w:rsidR="00BE1A17" w:rsidRPr="00676A98">
              <w:rPr>
                <w:b/>
                <w:caps/>
              </w:rPr>
              <w:t>203</w:t>
            </w:r>
            <w:r w:rsidR="00C02076" w:rsidRPr="00676A98">
              <w:rPr>
                <w:b/>
                <w:color w:val="333333"/>
                <w:shd w:val="clear" w:color="auto" w:fill="FFFFFF"/>
              </w:rPr>
              <w:t xml:space="preserve"> </w:t>
            </w:r>
            <w:r w:rsidR="00DA6A87" w:rsidRPr="00676A98">
              <w:rPr>
                <w:b/>
                <w:color w:val="333333"/>
                <w:shd w:val="clear" w:color="auto" w:fill="FFFFFF"/>
              </w:rPr>
              <w:t>ATSAKYM</w:t>
            </w:r>
            <w:r w:rsidR="00D8151B" w:rsidRPr="00676A98">
              <w:rPr>
                <w:b/>
                <w:color w:val="333333"/>
                <w:shd w:val="clear" w:color="auto" w:fill="FFFFFF"/>
              </w:rPr>
              <w:t>Ų</w:t>
            </w:r>
            <w:r w:rsidR="00DA6A87" w:rsidRPr="00676A98">
              <w:rPr>
                <w:b/>
                <w:color w:val="333333"/>
                <w:shd w:val="clear" w:color="auto" w:fill="FFFFFF"/>
              </w:rPr>
              <w:t xml:space="preserve"> Į TIEKĖJ</w:t>
            </w:r>
            <w:r w:rsidR="00D8151B" w:rsidRPr="00676A98">
              <w:rPr>
                <w:b/>
                <w:color w:val="333333"/>
                <w:shd w:val="clear" w:color="auto" w:fill="FFFFFF"/>
              </w:rPr>
              <w:t>Ų</w:t>
            </w:r>
            <w:r w:rsidR="00DA6A87" w:rsidRPr="00676A98">
              <w:rPr>
                <w:b/>
                <w:color w:val="333333"/>
                <w:shd w:val="clear" w:color="auto" w:fill="FFFFFF"/>
              </w:rPr>
              <w:t xml:space="preserve"> </w:t>
            </w:r>
            <w:r w:rsidR="00F93ABA" w:rsidRPr="00676A98">
              <w:rPr>
                <w:b/>
                <w:color w:val="333333"/>
                <w:shd w:val="clear" w:color="auto" w:fill="FFFFFF"/>
              </w:rPr>
              <w:t>KLAUSIMUS</w:t>
            </w:r>
          </w:p>
        </w:tc>
      </w:tr>
    </w:tbl>
    <w:p w14:paraId="531C058D" w14:textId="4024FED5" w:rsidR="00CD1C8E" w:rsidRPr="00676A98" w:rsidRDefault="00CD1C8E" w:rsidP="00CD1C8E">
      <w:pPr>
        <w:ind w:firstLine="1418"/>
        <w:jc w:val="both"/>
      </w:pPr>
      <w:r w:rsidRPr="00676A98">
        <w:t>CVP IS priemonėmis 202</w:t>
      </w:r>
      <w:r w:rsidR="00BE1A17" w:rsidRPr="00676A98">
        <w:t>5</w:t>
      </w:r>
      <w:r w:rsidRPr="00676A98">
        <w:t>-0</w:t>
      </w:r>
      <w:r w:rsidR="00BE1A17" w:rsidRPr="00676A98">
        <w:t>3</w:t>
      </w:r>
      <w:r w:rsidRPr="00676A98">
        <w:t>-</w:t>
      </w:r>
      <w:r w:rsidR="00BE1A17" w:rsidRPr="00676A98">
        <w:t>0</w:t>
      </w:r>
      <w:r w:rsidR="002B13A3" w:rsidRPr="00676A98">
        <w:t>7/13</w:t>
      </w:r>
      <w:r w:rsidRPr="00676A98">
        <w:t xml:space="preserve"> gaut</w:t>
      </w:r>
      <w:r w:rsidR="00416024" w:rsidRPr="00676A98">
        <w:t>i</w:t>
      </w:r>
      <w:r w:rsidRPr="00676A98">
        <w:t xml:space="preserve"> tiekėj</w:t>
      </w:r>
      <w:r w:rsidR="00515F52" w:rsidRPr="00676A98">
        <w:t>ų</w:t>
      </w:r>
      <w:r w:rsidRPr="00676A98">
        <w:t xml:space="preserve"> klausimai, į kuriuos komisija atsako taip, kaip nurodyta</w:t>
      </w:r>
      <w:r w:rsidR="001019B0" w:rsidRPr="00676A98">
        <w:t xml:space="preserve"> 1 lentelės</w:t>
      </w:r>
      <w:r w:rsidRPr="00676A98">
        <w:t xml:space="preserve"> tekste „Atsakymai“:</w:t>
      </w:r>
    </w:p>
    <w:p w14:paraId="750DD86C" w14:textId="77777777" w:rsidR="00052818" w:rsidRPr="00676A98" w:rsidRDefault="00052818" w:rsidP="00CD1C8E">
      <w:pPr>
        <w:ind w:firstLine="1418"/>
        <w:jc w:val="both"/>
      </w:pPr>
    </w:p>
    <w:p w14:paraId="2F349E26" w14:textId="77777777" w:rsidR="001019B0" w:rsidRPr="00676A98" w:rsidRDefault="001019B0" w:rsidP="001019B0">
      <w:pPr>
        <w:ind w:firstLine="1296"/>
        <w:jc w:val="both"/>
      </w:pPr>
      <w:r w:rsidRPr="00676A98">
        <w:rPr>
          <w:rFonts w:cs="Arial"/>
        </w:rPr>
        <w:tab/>
      </w:r>
      <w:r w:rsidRPr="00676A98">
        <w:rPr>
          <w:rFonts w:cs="Arial"/>
        </w:rPr>
        <w:tab/>
      </w:r>
      <w:r w:rsidRPr="00676A98">
        <w:rPr>
          <w:rFonts w:cs="Arial"/>
        </w:rPr>
        <w:tab/>
      </w:r>
      <w:r w:rsidRPr="00676A98">
        <w:rPr>
          <w:rFonts w:cs="Arial"/>
        </w:rPr>
        <w:tab/>
      </w:r>
      <w:r w:rsidRPr="00676A98">
        <w:rPr>
          <w:rFonts w:cs="Arial"/>
        </w:rPr>
        <w:tab/>
      </w:r>
      <w:r w:rsidRPr="00676A98">
        <w:t>1 lentelė</w:t>
      </w:r>
    </w:p>
    <w:tbl>
      <w:tblPr>
        <w:tblStyle w:val="Lentelstinklelis"/>
        <w:tblW w:w="0" w:type="auto"/>
        <w:tblInd w:w="-431" w:type="dxa"/>
        <w:tblLook w:val="04A0" w:firstRow="1" w:lastRow="0" w:firstColumn="1" w:lastColumn="0" w:noHBand="0" w:noVBand="1"/>
      </w:tblPr>
      <w:tblGrid>
        <w:gridCol w:w="477"/>
        <w:gridCol w:w="4897"/>
        <w:gridCol w:w="4685"/>
      </w:tblGrid>
      <w:tr w:rsidR="00676A98" w:rsidRPr="00676A98" w14:paraId="2CBE4FEC" w14:textId="77777777" w:rsidTr="008852C9">
        <w:tc>
          <w:tcPr>
            <w:tcW w:w="477" w:type="dxa"/>
          </w:tcPr>
          <w:p w14:paraId="6867CAC7" w14:textId="77777777" w:rsidR="00676A98" w:rsidRPr="00676A98" w:rsidRDefault="00676A98" w:rsidP="008852C9">
            <w:pPr>
              <w:jc w:val="center"/>
              <w:rPr>
                <w:b/>
              </w:rPr>
            </w:pPr>
            <w:bookmarkStart w:id="0" w:name="_Hlk169004015"/>
            <w:r w:rsidRPr="00676A98">
              <w:rPr>
                <w:b/>
              </w:rPr>
              <w:t>Eil. Nr.</w:t>
            </w:r>
          </w:p>
        </w:tc>
        <w:tc>
          <w:tcPr>
            <w:tcW w:w="4897" w:type="dxa"/>
          </w:tcPr>
          <w:p w14:paraId="70DB2967" w14:textId="77777777" w:rsidR="00676A98" w:rsidRPr="00676A98" w:rsidRDefault="00676A98" w:rsidP="008852C9">
            <w:pPr>
              <w:jc w:val="center"/>
              <w:rPr>
                <w:b/>
              </w:rPr>
            </w:pPr>
            <w:r w:rsidRPr="00676A98">
              <w:rPr>
                <w:b/>
              </w:rPr>
              <w:t>Klausimai</w:t>
            </w:r>
          </w:p>
        </w:tc>
        <w:tc>
          <w:tcPr>
            <w:tcW w:w="4685" w:type="dxa"/>
          </w:tcPr>
          <w:p w14:paraId="22D050F3" w14:textId="77777777" w:rsidR="00676A98" w:rsidRPr="00676A98" w:rsidRDefault="00676A98" w:rsidP="008852C9">
            <w:pPr>
              <w:jc w:val="center"/>
              <w:rPr>
                <w:b/>
              </w:rPr>
            </w:pPr>
            <w:r w:rsidRPr="00676A98">
              <w:rPr>
                <w:b/>
              </w:rPr>
              <w:t>Atsakymai</w:t>
            </w:r>
          </w:p>
        </w:tc>
      </w:tr>
      <w:tr w:rsidR="00676A98" w:rsidRPr="00676A98" w14:paraId="19555413" w14:textId="77777777" w:rsidTr="008852C9">
        <w:tc>
          <w:tcPr>
            <w:tcW w:w="477" w:type="dxa"/>
          </w:tcPr>
          <w:p w14:paraId="1C0CDBD1" w14:textId="77777777" w:rsidR="00676A98" w:rsidRPr="00676A98" w:rsidRDefault="00676A98" w:rsidP="008852C9">
            <w:pPr>
              <w:jc w:val="both"/>
            </w:pPr>
            <w:r w:rsidRPr="00676A98">
              <w:t xml:space="preserve">4. </w:t>
            </w:r>
          </w:p>
        </w:tc>
        <w:tc>
          <w:tcPr>
            <w:tcW w:w="4897" w:type="dxa"/>
          </w:tcPr>
          <w:p w14:paraId="3459948D" w14:textId="77777777" w:rsidR="00676A98" w:rsidRPr="00676A98" w:rsidRDefault="00676A98" w:rsidP="008852C9">
            <w:r w:rsidRPr="00676A98">
              <w:t>Sutarties projekto 11.3 punkte nurodytos aplinkybės, dėl kurių gali būti stabdomi Darbai. Akivaizdu, kad visos minėtame punkte nurodytos aplinkybės priskirtinos Užsakovo atsakomybei ir dėl darbų sustabdymo rangovas gali patirti darbų sustabdymo kaštus ar nuostolius. Atsižvelgiant į tai, prašome papildyti Sutarties projekto XI skyrių “SUTARTIES SUSTABDYMAS” ir numatyti, kad „Užsakovas atlygina Rangovo tiesioginius nuostolius, atsiradusius dėl darbų stabdymo pagal Sutarties 11.3 p. sąlygas.“</w:t>
            </w:r>
          </w:p>
          <w:p w14:paraId="6BA4C4D4" w14:textId="77777777" w:rsidR="00676A98" w:rsidRPr="00676A98" w:rsidRDefault="00676A98" w:rsidP="008852C9">
            <w:r w:rsidRPr="00676A98">
              <w:t>Nesutinkant Sutarties papildyti sąlygomis dėl Rangovo teisės į išlaidų atlyginimą stabdymo metu, prašome tokį sprendimą pagrįsti.</w:t>
            </w:r>
          </w:p>
        </w:tc>
        <w:tc>
          <w:tcPr>
            <w:tcW w:w="4685" w:type="dxa"/>
          </w:tcPr>
          <w:p w14:paraId="2B1FF087" w14:textId="77777777" w:rsidR="00676A98" w:rsidRPr="00676A98" w:rsidRDefault="00676A98" w:rsidP="008852C9">
            <w:r w:rsidRPr="00676A98">
              <w:t>Atsižvelgiant į tiekėjo pastabas, Sutarties projektas papildytas 11.11 punktu, kuris išdėstomas taip:</w:t>
            </w:r>
          </w:p>
          <w:p w14:paraId="035B3A19" w14:textId="77777777" w:rsidR="00676A98" w:rsidRPr="00676A98" w:rsidRDefault="00676A98" w:rsidP="008852C9">
            <w:pPr>
              <w:tabs>
                <w:tab w:val="left" w:pos="1201"/>
              </w:tabs>
              <w:suppressAutoHyphens/>
              <w:autoSpaceDE w:val="0"/>
              <w:jc w:val="both"/>
              <w:rPr>
                <w:lang w:eastAsia="ar-SA"/>
              </w:rPr>
            </w:pPr>
            <w:r w:rsidRPr="00676A98">
              <w:rPr>
                <w:lang w:eastAsia="ar-SA"/>
              </w:rPr>
              <w:t>11.11. Užsakovas atlygina Rangovui tiesioginius nuostolius, atsiradusius dėl Darbų stabdymo pagal Sutarties 11.3.2 – 11.3.5 papunkčių sąlygas tik Rangovui pateikus dokumentus, įrodančius jo patirtų išlaidų dydį.</w:t>
            </w:r>
          </w:p>
          <w:p w14:paraId="5DD07665" w14:textId="77777777" w:rsidR="00676A98" w:rsidRPr="00676A98" w:rsidRDefault="00676A98" w:rsidP="008852C9">
            <w:r w:rsidRPr="00676A98">
              <w:t>Taip pat panaikinamas sutarties projekto 11.3.11 punktas (nes jis dubliuojasi).</w:t>
            </w:r>
          </w:p>
          <w:p w14:paraId="215AEC11" w14:textId="77777777" w:rsidR="00676A98" w:rsidRPr="00676A98" w:rsidRDefault="00676A98" w:rsidP="008852C9"/>
          <w:p w14:paraId="381F06D1" w14:textId="77777777" w:rsidR="00676A98" w:rsidRPr="00676A98" w:rsidRDefault="00676A98" w:rsidP="008852C9">
            <w:r w:rsidRPr="00676A98">
              <w:t>Pridedamas Pirkimo sąlygų 8 priedas – Sutarties projekto nauja redakcija.</w:t>
            </w:r>
          </w:p>
        </w:tc>
      </w:tr>
      <w:tr w:rsidR="00676A98" w:rsidRPr="00676A98" w14:paraId="28E3638B" w14:textId="77777777" w:rsidTr="008852C9">
        <w:tc>
          <w:tcPr>
            <w:tcW w:w="477" w:type="dxa"/>
          </w:tcPr>
          <w:p w14:paraId="79870FB3" w14:textId="77777777" w:rsidR="00676A98" w:rsidRPr="00676A98" w:rsidRDefault="00676A98" w:rsidP="008852C9">
            <w:pPr>
              <w:jc w:val="both"/>
            </w:pPr>
            <w:r w:rsidRPr="00676A98">
              <w:t>5.</w:t>
            </w:r>
          </w:p>
        </w:tc>
        <w:tc>
          <w:tcPr>
            <w:tcW w:w="4897" w:type="dxa"/>
          </w:tcPr>
          <w:p w14:paraId="4D724C13" w14:textId="77777777" w:rsidR="00676A98" w:rsidRPr="00676A98" w:rsidRDefault="00676A98" w:rsidP="008852C9">
            <w:r w:rsidRPr="00676A98">
              <w:t>Ar reikia įsivertinti medžių atkuriamąją vertę? Jeigu taip, tada nurodykite sumą ir eilutę įsivertinimui.</w:t>
            </w:r>
          </w:p>
        </w:tc>
        <w:tc>
          <w:tcPr>
            <w:tcW w:w="4685" w:type="dxa"/>
          </w:tcPr>
          <w:p w14:paraId="34DD4D18" w14:textId="77777777" w:rsidR="00676A98" w:rsidRPr="00676A98" w:rsidRDefault="00676A98" w:rsidP="008852C9">
            <w:r w:rsidRPr="00676A98">
              <w:t>Medžių atkuriamosios vertės įsivertinti nereikia.</w:t>
            </w:r>
          </w:p>
        </w:tc>
      </w:tr>
      <w:tr w:rsidR="00676A98" w:rsidRPr="00676A98" w14:paraId="62579567" w14:textId="77777777" w:rsidTr="008852C9">
        <w:tc>
          <w:tcPr>
            <w:tcW w:w="477" w:type="dxa"/>
          </w:tcPr>
          <w:p w14:paraId="366E8C76" w14:textId="77777777" w:rsidR="00676A98" w:rsidRPr="00676A98" w:rsidRDefault="00676A98" w:rsidP="008852C9">
            <w:pPr>
              <w:jc w:val="both"/>
            </w:pPr>
            <w:r w:rsidRPr="00676A98">
              <w:t>6.</w:t>
            </w:r>
          </w:p>
        </w:tc>
        <w:tc>
          <w:tcPr>
            <w:tcW w:w="4897" w:type="dxa"/>
          </w:tcPr>
          <w:p w14:paraId="4A0F50DA" w14:textId="77777777" w:rsidR="00676A98" w:rsidRPr="00676A98" w:rsidRDefault="00676A98" w:rsidP="008852C9">
            <w:pPr>
              <w:spacing w:after="160"/>
            </w:pPr>
            <w:r w:rsidRPr="00676A98">
              <w:t>Prašome išaiškinti, ar reikia įvertinti šalinamų medžių atkuriamąją vertę. Jei taip, prašome nurodyti/patikslinti kokią vertę reikėtų įskaičiuoti.</w:t>
            </w:r>
          </w:p>
        </w:tc>
        <w:tc>
          <w:tcPr>
            <w:tcW w:w="4685" w:type="dxa"/>
          </w:tcPr>
          <w:p w14:paraId="489D87B2" w14:textId="77777777" w:rsidR="00676A98" w:rsidRPr="00676A98" w:rsidRDefault="00676A98" w:rsidP="008852C9">
            <w:r w:rsidRPr="00676A98">
              <w:t>Nereikia.</w:t>
            </w:r>
          </w:p>
          <w:p w14:paraId="5E6BA2F6" w14:textId="77777777" w:rsidR="00676A98" w:rsidRPr="00676A98" w:rsidRDefault="00676A98" w:rsidP="008852C9">
            <w:r w:rsidRPr="00676A98">
              <w:t>(žiūrėti į 5 klausimo atsakymą).</w:t>
            </w:r>
          </w:p>
        </w:tc>
      </w:tr>
      <w:tr w:rsidR="00676A98" w:rsidRPr="00676A98" w14:paraId="106EA2D2" w14:textId="77777777" w:rsidTr="008852C9">
        <w:tc>
          <w:tcPr>
            <w:tcW w:w="477" w:type="dxa"/>
          </w:tcPr>
          <w:p w14:paraId="550B68AF" w14:textId="77777777" w:rsidR="00676A98" w:rsidRPr="00676A98" w:rsidRDefault="00676A98" w:rsidP="008852C9">
            <w:pPr>
              <w:jc w:val="both"/>
            </w:pPr>
            <w:r w:rsidRPr="00676A98">
              <w:t>7.</w:t>
            </w:r>
          </w:p>
        </w:tc>
        <w:tc>
          <w:tcPr>
            <w:tcW w:w="4897" w:type="dxa"/>
          </w:tcPr>
          <w:p w14:paraId="31BBDA5E" w14:textId="77777777" w:rsidR="00676A98" w:rsidRPr="00676A98" w:rsidRDefault="00676A98" w:rsidP="008852C9">
            <w:r w:rsidRPr="00676A98">
              <w:t xml:space="preserve">Prašome patikslinti Susisiekimo dalies žiniaraščio poziciją, </w:t>
            </w:r>
          </w:p>
          <w:tbl>
            <w:tblPr>
              <w:tblpPr w:leftFromText="180" w:rightFromText="180" w:vertAnchor="text" w:horzAnchor="margin" w:tblpY="152"/>
              <w:tblW w:w="4815" w:type="dxa"/>
              <w:tblLook w:val="04A0" w:firstRow="1" w:lastRow="0" w:firstColumn="1" w:lastColumn="0" w:noHBand="0" w:noVBand="1"/>
            </w:tblPr>
            <w:tblGrid>
              <w:gridCol w:w="673"/>
              <w:gridCol w:w="2583"/>
              <w:gridCol w:w="708"/>
              <w:gridCol w:w="851"/>
            </w:tblGrid>
            <w:tr w:rsidR="00676A98" w:rsidRPr="00676A98" w14:paraId="73DC4572" w14:textId="77777777" w:rsidTr="008852C9">
              <w:trPr>
                <w:trHeight w:val="563"/>
              </w:trPr>
              <w:tc>
                <w:tcPr>
                  <w:tcW w:w="673" w:type="dxa"/>
                  <w:tcBorders>
                    <w:top w:val="single" w:sz="4" w:space="0" w:color="000000"/>
                    <w:left w:val="single" w:sz="4" w:space="0" w:color="000000"/>
                    <w:bottom w:val="single" w:sz="4" w:space="0" w:color="000000"/>
                    <w:right w:val="single" w:sz="4" w:space="0" w:color="000000"/>
                  </w:tcBorders>
                  <w:shd w:val="clear" w:color="auto" w:fill="auto"/>
                  <w:hideMark/>
                </w:tcPr>
                <w:p w14:paraId="0EB504FE" w14:textId="77777777" w:rsidR="00676A98" w:rsidRPr="00676A98" w:rsidRDefault="00676A98" w:rsidP="008852C9">
                  <w:pPr>
                    <w:jc w:val="center"/>
                    <w:rPr>
                      <w:lang w:eastAsia="lt-LT"/>
                    </w:rPr>
                  </w:pPr>
                  <w:r w:rsidRPr="00676A98">
                    <w:rPr>
                      <w:lang w:eastAsia="lt-LT"/>
                    </w:rPr>
                    <w:t>1.1.</w:t>
                  </w:r>
                </w:p>
              </w:tc>
              <w:tc>
                <w:tcPr>
                  <w:tcW w:w="2583" w:type="dxa"/>
                  <w:tcBorders>
                    <w:top w:val="single" w:sz="4" w:space="0" w:color="000000"/>
                    <w:left w:val="nil"/>
                    <w:bottom w:val="single" w:sz="4" w:space="0" w:color="000000"/>
                    <w:right w:val="single" w:sz="4" w:space="0" w:color="000000"/>
                  </w:tcBorders>
                  <w:shd w:val="clear" w:color="auto" w:fill="auto"/>
                  <w:hideMark/>
                </w:tcPr>
                <w:p w14:paraId="518D4AA1" w14:textId="77777777" w:rsidR="00676A98" w:rsidRPr="00676A98" w:rsidRDefault="00676A98" w:rsidP="008852C9">
                  <w:pPr>
                    <w:rPr>
                      <w:lang w:eastAsia="lt-LT"/>
                    </w:rPr>
                  </w:pPr>
                  <w:r w:rsidRPr="00676A98">
                    <w:rPr>
                      <w:lang w:eastAsia="lt-LT"/>
                    </w:rPr>
                    <w:t>Ašinės linijos ir kelio juostos nužymėjimas trasoje</w:t>
                  </w:r>
                </w:p>
              </w:tc>
              <w:tc>
                <w:tcPr>
                  <w:tcW w:w="708" w:type="dxa"/>
                  <w:tcBorders>
                    <w:top w:val="single" w:sz="4" w:space="0" w:color="000000"/>
                    <w:left w:val="nil"/>
                    <w:bottom w:val="single" w:sz="4" w:space="0" w:color="000000"/>
                    <w:right w:val="single" w:sz="4" w:space="0" w:color="000000"/>
                  </w:tcBorders>
                  <w:shd w:val="clear" w:color="auto" w:fill="auto"/>
                  <w:hideMark/>
                </w:tcPr>
                <w:p w14:paraId="3474F1D5" w14:textId="77777777" w:rsidR="00676A98" w:rsidRPr="00676A98" w:rsidRDefault="00676A98" w:rsidP="008852C9">
                  <w:pPr>
                    <w:jc w:val="center"/>
                    <w:rPr>
                      <w:lang w:eastAsia="lt-LT"/>
                    </w:rPr>
                  </w:pPr>
                  <w:r w:rsidRPr="00676A98">
                    <w:rPr>
                      <w:lang w:eastAsia="lt-LT"/>
                    </w:rPr>
                    <w:t>km</w:t>
                  </w:r>
                </w:p>
              </w:tc>
              <w:tc>
                <w:tcPr>
                  <w:tcW w:w="851" w:type="dxa"/>
                  <w:tcBorders>
                    <w:top w:val="single" w:sz="4" w:space="0" w:color="000000"/>
                    <w:left w:val="nil"/>
                    <w:bottom w:val="single" w:sz="4" w:space="0" w:color="000000"/>
                    <w:right w:val="single" w:sz="4" w:space="0" w:color="000000"/>
                  </w:tcBorders>
                  <w:shd w:val="clear" w:color="auto" w:fill="auto"/>
                  <w:noWrap/>
                  <w:hideMark/>
                </w:tcPr>
                <w:p w14:paraId="056E4F13" w14:textId="77777777" w:rsidR="00676A98" w:rsidRPr="00676A98" w:rsidRDefault="00676A98" w:rsidP="008852C9">
                  <w:pPr>
                    <w:jc w:val="center"/>
                    <w:rPr>
                      <w:color w:val="000000"/>
                      <w:lang w:eastAsia="lt-LT"/>
                    </w:rPr>
                  </w:pPr>
                  <w:r w:rsidRPr="00676A98">
                    <w:rPr>
                      <w:color w:val="000000"/>
                      <w:lang w:eastAsia="lt-LT"/>
                    </w:rPr>
                    <w:t>0,777</w:t>
                  </w:r>
                </w:p>
              </w:tc>
            </w:tr>
          </w:tbl>
          <w:p w14:paraId="6461136F" w14:textId="77777777" w:rsidR="00676A98" w:rsidRPr="00676A98" w:rsidRDefault="00676A98" w:rsidP="008852C9">
            <w:r w:rsidRPr="00676A98">
              <w:t xml:space="preserve">nes rekonstruojamos Deltuvos gatvės ruožas viso gaunasi </w:t>
            </w:r>
            <w:r w:rsidRPr="00676A98">
              <w:rPr>
                <w:color w:val="FF0000"/>
              </w:rPr>
              <w:t xml:space="preserve">967 </w:t>
            </w:r>
            <w:r w:rsidRPr="00676A98">
              <w:t>m (777+190).</w:t>
            </w:r>
          </w:p>
        </w:tc>
        <w:tc>
          <w:tcPr>
            <w:tcW w:w="4685" w:type="dxa"/>
          </w:tcPr>
          <w:p w14:paraId="7B336E40" w14:textId="77777777" w:rsidR="00676A98" w:rsidRPr="00676A98" w:rsidRDefault="00676A98" w:rsidP="008852C9">
            <w:r w:rsidRPr="00676A98">
              <w:t xml:space="preserve">Tikslinama Susisiekimo dalies žiniaraščio pozicija Nr. 1.1. </w:t>
            </w:r>
          </w:p>
          <w:p w14:paraId="7F1980C9" w14:textId="77777777" w:rsidR="00676A98" w:rsidRPr="00676A98" w:rsidRDefault="00676A98" w:rsidP="008852C9">
            <w:r w:rsidRPr="00676A98">
              <w:t>Pridedamas patikslintas kiekių žiniaraštis.</w:t>
            </w:r>
          </w:p>
        </w:tc>
      </w:tr>
      <w:tr w:rsidR="00676A98" w:rsidRPr="00676A98" w14:paraId="1DC5396E" w14:textId="77777777" w:rsidTr="008852C9">
        <w:tc>
          <w:tcPr>
            <w:tcW w:w="477" w:type="dxa"/>
          </w:tcPr>
          <w:p w14:paraId="7F69193E" w14:textId="77777777" w:rsidR="00676A98" w:rsidRPr="00676A98" w:rsidRDefault="00676A98" w:rsidP="008852C9">
            <w:pPr>
              <w:jc w:val="both"/>
            </w:pPr>
            <w:r w:rsidRPr="00676A98">
              <w:t>8.</w:t>
            </w:r>
          </w:p>
        </w:tc>
        <w:tc>
          <w:tcPr>
            <w:tcW w:w="4897" w:type="dxa"/>
          </w:tcPr>
          <w:p w14:paraId="7DFA603F" w14:textId="77777777" w:rsidR="00676A98" w:rsidRPr="00676A98" w:rsidRDefault="00676A98" w:rsidP="008852C9">
            <w:pPr>
              <w:spacing w:after="160"/>
            </w:pPr>
            <w:r w:rsidRPr="00676A98">
              <w:t xml:space="preserve">Prašome išaiškinti situaciją pažymėtą plane, ar žiniaraštyje yra įvertinti šie darbai, </w:t>
            </w:r>
          </w:p>
          <w:p w14:paraId="094B537E" w14:textId="77777777" w:rsidR="00676A98" w:rsidRPr="00676A98" w:rsidRDefault="00676A98" w:rsidP="008852C9">
            <w:r w:rsidRPr="00676A98">
              <w:lastRenderedPageBreak/>
              <w:t>,</w:t>
            </w:r>
            <w:r w:rsidRPr="00676A98">
              <w:rPr>
                <w:noProof/>
              </w:rPr>
              <w:drawing>
                <wp:inline distT="0" distB="0" distL="0" distR="0" wp14:anchorId="06BA7DC9" wp14:editId="3B7846F6">
                  <wp:extent cx="1666875" cy="2316408"/>
                  <wp:effectExtent l="0" t="0" r="0" b="8255"/>
                  <wp:docPr id="1955396275" name="Picture 1" descr="A blueprint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396275" name="Picture 1" descr="A blueprint of a building&#10;&#10;AI-generated content may be incorrect."/>
                          <pic:cNvPicPr/>
                        </pic:nvPicPr>
                        <pic:blipFill>
                          <a:blip r:embed="rId7"/>
                          <a:stretch>
                            <a:fillRect/>
                          </a:stretch>
                        </pic:blipFill>
                        <pic:spPr>
                          <a:xfrm>
                            <a:off x="0" y="0"/>
                            <a:ext cx="1669961" cy="2320697"/>
                          </a:xfrm>
                          <a:prstGeom prst="rect">
                            <a:avLst/>
                          </a:prstGeom>
                        </pic:spPr>
                      </pic:pic>
                    </a:graphicData>
                  </a:graphic>
                </wp:inline>
              </w:drawing>
            </w:r>
            <w:r w:rsidRPr="00676A98">
              <w:t xml:space="preserve"> esamų trinkelių atstatymas.</w:t>
            </w:r>
          </w:p>
        </w:tc>
        <w:tc>
          <w:tcPr>
            <w:tcW w:w="4685" w:type="dxa"/>
          </w:tcPr>
          <w:p w14:paraId="29CEACF7" w14:textId="77777777" w:rsidR="00676A98" w:rsidRPr="00676A98" w:rsidRDefault="00676A98" w:rsidP="008852C9">
            <w:r w:rsidRPr="00676A98">
              <w:lastRenderedPageBreak/>
              <w:t xml:space="preserve">Tikslinama Susisiekimo dalies žiniaraščio pozicija Nr. 8.9., pridedant esamos trinkelių dangos atstatymo darbus. </w:t>
            </w:r>
          </w:p>
          <w:p w14:paraId="78CE4F4D" w14:textId="77777777" w:rsidR="00676A98" w:rsidRPr="00676A98" w:rsidRDefault="00676A98" w:rsidP="008852C9">
            <w:r w:rsidRPr="00676A98">
              <w:t>Pridedamas patikslintas kiekių žiniaraštis.</w:t>
            </w:r>
          </w:p>
        </w:tc>
      </w:tr>
      <w:tr w:rsidR="00676A98" w:rsidRPr="00676A98" w14:paraId="2A2069B7" w14:textId="77777777" w:rsidTr="008852C9">
        <w:tc>
          <w:tcPr>
            <w:tcW w:w="477" w:type="dxa"/>
          </w:tcPr>
          <w:p w14:paraId="3238FF90" w14:textId="77777777" w:rsidR="00676A98" w:rsidRPr="00676A98" w:rsidRDefault="00676A98" w:rsidP="008852C9">
            <w:pPr>
              <w:jc w:val="both"/>
            </w:pPr>
            <w:r w:rsidRPr="00676A98">
              <w:lastRenderedPageBreak/>
              <w:t>9.</w:t>
            </w:r>
          </w:p>
        </w:tc>
        <w:tc>
          <w:tcPr>
            <w:tcW w:w="4897" w:type="dxa"/>
          </w:tcPr>
          <w:p w14:paraId="4FB0FF8B" w14:textId="77777777" w:rsidR="00676A98" w:rsidRPr="00676A98" w:rsidRDefault="00676A98" w:rsidP="008852C9">
            <w:r w:rsidRPr="00676A98">
              <w:t xml:space="preserve">Prašome išaiškinti, ar teisingai nurodomas greičio mažinimo kalnelių ir iškilios sankryžos įrengimo plotas – 358 m2. Pateiktame dangų plane matome, kad turės būti įrengti du kalneliai – </w:t>
            </w:r>
            <w:proofErr w:type="spellStart"/>
            <w:r w:rsidRPr="00676A98">
              <w:t>Pk</w:t>
            </w:r>
            <w:proofErr w:type="spellEnd"/>
            <w:r w:rsidRPr="00676A98">
              <w:t xml:space="preserve"> 0+50 bei </w:t>
            </w:r>
            <w:proofErr w:type="spellStart"/>
            <w:r w:rsidRPr="00676A98">
              <w:t>Pk</w:t>
            </w:r>
            <w:proofErr w:type="spellEnd"/>
            <w:r w:rsidRPr="00676A98">
              <w:t xml:space="preserve"> 6+70 -  5,5x8,0 m, tai gaunasi 88 m2 ir iškili sankryža apie 306 m2, viso gaunasi 392 m2.</w:t>
            </w:r>
          </w:p>
        </w:tc>
        <w:tc>
          <w:tcPr>
            <w:tcW w:w="4685" w:type="dxa"/>
          </w:tcPr>
          <w:p w14:paraId="5448553B" w14:textId="77777777" w:rsidR="00676A98" w:rsidRPr="00676A98" w:rsidRDefault="00676A98" w:rsidP="008852C9">
            <w:r w:rsidRPr="00676A98">
              <w:t xml:space="preserve">Patikslintas greičio mažinimo kalnelių ir iškilios sankryžos įrengimo plotas. Perskaičiavus, gauname 402,6 m2. </w:t>
            </w:r>
          </w:p>
          <w:p w14:paraId="75FA9B30" w14:textId="77777777" w:rsidR="00676A98" w:rsidRPr="00676A98" w:rsidRDefault="00676A98" w:rsidP="008852C9">
            <w:r w:rsidRPr="00676A98">
              <w:t>Pridedamas patikslintas kiekių žiniaraštis.</w:t>
            </w:r>
          </w:p>
        </w:tc>
      </w:tr>
      <w:tr w:rsidR="00676A98" w:rsidRPr="00676A98" w14:paraId="762A31E0" w14:textId="77777777" w:rsidTr="008852C9">
        <w:tc>
          <w:tcPr>
            <w:tcW w:w="477" w:type="dxa"/>
          </w:tcPr>
          <w:p w14:paraId="38844CE6" w14:textId="77777777" w:rsidR="00676A98" w:rsidRPr="00676A98" w:rsidRDefault="00676A98" w:rsidP="008852C9">
            <w:pPr>
              <w:jc w:val="both"/>
            </w:pPr>
            <w:r w:rsidRPr="00676A98">
              <w:t>10.</w:t>
            </w:r>
          </w:p>
        </w:tc>
        <w:tc>
          <w:tcPr>
            <w:tcW w:w="4897" w:type="dxa"/>
          </w:tcPr>
          <w:p w14:paraId="4686EEF8" w14:textId="77777777" w:rsidR="00676A98" w:rsidRPr="00676A98" w:rsidRDefault="00676A98" w:rsidP="008852C9">
            <w:r w:rsidRPr="00676A98">
              <w:t xml:space="preserve">Prašome patikslinti/ pakeisti VN dalies žiniaraštyje </w:t>
            </w:r>
            <w:proofErr w:type="spellStart"/>
            <w:r w:rsidRPr="00676A98">
              <w:t>poz</w:t>
            </w:r>
            <w:proofErr w:type="spellEnd"/>
            <w:r w:rsidRPr="00676A98">
              <w:t xml:space="preserve">. 14 ir 15 teikiamą mato vnt. bei kiekį, vietoj m3 nurodant </w:t>
            </w:r>
            <w:proofErr w:type="spellStart"/>
            <w:r w:rsidRPr="00676A98">
              <w:t>kompl</w:t>
            </w:r>
            <w:proofErr w:type="spellEnd"/>
            <w:r w:rsidRPr="00676A98">
              <w:t xml:space="preserve">., nes dabar pateikiamame variante 14 </w:t>
            </w:r>
            <w:proofErr w:type="spellStart"/>
            <w:r w:rsidRPr="00676A98">
              <w:t>poz</w:t>
            </w:r>
            <w:proofErr w:type="spellEnd"/>
            <w:r w:rsidRPr="00676A98">
              <w:t xml:space="preserve">. 3 </w:t>
            </w:r>
            <w:proofErr w:type="spellStart"/>
            <w:r w:rsidRPr="00676A98">
              <w:t>kompl</w:t>
            </w:r>
            <w:proofErr w:type="spellEnd"/>
            <w:r w:rsidRPr="00676A98">
              <w:t xml:space="preserve">. šulinių yra 1 m3 (t. y. vienam šuliniui skaičiuota 0,333 m3) tuomet 15 </w:t>
            </w:r>
            <w:proofErr w:type="spellStart"/>
            <w:r w:rsidRPr="00676A98">
              <w:t>poz</w:t>
            </w:r>
            <w:proofErr w:type="spellEnd"/>
            <w:r w:rsidRPr="00676A98">
              <w:t xml:space="preserve">. vertinant analogiškai 45x0,333 = 15 m3, o žiniaraštyje pateikta 10 m3. Nurodant šulinius </w:t>
            </w:r>
            <w:proofErr w:type="spellStart"/>
            <w:r w:rsidRPr="00676A98">
              <w:t>kompl</w:t>
            </w:r>
            <w:proofErr w:type="spellEnd"/>
            <w:r w:rsidRPr="00676A98">
              <w:t>., nekils problemų dėl šulinių kubatūros.</w:t>
            </w:r>
          </w:p>
        </w:tc>
        <w:tc>
          <w:tcPr>
            <w:tcW w:w="4685" w:type="dxa"/>
          </w:tcPr>
          <w:p w14:paraId="418A6AA6" w14:textId="77777777" w:rsidR="00676A98" w:rsidRPr="00676A98" w:rsidRDefault="00676A98" w:rsidP="008852C9">
            <w:r w:rsidRPr="00676A98">
              <w:t>Pridedamas patikslintas kiekių žiniaraštis.</w:t>
            </w:r>
          </w:p>
        </w:tc>
      </w:tr>
      <w:tr w:rsidR="00676A98" w:rsidRPr="00676A98" w14:paraId="3694958C" w14:textId="77777777" w:rsidTr="008852C9">
        <w:tc>
          <w:tcPr>
            <w:tcW w:w="477" w:type="dxa"/>
          </w:tcPr>
          <w:p w14:paraId="4BC85AD5" w14:textId="77777777" w:rsidR="00676A98" w:rsidRPr="00676A98" w:rsidRDefault="00676A98" w:rsidP="008852C9">
            <w:pPr>
              <w:jc w:val="both"/>
            </w:pPr>
            <w:r w:rsidRPr="00676A98">
              <w:t>11.</w:t>
            </w:r>
          </w:p>
        </w:tc>
        <w:tc>
          <w:tcPr>
            <w:tcW w:w="4897" w:type="dxa"/>
          </w:tcPr>
          <w:p w14:paraId="60516BFA" w14:textId="77777777" w:rsidR="00676A98" w:rsidRPr="00676A98" w:rsidRDefault="00676A98" w:rsidP="008852C9">
            <w:r w:rsidRPr="00676A98">
              <w:t>Prašome išaiškinti situaciją su esamų hidrantų perkėlimu, pateiktuose brėžiniuose matome kad hidrantai: GH1 perkeliamas 1,1m atstumu, GH2 – 1,0m, GH4 – 2,7m; o GH3 iškeliamas, tačiau nenurodoma nauja vieta, ar šis tik naikinamas.</w:t>
            </w:r>
          </w:p>
        </w:tc>
        <w:tc>
          <w:tcPr>
            <w:tcW w:w="4685" w:type="dxa"/>
          </w:tcPr>
          <w:p w14:paraId="2EA8446A" w14:textId="77777777" w:rsidR="00676A98" w:rsidRPr="00676A98" w:rsidRDefault="00676A98" w:rsidP="008852C9">
            <w:r w:rsidRPr="00676A98">
              <w:t>GH3 perkeliamo hidranto vieta:</w:t>
            </w:r>
          </w:p>
          <w:p w14:paraId="0855743F" w14:textId="77777777" w:rsidR="00676A98" w:rsidRPr="00676A98" w:rsidRDefault="00676A98" w:rsidP="008852C9">
            <w:r w:rsidRPr="00676A98">
              <w:t>x=6123658.21;</w:t>
            </w:r>
          </w:p>
          <w:p w14:paraId="51595147" w14:textId="77777777" w:rsidR="00676A98" w:rsidRPr="00676A98" w:rsidRDefault="00676A98" w:rsidP="008852C9">
            <w:r w:rsidRPr="00676A98">
              <w:t>y=547615.15;</w:t>
            </w:r>
          </w:p>
          <w:p w14:paraId="6A8FFA11" w14:textId="77777777" w:rsidR="00676A98" w:rsidRPr="00676A98" w:rsidRDefault="00676A98" w:rsidP="008852C9"/>
          <w:p w14:paraId="30793FE2" w14:textId="77777777" w:rsidR="00676A98" w:rsidRPr="00676A98" w:rsidRDefault="00676A98" w:rsidP="008852C9">
            <w:r w:rsidRPr="00676A98">
              <w:t>PS22-14-TDP-NŠ.B-01 (4/6)</w:t>
            </w:r>
          </w:p>
        </w:tc>
      </w:tr>
      <w:tr w:rsidR="00676A98" w:rsidRPr="00676A98" w14:paraId="0B6411C2" w14:textId="77777777" w:rsidTr="008852C9">
        <w:tc>
          <w:tcPr>
            <w:tcW w:w="477" w:type="dxa"/>
          </w:tcPr>
          <w:p w14:paraId="7D39EA88" w14:textId="77777777" w:rsidR="00676A98" w:rsidRPr="00676A98" w:rsidRDefault="00676A98" w:rsidP="008852C9">
            <w:pPr>
              <w:jc w:val="both"/>
            </w:pPr>
            <w:bookmarkStart w:id="1" w:name="_Hlk192754594"/>
            <w:r w:rsidRPr="00676A98">
              <w:t>12.</w:t>
            </w:r>
          </w:p>
        </w:tc>
        <w:tc>
          <w:tcPr>
            <w:tcW w:w="4897" w:type="dxa"/>
          </w:tcPr>
          <w:p w14:paraId="31E758F8" w14:textId="77777777" w:rsidR="00676A98" w:rsidRPr="00676A98" w:rsidRDefault="00676A98" w:rsidP="008852C9">
            <w:r w:rsidRPr="00676A98">
              <w:t>Projekte „Nuotekų šalinimo dalyje“ yra numatyti archeologiniai tyrinėjimai (110 m2), prie sąlygų pridėtame darbų kiekių žiniaraštyje šių darbų nėra. Prašome patikslinti, ar skaičiuojant pasiūlymą reikia vertintis šiuos darbus?</w:t>
            </w:r>
          </w:p>
        </w:tc>
        <w:tc>
          <w:tcPr>
            <w:tcW w:w="4685" w:type="dxa"/>
          </w:tcPr>
          <w:p w14:paraId="134CFBC9" w14:textId="77777777" w:rsidR="00676A98" w:rsidRPr="00676A98" w:rsidRDefault="00676A98" w:rsidP="00676A98">
            <w:pPr>
              <w:pStyle w:val="Sraopastraipa"/>
              <w:tabs>
                <w:tab w:val="left" w:pos="851"/>
              </w:tabs>
              <w:spacing w:line="240" w:lineRule="auto"/>
              <w:ind w:left="-38"/>
              <w:rPr>
                <w:szCs w:val="24"/>
              </w:rPr>
            </w:pPr>
            <w:r w:rsidRPr="00676A98">
              <w:rPr>
                <w:rFonts w:ascii="Times New Roman" w:hAnsi="Times New Roman" w:cs="Times New Roman"/>
                <w:sz w:val="24"/>
                <w:szCs w:val="24"/>
              </w:rPr>
              <w:t xml:space="preserve">Tiekėjams archeologinių žvalgomųjų darbų kainos įsivertinti </w:t>
            </w:r>
            <w:r w:rsidRPr="00676A98">
              <w:rPr>
                <w:rFonts w:ascii="Times New Roman" w:hAnsi="Times New Roman" w:cs="Times New Roman"/>
                <w:b/>
                <w:bCs/>
                <w:sz w:val="24"/>
                <w:szCs w:val="24"/>
              </w:rPr>
              <w:t>nereikia</w:t>
            </w:r>
            <w:r w:rsidRPr="00676A98">
              <w:rPr>
                <w:rFonts w:ascii="Times New Roman" w:hAnsi="Times New Roman" w:cs="Times New Roman"/>
                <w:sz w:val="24"/>
                <w:szCs w:val="24"/>
              </w:rPr>
              <w:t>. Šiuos tyrinėjimus Užsakovas užsakys pats. Ši nuostata įvardinta Pirkimo sąlygų 3 priede - Techninių specifikacijų 6 punktas.</w:t>
            </w:r>
          </w:p>
        </w:tc>
      </w:tr>
      <w:bookmarkEnd w:id="1"/>
      <w:tr w:rsidR="00676A98" w:rsidRPr="00676A98" w14:paraId="1F4A2F75" w14:textId="77777777" w:rsidTr="008852C9">
        <w:tc>
          <w:tcPr>
            <w:tcW w:w="477" w:type="dxa"/>
          </w:tcPr>
          <w:p w14:paraId="1909FABF" w14:textId="77777777" w:rsidR="00676A98" w:rsidRPr="00676A98" w:rsidRDefault="00676A98" w:rsidP="008852C9">
            <w:pPr>
              <w:jc w:val="both"/>
            </w:pPr>
            <w:r w:rsidRPr="00676A98">
              <w:t>13.</w:t>
            </w:r>
          </w:p>
        </w:tc>
        <w:tc>
          <w:tcPr>
            <w:tcW w:w="4897" w:type="dxa"/>
          </w:tcPr>
          <w:p w14:paraId="2EE53EDD" w14:textId="77777777" w:rsidR="00676A98" w:rsidRPr="00676A98" w:rsidRDefault="00676A98" w:rsidP="008852C9">
            <w:r w:rsidRPr="00676A98">
              <w:t>Projekto „Nuotekų šalinimo dalis“ vandentiekio tinklai žiniaraščio 9 eilutė „Esamų požeminių sklendžių ir šulinių liukų sukėlimas iki projektinio lygio“ ar šioje eilutėje reikia vertintis esamų liukų (dangčių) pakeitimą naujais?</w:t>
            </w:r>
          </w:p>
        </w:tc>
        <w:tc>
          <w:tcPr>
            <w:tcW w:w="4685" w:type="dxa"/>
          </w:tcPr>
          <w:p w14:paraId="2BA97715" w14:textId="77777777" w:rsidR="00676A98" w:rsidRPr="00676A98" w:rsidRDefault="00676A98" w:rsidP="008852C9">
            <w:r w:rsidRPr="00676A98">
              <w:t>Taip, reikia.</w:t>
            </w:r>
          </w:p>
        </w:tc>
      </w:tr>
      <w:tr w:rsidR="00676A98" w:rsidRPr="00676A98" w14:paraId="639A87AA" w14:textId="77777777" w:rsidTr="008852C9">
        <w:tc>
          <w:tcPr>
            <w:tcW w:w="477" w:type="dxa"/>
          </w:tcPr>
          <w:p w14:paraId="7C0B5246" w14:textId="77777777" w:rsidR="00676A98" w:rsidRPr="00676A98" w:rsidRDefault="00676A98" w:rsidP="008852C9">
            <w:pPr>
              <w:jc w:val="both"/>
            </w:pPr>
            <w:r w:rsidRPr="00676A98">
              <w:t>14.</w:t>
            </w:r>
          </w:p>
        </w:tc>
        <w:tc>
          <w:tcPr>
            <w:tcW w:w="4897" w:type="dxa"/>
          </w:tcPr>
          <w:p w14:paraId="59603F2A" w14:textId="77777777" w:rsidR="00676A98" w:rsidRPr="00676A98" w:rsidRDefault="00676A98" w:rsidP="008852C9">
            <w:r w:rsidRPr="00676A98">
              <w:t xml:space="preserve">Pirkimo PS22-14-TDP-E-AR dalyje: „Visi gatvės elementai dažomi tokia pat spalva kaip ir </w:t>
            </w:r>
            <w:r w:rsidRPr="00676A98">
              <w:lastRenderedPageBreak/>
              <w:t xml:space="preserve">esamos atramos Žiedo g. - Deltuvos g. sankryžoje.“ </w:t>
            </w:r>
          </w:p>
          <w:p w14:paraId="5C641249" w14:textId="77777777" w:rsidR="00676A98" w:rsidRPr="00676A98" w:rsidRDefault="00676A98" w:rsidP="008852C9">
            <w:r w:rsidRPr="00676A98">
              <w:t>Ar reikalinga prieš montavimo darbus nudažyti demontuotas/perkeliamas cinkuotas atramas ir gembes?</w:t>
            </w:r>
          </w:p>
          <w:p w14:paraId="061E672B" w14:textId="77777777" w:rsidR="00676A98" w:rsidRPr="00676A98" w:rsidRDefault="00676A98" w:rsidP="008852C9">
            <w:r w:rsidRPr="00676A98">
              <w:t>Jei reikalinga, kurioje pasiūlymo montavimo darbų eilutėje įvertinti atramų ir gembių dažymą?</w:t>
            </w:r>
          </w:p>
        </w:tc>
        <w:tc>
          <w:tcPr>
            <w:tcW w:w="4685" w:type="dxa"/>
          </w:tcPr>
          <w:p w14:paraId="57689EA2" w14:textId="77777777" w:rsidR="00676A98" w:rsidRPr="00676A98" w:rsidRDefault="00676A98" w:rsidP="008852C9">
            <w:r w:rsidRPr="00676A98">
              <w:lastRenderedPageBreak/>
              <w:t xml:space="preserve">Vykdant II etapo darbus, apšvietimo atramos nebuvo perdažomos, todėl jos nebus </w:t>
            </w:r>
            <w:r w:rsidRPr="00676A98">
              <w:lastRenderedPageBreak/>
              <w:t xml:space="preserve">perdažomos ir vykdant šiuo metu perkamus I etapo darbus. </w:t>
            </w:r>
          </w:p>
        </w:tc>
      </w:tr>
      <w:tr w:rsidR="00676A98" w:rsidRPr="00676A98" w14:paraId="3679A0ED" w14:textId="77777777" w:rsidTr="008852C9">
        <w:tc>
          <w:tcPr>
            <w:tcW w:w="477" w:type="dxa"/>
          </w:tcPr>
          <w:p w14:paraId="3A53644B" w14:textId="77777777" w:rsidR="00676A98" w:rsidRPr="00676A98" w:rsidRDefault="00676A98" w:rsidP="008852C9">
            <w:pPr>
              <w:jc w:val="both"/>
            </w:pPr>
            <w:r w:rsidRPr="00676A98">
              <w:lastRenderedPageBreak/>
              <w:t>15.</w:t>
            </w:r>
          </w:p>
        </w:tc>
        <w:tc>
          <w:tcPr>
            <w:tcW w:w="4897" w:type="dxa"/>
          </w:tcPr>
          <w:p w14:paraId="2C3B5B6D" w14:textId="77777777" w:rsidR="00676A98" w:rsidRPr="00676A98" w:rsidRDefault="00676A98" w:rsidP="008852C9">
            <w:r w:rsidRPr="00676A98">
              <w:t>Projekto techninėse specifikacijose numatyta</w:t>
            </w:r>
          </w:p>
          <w:p w14:paraId="7C2F37B1" w14:textId="77777777" w:rsidR="00676A98" w:rsidRPr="00676A98" w:rsidRDefault="00676A98" w:rsidP="008852C9">
            <w:pPr>
              <w:rPr>
                <w:color w:val="000000"/>
                <w:lang w:eastAsia="lt-LT"/>
              </w:rPr>
            </w:pPr>
            <w:r w:rsidRPr="00676A98">
              <w:rPr>
                <w:color w:val="000000"/>
                <w:lang w:eastAsia="lt-LT"/>
              </w:rPr>
              <w:t>Asfalto mišiniai turi atitikti TRA ASFALTAS 08 reikalavimus</w:t>
            </w:r>
          </w:p>
          <w:p w14:paraId="3A786C00" w14:textId="77777777" w:rsidR="00676A98" w:rsidRPr="00676A98" w:rsidRDefault="00676A98" w:rsidP="008852C9">
            <w:r w:rsidRPr="00676A98">
              <w:rPr>
                <w:noProof/>
              </w:rPr>
              <w:drawing>
                <wp:inline distT="0" distB="0" distL="0" distR="0" wp14:anchorId="10471506" wp14:editId="11FE4FDD">
                  <wp:extent cx="3832860" cy="175260"/>
                  <wp:effectExtent l="0" t="0" r="0" b="0"/>
                  <wp:docPr id="18300170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017092" name=""/>
                          <pic:cNvPicPr/>
                        </pic:nvPicPr>
                        <pic:blipFill>
                          <a:blip r:embed="rId8"/>
                          <a:stretch>
                            <a:fillRect/>
                          </a:stretch>
                        </pic:blipFill>
                        <pic:spPr>
                          <a:xfrm>
                            <a:off x="0" y="0"/>
                            <a:ext cx="3938665" cy="180098"/>
                          </a:xfrm>
                          <a:prstGeom prst="rect">
                            <a:avLst/>
                          </a:prstGeom>
                        </pic:spPr>
                      </pic:pic>
                    </a:graphicData>
                  </a:graphic>
                </wp:inline>
              </w:drawing>
            </w:r>
          </w:p>
          <w:p w14:paraId="38D408A7" w14:textId="77777777" w:rsidR="00676A98" w:rsidRPr="00676A98" w:rsidRDefault="00676A98" w:rsidP="008852C9">
            <w:r w:rsidRPr="00676A98">
              <w:rPr>
                <w:lang w:eastAsia="lt-LT"/>
              </w:rPr>
              <w:t>Prašome patvirtinti, kad nebus reikalavimo atitikti TRA ASFALTAS 24, kuriame AC 16 AS rišiklis turi būti PMB 45/80-65.</w:t>
            </w:r>
          </w:p>
        </w:tc>
        <w:tc>
          <w:tcPr>
            <w:tcW w:w="4685" w:type="dxa"/>
          </w:tcPr>
          <w:p w14:paraId="395CC18A" w14:textId="77777777" w:rsidR="00676A98" w:rsidRPr="00676A98" w:rsidRDefault="00676A98" w:rsidP="008852C9">
            <w:r w:rsidRPr="00676A98">
              <w:t>Projektas parengtas vadovaujantis iki statybos leidimo išdavimo galiojusiais standartais, tačiau prie pirkimo sąlygų pridėtos techninės specifikacijos 10 punkte nurodyta, kad „Atliekant darbus, Rangovas privalo vadovautis Statybos įstatymu, galiojančiais statybos techniniais reglamentais bei kitais teisės aktais, reglamentuojančiais statybos veiklą (normomis, taisyklėmis) bei techniniu projektu, t. y. asfalto mišiniai turi atitikti TRA ASFALTAS 24 reikalavimus, o asfaltbetonio danga įrengiama pagal IT ASFALTAS 24 reikalavimus.</w:t>
            </w:r>
          </w:p>
        </w:tc>
      </w:tr>
      <w:tr w:rsidR="00676A98" w:rsidRPr="00676A98" w14:paraId="4D3C9346" w14:textId="77777777" w:rsidTr="008852C9">
        <w:tc>
          <w:tcPr>
            <w:tcW w:w="477" w:type="dxa"/>
          </w:tcPr>
          <w:p w14:paraId="731F7D1C" w14:textId="77777777" w:rsidR="00676A98" w:rsidRPr="00676A98" w:rsidRDefault="00676A98" w:rsidP="008852C9">
            <w:pPr>
              <w:jc w:val="both"/>
            </w:pPr>
            <w:r w:rsidRPr="00676A98">
              <w:t>16.</w:t>
            </w:r>
          </w:p>
        </w:tc>
        <w:tc>
          <w:tcPr>
            <w:tcW w:w="4897" w:type="dxa"/>
          </w:tcPr>
          <w:p w14:paraId="1A0F9349" w14:textId="77777777" w:rsidR="00676A98" w:rsidRPr="00676A98" w:rsidRDefault="00676A98" w:rsidP="008852C9">
            <w:r w:rsidRPr="00676A98">
              <w:t xml:space="preserve">Prašome išaiškinti situaciją su bordiūrų įrengimu: dangų plane pagal žymėjimą bei pateiktą pjūvį 2-2 matome, kad nužemintas betoninis gatvės bortas yra įgilintas iki dangos paviršiaus bordiūras </w:t>
            </w:r>
          </w:p>
          <w:p w14:paraId="62921196" w14:textId="77777777" w:rsidR="00676A98" w:rsidRPr="00676A98" w:rsidRDefault="00676A98" w:rsidP="008852C9">
            <w:r w:rsidRPr="00676A98">
              <w:t>100.30.15</w:t>
            </w:r>
          </w:p>
          <w:p w14:paraId="18B99EEE" w14:textId="77777777" w:rsidR="00676A98" w:rsidRPr="00676A98" w:rsidRDefault="00676A98" w:rsidP="008852C9">
            <w:r w:rsidRPr="00676A98">
              <w:rPr>
                <w:noProof/>
              </w:rPr>
              <w:drawing>
                <wp:inline distT="0" distB="0" distL="0" distR="0" wp14:anchorId="644A8C1A" wp14:editId="1AEDB1D7">
                  <wp:extent cx="2800350" cy="1299851"/>
                  <wp:effectExtent l="0" t="0" r="0" b="0"/>
                  <wp:docPr id="35428368" name="Picture 1" descr="A diagram of a struc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28368" name="Picture 1" descr="A diagram of a structure&#10;&#10;AI-generated content may be incorrect."/>
                          <pic:cNvPicPr/>
                        </pic:nvPicPr>
                        <pic:blipFill>
                          <a:blip r:embed="rId9"/>
                          <a:stretch>
                            <a:fillRect/>
                          </a:stretch>
                        </pic:blipFill>
                        <pic:spPr>
                          <a:xfrm>
                            <a:off x="0" y="0"/>
                            <a:ext cx="2821633" cy="1309730"/>
                          </a:xfrm>
                          <a:prstGeom prst="rect">
                            <a:avLst/>
                          </a:prstGeom>
                        </pic:spPr>
                      </pic:pic>
                    </a:graphicData>
                  </a:graphic>
                </wp:inline>
              </w:drawing>
            </w:r>
          </w:p>
          <w:p w14:paraId="2412D878" w14:textId="77777777" w:rsidR="00676A98" w:rsidRPr="00676A98" w:rsidRDefault="00676A98" w:rsidP="008852C9">
            <w:r w:rsidRPr="00676A98">
              <w:t xml:space="preserve">Ar </w:t>
            </w:r>
            <w:proofErr w:type="spellStart"/>
            <w:r w:rsidRPr="00676A98">
              <w:t>analokiškai</w:t>
            </w:r>
            <w:proofErr w:type="spellEnd"/>
            <w:r w:rsidRPr="00676A98">
              <w:t xml:space="preserve"> turės būti įrengiami bordiūrai ir visose nuovažose.</w:t>
            </w:r>
          </w:p>
          <w:p w14:paraId="02073C6E" w14:textId="77777777" w:rsidR="00676A98" w:rsidRPr="00676A98" w:rsidRDefault="00676A98" w:rsidP="008852C9">
            <w:r w:rsidRPr="00676A98">
              <w:rPr>
                <w:noProof/>
              </w:rPr>
              <w:drawing>
                <wp:inline distT="0" distB="0" distL="0" distR="0" wp14:anchorId="2BCC4A44" wp14:editId="5749DF47">
                  <wp:extent cx="2971800" cy="1526059"/>
                  <wp:effectExtent l="0" t="0" r="0" b="0"/>
                  <wp:docPr id="496717504" name="Picture 1" descr="A close up of a bluepri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717504" name="Picture 1" descr="A close up of a blueprint&#10;&#10;AI-generated content may be incorrect."/>
                          <pic:cNvPicPr/>
                        </pic:nvPicPr>
                        <pic:blipFill>
                          <a:blip r:embed="rId10"/>
                          <a:stretch>
                            <a:fillRect/>
                          </a:stretch>
                        </pic:blipFill>
                        <pic:spPr>
                          <a:xfrm>
                            <a:off x="0" y="0"/>
                            <a:ext cx="2986450" cy="1533582"/>
                          </a:xfrm>
                          <a:prstGeom prst="rect">
                            <a:avLst/>
                          </a:prstGeom>
                        </pic:spPr>
                      </pic:pic>
                    </a:graphicData>
                  </a:graphic>
                </wp:inline>
              </w:drawing>
            </w:r>
          </w:p>
          <w:p w14:paraId="6AA5EA5A" w14:textId="77777777" w:rsidR="00676A98" w:rsidRPr="00676A98" w:rsidRDefault="00676A98" w:rsidP="008852C9">
            <w:r w:rsidRPr="00676A98">
              <w:t>Tuomet prašome nurodyti/ pažymėti brėžiniuose, kurioje vietoje turės būti įrengiami, nurodomi žiniaraštyje, pereinamieji (100.15.30-22 cm) ir įvažiavimo (100.15.22 cm) bordiūrai – 4+9 viso 13 m.</w:t>
            </w:r>
          </w:p>
        </w:tc>
        <w:tc>
          <w:tcPr>
            <w:tcW w:w="4685" w:type="dxa"/>
          </w:tcPr>
          <w:p w14:paraId="7A1C66D8" w14:textId="77777777" w:rsidR="00676A98" w:rsidRPr="00676A98" w:rsidRDefault="00676A98" w:rsidP="008852C9">
            <w:r w:rsidRPr="00676A98">
              <w:t xml:space="preserve">Taip, nuovažose bortai įrengiami analogiškai. </w:t>
            </w:r>
          </w:p>
          <w:p w14:paraId="2EA26FBF" w14:textId="77777777" w:rsidR="00676A98" w:rsidRPr="00676A98" w:rsidRDefault="00676A98" w:rsidP="008852C9"/>
          <w:p w14:paraId="28A5AEDB" w14:textId="77777777" w:rsidR="00676A98" w:rsidRPr="00676A98" w:rsidRDefault="00676A98" w:rsidP="008852C9">
            <w:r w:rsidRPr="00676A98">
              <w:rPr>
                <w:noProof/>
              </w:rPr>
              <w:drawing>
                <wp:inline distT="0" distB="0" distL="0" distR="0" wp14:anchorId="4807990F" wp14:editId="6687AE5C">
                  <wp:extent cx="2438400" cy="276225"/>
                  <wp:effectExtent l="0" t="0" r="0" b="9525"/>
                  <wp:docPr id="2" name="Paveikslėlis 2" descr="cid:image001.png@01DB93F1.B7DE6B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1.png@01DB93F1.B7DE6B50"/>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438400" cy="276225"/>
                          </a:xfrm>
                          <a:prstGeom prst="rect">
                            <a:avLst/>
                          </a:prstGeom>
                          <a:noFill/>
                          <a:ln>
                            <a:noFill/>
                          </a:ln>
                        </pic:spPr>
                      </pic:pic>
                    </a:graphicData>
                  </a:graphic>
                </wp:inline>
              </w:drawing>
            </w:r>
          </w:p>
          <w:p w14:paraId="7731D16F" w14:textId="77777777" w:rsidR="00676A98" w:rsidRPr="00676A98" w:rsidRDefault="00676A98" w:rsidP="008852C9">
            <w:r w:rsidRPr="00676A98">
              <w:t>Bortai pažymėti atskiru žymėjimu, jie bus naudojami įvažiuoti į sklypą adresu Kauno g. 19.</w:t>
            </w:r>
          </w:p>
        </w:tc>
      </w:tr>
      <w:tr w:rsidR="00676A98" w:rsidRPr="00676A98" w14:paraId="6A2372FD" w14:textId="77777777" w:rsidTr="008852C9">
        <w:tc>
          <w:tcPr>
            <w:tcW w:w="477" w:type="dxa"/>
          </w:tcPr>
          <w:p w14:paraId="27EAB953" w14:textId="77777777" w:rsidR="00676A98" w:rsidRPr="00676A98" w:rsidRDefault="00676A98" w:rsidP="008852C9">
            <w:pPr>
              <w:jc w:val="both"/>
            </w:pPr>
            <w:r w:rsidRPr="00676A98">
              <w:lastRenderedPageBreak/>
              <w:t>17.</w:t>
            </w:r>
          </w:p>
        </w:tc>
        <w:tc>
          <w:tcPr>
            <w:tcW w:w="4897" w:type="dxa"/>
          </w:tcPr>
          <w:p w14:paraId="72D47745" w14:textId="77777777" w:rsidR="00676A98" w:rsidRPr="00676A98" w:rsidRDefault="00676A98" w:rsidP="008852C9">
            <w:r w:rsidRPr="00676A98">
              <w:t>Prašome pateikti dangų įrengimo skersinį pjūvį pikete PK 7+70</w:t>
            </w:r>
          </w:p>
          <w:p w14:paraId="5BF09544" w14:textId="77777777" w:rsidR="00676A98" w:rsidRPr="00676A98" w:rsidRDefault="00676A98" w:rsidP="008852C9">
            <w:r w:rsidRPr="00676A98">
              <w:rPr>
                <w:noProof/>
              </w:rPr>
              <w:drawing>
                <wp:inline distT="0" distB="0" distL="0" distR="0" wp14:anchorId="7E38FE6C" wp14:editId="6B8570DD">
                  <wp:extent cx="2505075" cy="1963855"/>
                  <wp:effectExtent l="0" t="0" r="0" b="0"/>
                  <wp:docPr id="665282016" name="Picture 1" descr="A drawing of a ro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282016" name="Picture 1" descr="A drawing of a road&#10;&#10;AI-generated content may be incorrect."/>
                          <pic:cNvPicPr/>
                        </pic:nvPicPr>
                        <pic:blipFill>
                          <a:blip r:embed="rId13"/>
                          <a:stretch>
                            <a:fillRect/>
                          </a:stretch>
                        </pic:blipFill>
                        <pic:spPr>
                          <a:xfrm>
                            <a:off x="0" y="0"/>
                            <a:ext cx="2514653" cy="1971364"/>
                          </a:xfrm>
                          <a:prstGeom prst="rect">
                            <a:avLst/>
                          </a:prstGeom>
                        </pic:spPr>
                      </pic:pic>
                    </a:graphicData>
                  </a:graphic>
                </wp:inline>
              </w:drawing>
            </w:r>
          </w:p>
          <w:p w14:paraId="379B2DA4" w14:textId="77777777" w:rsidR="00676A98" w:rsidRPr="00676A98" w:rsidRDefault="00676A98" w:rsidP="008852C9">
            <w:r w:rsidRPr="00676A98">
              <w:t>Arba išaiškinti kokie bordiūrai numatomi tarp asfalto ir trinkelių danga.</w:t>
            </w:r>
          </w:p>
        </w:tc>
        <w:tc>
          <w:tcPr>
            <w:tcW w:w="4685" w:type="dxa"/>
          </w:tcPr>
          <w:p w14:paraId="5732C18C" w14:textId="77777777" w:rsidR="00676A98" w:rsidRPr="00676A98" w:rsidRDefault="00676A98" w:rsidP="008852C9">
            <w:r w:rsidRPr="00676A98">
              <w:t xml:space="preserve">Numatyti įprasti betoniniai gatvės bortai su šviesos atšvaitais. </w:t>
            </w:r>
          </w:p>
          <w:p w14:paraId="5137F0F3" w14:textId="77777777" w:rsidR="00676A98" w:rsidRPr="00676A98" w:rsidRDefault="00676A98" w:rsidP="008852C9"/>
        </w:tc>
      </w:tr>
      <w:tr w:rsidR="00676A98" w:rsidRPr="00676A98" w14:paraId="526764F6" w14:textId="77777777" w:rsidTr="008852C9">
        <w:tc>
          <w:tcPr>
            <w:tcW w:w="477" w:type="dxa"/>
          </w:tcPr>
          <w:p w14:paraId="6CFF5682" w14:textId="77777777" w:rsidR="00676A98" w:rsidRPr="00676A98" w:rsidRDefault="00676A98" w:rsidP="008852C9">
            <w:pPr>
              <w:jc w:val="both"/>
            </w:pPr>
            <w:r w:rsidRPr="00676A98">
              <w:t>18.</w:t>
            </w:r>
          </w:p>
        </w:tc>
        <w:tc>
          <w:tcPr>
            <w:tcW w:w="4897" w:type="dxa"/>
          </w:tcPr>
          <w:p w14:paraId="1AA6AA12" w14:textId="77777777" w:rsidR="00676A98" w:rsidRPr="00676A98" w:rsidRDefault="00676A98" w:rsidP="008852C9">
            <w:r w:rsidRPr="00676A98">
              <w:t>Deltuvos gatvė patenka į kultūros paveldo zoną. Prašome nurodyti, ar Tiekėjams reikia įsivertinti archeologinių žvalgomųjų darbų kainą. Jei taip, kurioje vietoje, nes žiniaraščiuose tokios eilutės nėra.</w:t>
            </w:r>
          </w:p>
        </w:tc>
        <w:tc>
          <w:tcPr>
            <w:tcW w:w="4685" w:type="dxa"/>
          </w:tcPr>
          <w:p w14:paraId="06D73D4C" w14:textId="77777777" w:rsidR="00676A98" w:rsidRPr="00676A98" w:rsidRDefault="00676A98" w:rsidP="008852C9">
            <w:r w:rsidRPr="00676A98">
              <w:t xml:space="preserve">Vertinti nereikia </w:t>
            </w:r>
          </w:p>
          <w:p w14:paraId="0A574E66" w14:textId="77777777" w:rsidR="00676A98" w:rsidRPr="00676A98" w:rsidRDefault="00676A98" w:rsidP="008852C9">
            <w:r w:rsidRPr="00676A98">
              <w:t>(žiūrėti į 12 klausimo atsakymą).</w:t>
            </w:r>
          </w:p>
        </w:tc>
      </w:tr>
      <w:tr w:rsidR="00676A98" w:rsidRPr="00676A98" w14:paraId="2C725C81" w14:textId="77777777" w:rsidTr="008852C9">
        <w:tc>
          <w:tcPr>
            <w:tcW w:w="477" w:type="dxa"/>
          </w:tcPr>
          <w:p w14:paraId="63991D43" w14:textId="77777777" w:rsidR="00676A98" w:rsidRPr="00676A98" w:rsidRDefault="00676A98" w:rsidP="008852C9">
            <w:pPr>
              <w:jc w:val="both"/>
            </w:pPr>
            <w:r w:rsidRPr="00676A98">
              <w:t>19.</w:t>
            </w:r>
          </w:p>
        </w:tc>
        <w:tc>
          <w:tcPr>
            <w:tcW w:w="4897" w:type="dxa"/>
          </w:tcPr>
          <w:p w14:paraId="040482C3" w14:textId="77777777" w:rsidR="00676A98" w:rsidRPr="00676A98" w:rsidRDefault="00676A98" w:rsidP="008852C9">
            <w:r w:rsidRPr="00676A98">
              <w:t>Ar šiame pirkime netaikomi reikalavimai dėl nacionalinio saugumo?</w:t>
            </w:r>
          </w:p>
        </w:tc>
        <w:tc>
          <w:tcPr>
            <w:tcW w:w="4685" w:type="dxa"/>
          </w:tcPr>
          <w:p w14:paraId="3C192A23" w14:textId="77777777" w:rsidR="00676A98" w:rsidRPr="00676A98" w:rsidRDefault="00676A98" w:rsidP="008852C9">
            <w:r w:rsidRPr="00676A98">
              <w:t>Netaikomi.</w:t>
            </w:r>
          </w:p>
        </w:tc>
      </w:tr>
      <w:tr w:rsidR="00676A98" w:rsidRPr="00676A98" w14:paraId="5FC19E5C" w14:textId="77777777" w:rsidTr="008852C9">
        <w:tc>
          <w:tcPr>
            <w:tcW w:w="477" w:type="dxa"/>
          </w:tcPr>
          <w:p w14:paraId="3A5387E5" w14:textId="77777777" w:rsidR="00676A98" w:rsidRPr="00676A98" w:rsidRDefault="00676A98" w:rsidP="008852C9">
            <w:pPr>
              <w:jc w:val="both"/>
            </w:pPr>
            <w:r w:rsidRPr="00676A98">
              <w:t>20.</w:t>
            </w:r>
          </w:p>
        </w:tc>
        <w:tc>
          <w:tcPr>
            <w:tcW w:w="4897" w:type="dxa"/>
          </w:tcPr>
          <w:p w14:paraId="31913D86" w14:textId="77777777" w:rsidR="00676A98" w:rsidRPr="00676A98" w:rsidRDefault="00676A98" w:rsidP="008852C9">
            <w:r w:rsidRPr="00676A98">
              <w:t>Dėl lietaus nuotekų:</w:t>
            </w:r>
          </w:p>
          <w:p w14:paraId="2BF215A6" w14:textId="77777777" w:rsidR="00676A98" w:rsidRPr="00676A98" w:rsidRDefault="00676A98" w:rsidP="008852C9">
            <w:r w:rsidRPr="00676A98">
              <w:t>1. Prašome pateikti lietaus nuotekų D 200 išilginius pjūvius.</w:t>
            </w:r>
          </w:p>
          <w:p w14:paraId="01353E3A" w14:textId="77777777" w:rsidR="00676A98" w:rsidRPr="00676A98" w:rsidRDefault="00676A98" w:rsidP="008852C9"/>
          <w:p w14:paraId="72A0DE08" w14:textId="77777777" w:rsidR="00676A98" w:rsidRPr="00676A98" w:rsidRDefault="00676A98" w:rsidP="008852C9">
            <w:r w:rsidRPr="00676A98">
              <w:t xml:space="preserve">2. Nurodykite, kiek šioje atkarpoje yra naujai statomų trapų D 700? Arba kiek m3 skaičiuota vienam D 700 šulinėliui? Žiniaraštyje duota 11 m3 - neaiškus tikslus skaičius. </w:t>
            </w:r>
          </w:p>
          <w:p w14:paraId="2072C422" w14:textId="77777777" w:rsidR="00676A98" w:rsidRPr="00676A98" w:rsidRDefault="00676A98" w:rsidP="008852C9"/>
          <w:p w14:paraId="6DDB08AB" w14:textId="77777777" w:rsidR="00676A98" w:rsidRPr="00676A98" w:rsidRDefault="00676A98" w:rsidP="008852C9">
            <w:r w:rsidRPr="00676A98">
              <w:t>3. Ar komunikacijų žymėjimo ženklai 48 vnt. skirti lietaus surinkimo šulinėliams nužymėti? (pastaba - Vilniaus mieste surinkimo šulinėliams nereikalaujama ženklų).</w:t>
            </w:r>
          </w:p>
          <w:p w14:paraId="06E86A6E" w14:textId="77777777" w:rsidR="00676A98" w:rsidRPr="00676A98" w:rsidRDefault="00676A98" w:rsidP="008852C9"/>
          <w:p w14:paraId="1D47BD6D" w14:textId="77777777" w:rsidR="00676A98" w:rsidRPr="00676A98" w:rsidRDefault="00676A98" w:rsidP="008852C9">
            <w:r w:rsidRPr="00676A98">
              <w:t>4. Žiniaraštyje prie vamzdyno D 200 įrengimo nurodyta, kad reikia vertinti dangų ardymą /atstatymą. Prašome nurodyti kiekius pagal dangų rūšis.</w:t>
            </w:r>
          </w:p>
        </w:tc>
        <w:tc>
          <w:tcPr>
            <w:tcW w:w="4685" w:type="dxa"/>
          </w:tcPr>
          <w:p w14:paraId="643AD2AA" w14:textId="77777777" w:rsidR="00676A98" w:rsidRPr="007F458E" w:rsidRDefault="00676A98" w:rsidP="008852C9">
            <w:r w:rsidRPr="007F458E">
              <w:t>1. Vadovautis detalizacija NŠ.B-06 ir STR 2.07.01:2003 p. 455 ( Paviršinių (lietaus) nuotekų surinkimo šulinėlių (trapų) jungiamuosius vamzdžius tiesti ne mažesniu, kaip i=0,02 (2%) nuolydžiu).</w:t>
            </w:r>
          </w:p>
          <w:p w14:paraId="3FB0BC51" w14:textId="77777777" w:rsidR="00676A98" w:rsidRPr="007F458E" w:rsidRDefault="00676A98" w:rsidP="008852C9">
            <w:r w:rsidRPr="007F458E">
              <w:t> </w:t>
            </w:r>
          </w:p>
          <w:p w14:paraId="7A35533A" w14:textId="77777777" w:rsidR="00676A98" w:rsidRPr="007F458E" w:rsidRDefault="00676A98" w:rsidP="008852C9">
            <w:r w:rsidRPr="007F458E">
              <w:t xml:space="preserve">2. </w:t>
            </w:r>
            <w:r w:rsidRPr="00676A98">
              <w:t xml:space="preserve">Vadovautis Darbų kiekų žiniaraščiu. </w:t>
            </w:r>
            <w:r w:rsidRPr="007F458E">
              <w:t>NŠ dalyje numatyta naujai įrengti:</w:t>
            </w:r>
          </w:p>
          <w:p w14:paraId="6AC6D62C" w14:textId="77777777" w:rsidR="00676A98" w:rsidRPr="007F458E" w:rsidRDefault="00676A98" w:rsidP="008852C9">
            <w:r w:rsidRPr="007F458E">
              <w:t>Deltuvos gatvė (tarp Kauno ir Žiedo gatvių)</w:t>
            </w:r>
          </w:p>
          <w:p w14:paraId="69134ACC" w14:textId="77777777" w:rsidR="00676A98" w:rsidRPr="007F458E" w:rsidRDefault="00676A98" w:rsidP="008852C9">
            <w:r w:rsidRPr="007F458E">
              <w:t>Ø700 mm (gatvės trapas) - 3 vnt</w:t>
            </w:r>
            <w:r w:rsidRPr="00676A98">
              <w:t>.</w:t>
            </w:r>
            <w:r w:rsidRPr="007F458E">
              <w:t>;</w:t>
            </w:r>
          </w:p>
          <w:p w14:paraId="242954D8" w14:textId="77777777" w:rsidR="00676A98" w:rsidRPr="007F458E" w:rsidRDefault="00676A98" w:rsidP="008852C9">
            <w:r w:rsidRPr="007F458E">
              <w:t>Ø700 mm (bortinis trapas) - 45 vnt</w:t>
            </w:r>
            <w:r w:rsidRPr="00676A98">
              <w:t>.</w:t>
            </w:r>
          </w:p>
          <w:p w14:paraId="60A8A90D" w14:textId="77777777" w:rsidR="00676A98" w:rsidRPr="007F458E" w:rsidRDefault="00676A98" w:rsidP="008852C9">
            <w:r w:rsidRPr="007F458E">
              <w:t> </w:t>
            </w:r>
          </w:p>
          <w:p w14:paraId="416A359C" w14:textId="77777777" w:rsidR="00676A98" w:rsidRPr="00676A98" w:rsidRDefault="00676A98" w:rsidP="008852C9">
            <w:r w:rsidRPr="007F458E">
              <w:t xml:space="preserve">3.Vadovautis </w:t>
            </w:r>
            <w:r w:rsidRPr="00676A98">
              <w:t xml:space="preserve">Darbų kiekų </w:t>
            </w:r>
            <w:r w:rsidRPr="007F458E">
              <w:t>žiniaraščiu.</w:t>
            </w:r>
          </w:p>
          <w:p w14:paraId="22976C01" w14:textId="77777777" w:rsidR="00676A98" w:rsidRPr="007F458E" w:rsidRDefault="00676A98" w:rsidP="008852C9"/>
          <w:p w14:paraId="26171D09" w14:textId="77777777" w:rsidR="00676A98" w:rsidRPr="00676A98" w:rsidRDefault="00676A98" w:rsidP="008852C9">
            <w:r w:rsidRPr="00676A98">
              <w:t>4. Atstatomų dangų kiekiai įvertinti PS22-14-TDP-SMG Susisiekimo. Miesto gatvių dalyje.</w:t>
            </w:r>
          </w:p>
        </w:tc>
      </w:tr>
      <w:tr w:rsidR="00676A98" w:rsidRPr="00676A98" w14:paraId="25E90B8A" w14:textId="77777777" w:rsidTr="008852C9">
        <w:tc>
          <w:tcPr>
            <w:tcW w:w="477" w:type="dxa"/>
          </w:tcPr>
          <w:p w14:paraId="21E52330" w14:textId="77777777" w:rsidR="00676A98" w:rsidRPr="00676A98" w:rsidRDefault="00676A98" w:rsidP="008852C9">
            <w:pPr>
              <w:jc w:val="both"/>
            </w:pPr>
            <w:r w:rsidRPr="00676A98">
              <w:t>21.</w:t>
            </w:r>
          </w:p>
        </w:tc>
        <w:tc>
          <w:tcPr>
            <w:tcW w:w="4897" w:type="dxa"/>
          </w:tcPr>
          <w:p w14:paraId="6E83B443" w14:textId="77777777" w:rsidR="00676A98" w:rsidRPr="00676A98" w:rsidRDefault="00676A98" w:rsidP="008852C9">
            <w:r w:rsidRPr="00676A98">
              <w:t>Dėl vandentiekio tinklų:</w:t>
            </w:r>
          </w:p>
          <w:p w14:paraId="4DA767A6" w14:textId="77777777" w:rsidR="00676A98" w:rsidRPr="00676A98" w:rsidRDefault="00676A98" w:rsidP="008852C9">
            <w:r w:rsidRPr="00676A98">
              <w:t>1. Pateikite išilginius pjūvius vandentiekio trasai.</w:t>
            </w:r>
          </w:p>
          <w:p w14:paraId="2A402824" w14:textId="77777777" w:rsidR="00676A98" w:rsidRPr="00676A98" w:rsidRDefault="00676A98" w:rsidP="008852C9">
            <w:r w:rsidRPr="00676A98">
              <w:t>2. Žiniaraštyje nurodyta perkelti esamus hidrantus. Jei bus nustatyta, kad kažkuris iš esamų hidrantų nekokybiškas/ neveikiantis – ar bus apmokėta už pakeitimą nauju?</w:t>
            </w:r>
          </w:p>
        </w:tc>
        <w:tc>
          <w:tcPr>
            <w:tcW w:w="4685" w:type="dxa"/>
          </w:tcPr>
          <w:p w14:paraId="7A50C8F0" w14:textId="77777777" w:rsidR="00676A98" w:rsidRPr="00676A98" w:rsidRDefault="00676A98" w:rsidP="008852C9">
            <w:r w:rsidRPr="007F458E">
              <w:t xml:space="preserve">1.Vadovautis aiškinamuoju raštu (NŠ.AR 6.p.) Vandentiekio vamzdynų įgilinimas pagal STR 2.07.01 turi būti ≥ 0,5 m įšalo gylio, </w:t>
            </w:r>
            <w:proofErr w:type="spellStart"/>
            <w:r w:rsidRPr="007F458E">
              <w:t>t.y</w:t>
            </w:r>
            <w:proofErr w:type="spellEnd"/>
            <w:r w:rsidRPr="007F458E">
              <w:t xml:space="preserve">. pagal RSN 156-94 Statybinę klimatologija (arčiausias stebėjimo punktas) maksimalus dirvožemio įšalimo gylis galimas vieną kartą per 50 metų yra 1,40 m. Remiantis šia informacija vandentiekio vamzdynų įgilinimas turi būti ≥ 1,90 m (1,40+0,50) iki </w:t>
            </w:r>
            <w:r w:rsidRPr="007F458E">
              <w:lastRenderedPageBreak/>
              <w:t>vamzdžio viršaus, įvertinus esamą žemės/gatvių paviršių.</w:t>
            </w:r>
          </w:p>
          <w:p w14:paraId="0839938E" w14:textId="77777777" w:rsidR="00676A98" w:rsidRPr="007F458E" w:rsidRDefault="00676A98" w:rsidP="008852C9"/>
          <w:p w14:paraId="23DE6583" w14:textId="77777777" w:rsidR="00676A98" w:rsidRPr="00676A98" w:rsidRDefault="00676A98" w:rsidP="008852C9">
            <w:r w:rsidRPr="00676A98">
              <w:t>2. Jeigu atsiras būtinybė esamą hidrantą keisti nauju, Tiekėjui bus apmokama už šią naują nenumatytą prekę (pagal Kainodaros taisyklių nustatymo metodikos sutarties keitimo sąlygas, taikomas fiksuoto įkainio kainodarai).</w:t>
            </w:r>
          </w:p>
        </w:tc>
      </w:tr>
      <w:tr w:rsidR="00676A98" w:rsidRPr="00676A98" w14:paraId="08D1D692" w14:textId="77777777" w:rsidTr="008852C9">
        <w:tc>
          <w:tcPr>
            <w:tcW w:w="477" w:type="dxa"/>
          </w:tcPr>
          <w:p w14:paraId="786C6267" w14:textId="77777777" w:rsidR="00676A98" w:rsidRPr="00676A98" w:rsidRDefault="00676A98" w:rsidP="008852C9">
            <w:pPr>
              <w:jc w:val="both"/>
            </w:pPr>
            <w:r w:rsidRPr="00676A98">
              <w:lastRenderedPageBreak/>
              <w:t>22.</w:t>
            </w:r>
          </w:p>
        </w:tc>
        <w:tc>
          <w:tcPr>
            <w:tcW w:w="4897" w:type="dxa"/>
          </w:tcPr>
          <w:p w14:paraId="71080F3D" w14:textId="77777777" w:rsidR="00676A98" w:rsidRPr="00676A98" w:rsidRDefault="00676A98" w:rsidP="008852C9">
            <w:pPr>
              <w:rPr>
                <w:color w:val="000000"/>
              </w:rPr>
            </w:pPr>
            <w:r w:rsidRPr="00676A98">
              <w:rPr>
                <w:rStyle w:val="fontstyle01"/>
              </w:rPr>
              <w:t>Rangovas, siekdamas pateikti konkurencingą pasiūlymą, atitinkantį pirkimo sąlygas,</w:t>
            </w:r>
            <w:r w:rsidRPr="00676A98">
              <w:rPr>
                <w:color w:val="000000"/>
              </w:rPr>
              <w:t xml:space="preserve"> </w:t>
            </w:r>
            <w:r w:rsidRPr="00676A98">
              <w:rPr>
                <w:rStyle w:val="fontstyle01"/>
              </w:rPr>
              <w:t>projektinę dokumentaciją, bei vadovaudamasis Lietuvos Respublikos viešųjų pirkimų įstatymo</w:t>
            </w:r>
            <w:r w:rsidRPr="00676A98">
              <w:t xml:space="preserve"> </w:t>
            </w:r>
            <w:r w:rsidRPr="00676A98">
              <w:rPr>
                <w:rStyle w:val="fontstyle01"/>
              </w:rPr>
              <w:t>nuostatomis, įtvirtintomis 35 str. 4 dalyje, kad „Pirkimo dokumentai turi būti tikslūs, aiškūs, be</w:t>
            </w:r>
            <w:r w:rsidRPr="00676A98">
              <w:t xml:space="preserve"> </w:t>
            </w:r>
            <w:r w:rsidRPr="00676A98">
              <w:rPr>
                <w:rStyle w:val="fontstyle01"/>
              </w:rPr>
              <w:t>dviprasmybių, kad tiekėjai galėtų pateikti pasiūlymus, o perkančioji organizacija – nupirkti tai, ko</w:t>
            </w:r>
            <w:r w:rsidRPr="00676A98">
              <w:rPr>
                <w:color w:val="000000"/>
              </w:rPr>
              <w:t xml:space="preserve"> </w:t>
            </w:r>
            <w:r w:rsidRPr="00676A98">
              <w:rPr>
                <w:rStyle w:val="fontstyle01"/>
              </w:rPr>
              <w:t>reikia“, prašo Perkančiosios organizacijos pateikti Techninį / Technini darbo projektą DWG formatu. Perkančiajai</w:t>
            </w:r>
            <w:r w:rsidRPr="00676A98">
              <w:rPr>
                <w:color w:val="000000"/>
              </w:rPr>
              <w:t xml:space="preserve"> </w:t>
            </w:r>
            <w:r w:rsidRPr="00676A98">
              <w:rPr>
                <w:rStyle w:val="fontstyle01"/>
              </w:rPr>
              <w:t>organizacijai atsisakius pateikti projektą DWG formatu, kylanti rizika dėl neatitikimų Projekte tarp</w:t>
            </w:r>
            <w:r w:rsidRPr="00676A98">
              <w:rPr>
                <w:color w:val="000000"/>
              </w:rPr>
              <w:t xml:space="preserve"> </w:t>
            </w:r>
            <w:r w:rsidRPr="00676A98">
              <w:rPr>
                <w:rStyle w:val="fontstyle01"/>
              </w:rPr>
              <w:t>Projekto brėžinių, techninių specifikacijų ir žiniaraščių, turės būti priskirta Užsakovui. Tiekėjas</w:t>
            </w:r>
            <w:r w:rsidRPr="00676A98">
              <w:rPr>
                <w:color w:val="000000"/>
              </w:rPr>
              <w:t xml:space="preserve"> </w:t>
            </w:r>
            <w:r w:rsidRPr="00676A98">
              <w:rPr>
                <w:rStyle w:val="fontstyle01"/>
              </w:rPr>
              <w:t>pabrėžia, kad dėl ribotų techninių galimybių, kai reikšminga pasiūlymo sudarymui informacija</w:t>
            </w:r>
            <w:r w:rsidRPr="00676A98">
              <w:rPr>
                <w:color w:val="000000"/>
              </w:rPr>
              <w:t xml:space="preserve"> </w:t>
            </w:r>
            <w:r w:rsidRPr="00676A98">
              <w:rPr>
                <w:rStyle w:val="fontstyle01"/>
              </w:rPr>
              <w:t>nepateikiama DWG formatu, o tik PDF formatu, Tiekėjai neturi objektyvių galimybių įsivertinti</w:t>
            </w:r>
            <w:r w:rsidRPr="00676A98">
              <w:rPr>
                <w:color w:val="000000"/>
              </w:rPr>
              <w:t xml:space="preserve"> </w:t>
            </w:r>
            <w:r w:rsidRPr="00676A98">
              <w:rPr>
                <w:rStyle w:val="fontstyle01"/>
              </w:rPr>
              <w:t>riziką dėl galimų neatitikimų projektinėje dokumentacijoje, dėl ko yra ribojama jų galimybė</w:t>
            </w:r>
            <w:r w:rsidRPr="00676A98">
              <w:rPr>
                <w:color w:val="000000"/>
              </w:rPr>
              <w:t xml:space="preserve"> </w:t>
            </w:r>
            <w:r w:rsidRPr="00676A98">
              <w:rPr>
                <w:rStyle w:val="fontstyle01"/>
              </w:rPr>
              <w:t>tinkamai įsivertinti rizikas vienodai ir pateikti vienodai konkurencingą pasiūlymą.</w:t>
            </w:r>
          </w:p>
        </w:tc>
        <w:tc>
          <w:tcPr>
            <w:tcW w:w="4685" w:type="dxa"/>
          </w:tcPr>
          <w:p w14:paraId="5D3D80E2" w14:textId="77777777" w:rsidR="00676A98" w:rsidRPr="00676A98" w:rsidRDefault="00676A98" w:rsidP="008852C9">
            <w:r w:rsidRPr="00676A98">
              <w:t>Perkančioji organizacija Techninio darbo projekto DWG formatu neteiks, nes visa informacija pateikta PDF formatu, kurios pakanka pasiūlymui parengti.</w:t>
            </w:r>
          </w:p>
          <w:p w14:paraId="1B864355" w14:textId="77777777" w:rsidR="00676A98" w:rsidRPr="00676A98" w:rsidRDefault="00676A98" w:rsidP="008852C9">
            <w:r w:rsidRPr="00676A98">
              <w:t>DWG formatu Techninis darbo projektas bus pateiktas pirkimo laimėtojui.</w:t>
            </w:r>
          </w:p>
        </w:tc>
      </w:tr>
      <w:tr w:rsidR="00676A98" w:rsidRPr="00676A98" w14:paraId="19E96643" w14:textId="77777777" w:rsidTr="008852C9">
        <w:tc>
          <w:tcPr>
            <w:tcW w:w="477" w:type="dxa"/>
          </w:tcPr>
          <w:p w14:paraId="75214579" w14:textId="77777777" w:rsidR="00676A98" w:rsidRPr="00676A98" w:rsidRDefault="00676A98" w:rsidP="008852C9">
            <w:pPr>
              <w:jc w:val="both"/>
            </w:pPr>
            <w:r w:rsidRPr="00676A98">
              <w:t>23.</w:t>
            </w:r>
          </w:p>
        </w:tc>
        <w:tc>
          <w:tcPr>
            <w:tcW w:w="4897" w:type="dxa"/>
          </w:tcPr>
          <w:p w14:paraId="18733A21" w14:textId="77777777" w:rsidR="00676A98" w:rsidRPr="00676A98" w:rsidRDefault="00676A98" w:rsidP="008852C9">
            <w:pPr>
              <w:rPr>
                <w:color w:val="000000"/>
              </w:rPr>
            </w:pPr>
            <w:r w:rsidRPr="00676A98">
              <w:rPr>
                <w:rStyle w:val="fontstyle01"/>
              </w:rPr>
              <w:t>Prašome patvirtinti, jog vykdant objekto statybos darbus Rangovams, susiderinus su Ukmergės RSA ir kitomis atsakingomis institucijomis, bus galima keisti projekto SO dalyje numatytus sprendinius, t. y. esant poreikiui eismą organizuoti apylankomis ar taikyti individualias eismo schemas.</w:t>
            </w:r>
          </w:p>
        </w:tc>
        <w:tc>
          <w:tcPr>
            <w:tcW w:w="4685" w:type="dxa"/>
          </w:tcPr>
          <w:p w14:paraId="1789D18B" w14:textId="77777777" w:rsidR="00676A98" w:rsidRPr="00676A98" w:rsidRDefault="00676A98" w:rsidP="008852C9">
            <w:r w:rsidRPr="00676A98">
              <w:t>Patvirtiname.</w:t>
            </w:r>
          </w:p>
          <w:p w14:paraId="1D3874E6" w14:textId="77777777" w:rsidR="00676A98" w:rsidRPr="00676A98" w:rsidRDefault="00676A98" w:rsidP="008852C9"/>
        </w:tc>
      </w:tr>
      <w:tr w:rsidR="00676A98" w:rsidRPr="00676A98" w14:paraId="2A72873A" w14:textId="77777777" w:rsidTr="008852C9">
        <w:tc>
          <w:tcPr>
            <w:tcW w:w="477" w:type="dxa"/>
          </w:tcPr>
          <w:p w14:paraId="2A04CF7D" w14:textId="77777777" w:rsidR="00676A98" w:rsidRPr="00676A98" w:rsidRDefault="00676A98" w:rsidP="008852C9">
            <w:pPr>
              <w:jc w:val="both"/>
            </w:pPr>
            <w:r w:rsidRPr="00676A98">
              <w:t>24.</w:t>
            </w:r>
          </w:p>
        </w:tc>
        <w:tc>
          <w:tcPr>
            <w:tcW w:w="4897" w:type="dxa"/>
          </w:tcPr>
          <w:p w14:paraId="1598BC43" w14:textId="77777777" w:rsidR="00676A98" w:rsidRPr="00676A98" w:rsidRDefault="00676A98" w:rsidP="008852C9">
            <w:r w:rsidRPr="00676A98">
              <w:t>Žiniaraščio susisiekimo dalis 14 skyriaus pozicija 14.3 „Paklotų kabelių apsauga surenkamais gaubtais atkasant kabelius, kai surenkamo gaubto skersmuo 110 mm“ kiekis 595 m." Brėžiniuose nerandame kabelių apsauginių vamzdžių įrengimo, ir prašome nurodyti kieno tai kabeliai (elektros ar ryšių).</w:t>
            </w:r>
          </w:p>
        </w:tc>
        <w:tc>
          <w:tcPr>
            <w:tcW w:w="4685" w:type="dxa"/>
          </w:tcPr>
          <w:p w14:paraId="1F7B259E" w14:textId="77777777" w:rsidR="00676A98" w:rsidRPr="007F458E" w:rsidRDefault="00676A98" w:rsidP="008852C9">
            <w:r w:rsidRPr="007F458E">
              <w:t xml:space="preserve">Prašome dar kartą peržiūrėti brėžinius, ypač suvestinį inžinerinių tinklų planą. Apsauginiai kabelių vamzdžiai sužymėti </w:t>
            </w:r>
            <w:proofErr w:type="spellStart"/>
            <w:r w:rsidRPr="007F458E">
              <w:t>magenta</w:t>
            </w:r>
            <w:proofErr w:type="spellEnd"/>
            <w:r w:rsidRPr="007F458E">
              <w:t xml:space="preserve"> spalva, linijos tipas – brūkšniuota. </w:t>
            </w:r>
          </w:p>
          <w:p w14:paraId="525ED89E" w14:textId="77777777" w:rsidR="00676A98" w:rsidRPr="007F458E" w:rsidRDefault="00676A98" w:rsidP="008852C9">
            <w:r w:rsidRPr="007F458E">
              <w:t> </w:t>
            </w:r>
          </w:p>
          <w:p w14:paraId="1BA90469" w14:textId="77777777" w:rsidR="00676A98" w:rsidRPr="007F458E" w:rsidRDefault="00676A98" w:rsidP="008852C9">
            <w:r w:rsidRPr="00676A98">
              <w:drawing>
                <wp:inline distT="0" distB="0" distL="0" distR="0" wp14:anchorId="7947C365" wp14:editId="511FF64C">
                  <wp:extent cx="3832860" cy="525780"/>
                  <wp:effectExtent l="0" t="0" r="15240" b="7620"/>
                  <wp:docPr id="1591490769"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3832860" cy="525780"/>
                          </a:xfrm>
                          <a:prstGeom prst="rect">
                            <a:avLst/>
                          </a:prstGeom>
                          <a:noFill/>
                          <a:ln>
                            <a:noFill/>
                          </a:ln>
                        </pic:spPr>
                      </pic:pic>
                    </a:graphicData>
                  </a:graphic>
                </wp:inline>
              </w:drawing>
            </w:r>
          </w:p>
          <w:p w14:paraId="3E1AEFE9" w14:textId="77777777" w:rsidR="00676A98" w:rsidRPr="00676A98" w:rsidRDefault="00676A98" w:rsidP="008852C9">
            <w:r w:rsidRPr="00676A98">
              <w:lastRenderedPageBreak/>
              <w:drawing>
                <wp:inline distT="0" distB="0" distL="0" distR="0" wp14:anchorId="52389E25" wp14:editId="6117D7CB">
                  <wp:extent cx="2712720" cy="904240"/>
                  <wp:effectExtent l="0" t="0" r="0" b="0"/>
                  <wp:docPr id="411649132"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2712720" cy="904240"/>
                          </a:xfrm>
                          <a:prstGeom prst="rect">
                            <a:avLst/>
                          </a:prstGeom>
                          <a:noFill/>
                          <a:ln>
                            <a:noFill/>
                          </a:ln>
                        </pic:spPr>
                      </pic:pic>
                    </a:graphicData>
                  </a:graphic>
                </wp:inline>
              </w:drawing>
            </w:r>
          </w:p>
        </w:tc>
      </w:tr>
      <w:bookmarkEnd w:id="0"/>
    </w:tbl>
    <w:p w14:paraId="1A0AD0E2" w14:textId="77777777" w:rsidR="00664072" w:rsidRDefault="00664072" w:rsidP="00664072"/>
    <w:p w14:paraId="0A89AF12" w14:textId="77777777" w:rsidR="00676A98" w:rsidRPr="00676A98" w:rsidRDefault="00676A98" w:rsidP="00664072"/>
    <w:p w14:paraId="5B430F65" w14:textId="77777777" w:rsidR="00676A98" w:rsidRDefault="00676A98" w:rsidP="00676A98">
      <w:pPr>
        <w:jc w:val="both"/>
        <w:rPr>
          <w:rFonts w:asciiTheme="majorBidi" w:hAnsiTheme="majorBidi" w:cstheme="majorBidi"/>
        </w:rPr>
      </w:pPr>
      <w:r>
        <w:rPr>
          <w:rFonts w:asciiTheme="majorBidi" w:hAnsiTheme="majorBidi" w:cstheme="majorBidi"/>
        </w:rPr>
        <w:t xml:space="preserve">PRIDEDAMA: </w:t>
      </w:r>
    </w:p>
    <w:p w14:paraId="36B27EAB" w14:textId="77777777" w:rsidR="00676A98" w:rsidRPr="002F76C2" w:rsidRDefault="00676A98" w:rsidP="00676A98">
      <w:pPr>
        <w:jc w:val="both"/>
        <w:rPr>
          <w:rFonts w:asciiTheme="majorBidi" w:hAnsiTheme="majorBidi" w:cstheme="majorBidi"/>
        </w:rPr>
      </w:pPr>
      <w:r>
        <w:rPr>
          <w:rFonts w:asciiTheme="majorBidi" w:hAnsiTheme="majorBidi" w:cstheme="majorBidi"/>
        </w:rPr>
        <w:t xml:space="preserve">1. Sąlygų 5 priedas – Darbų kiekių </w:t>
      </w:r>
      <w:r w:rsidRPr="002F76C2">
        <w:rPr>
          <w:rFonts w:asciiTheme="majorBidi" w:hAnsiTheme="majorBidi" w:cstheme="majorBidi"/>
        </w:rPr>
        <w:t>žiniaraščiai. 2025-03-14 Redakcija.</w:t>
      </w:r>
    </w:p>
    <w:p w14:paraId="78B22BF3" w14:textId="77777777" w:rsidR="00676A98" w:rsidRDefault="00676A98" w:rsidP="00676A98">
      <w:pPr>
        <w:jc w:val="both"/>
        <w:rPr>
          <w:rFonts w:asciiTheme="majorBidi" w:hAnsiTheme="majorBidi" w:cstheme="majorBidi"/>
        </w:rPr>
      </w:pPr>
      <w:r w:rsidRPr="002F76C2">
        <w:rPr>
          <w:rFonts w:asciiTheme="majorBidi" w:hAnsiTheme="majorBidi" w:cstheme="majorBidi"/>
        </w:rPr>
        <w:t>2. Sąlygų 8 priedas – Sutarties projektas. 2025-03-14 redakcija.</w:t>
      </w:r>
    </w:p>
    <w:p w14:paraId="6459C6E6" w14:textId="77777777" w:rsidR="000B56F4" w:rsidRDefault="000B56F4" w:rsidP="00664072"/>
    <w:p w14:paraId="2BFC301D" w14:textId="77777777" w:rsidR="001019B0" w:rsidRDefault="001019B0" w:rsidP="00664072"/>
    <w:p w14:paraId="005EA459" w14:textId="77777777" w:rsidR="00733308" w:rsidRPr="00676A98" w:rsidRDefault="00733308" w:rsidP="00664072"/>
    <w:p w14:paraId="065D6CDF" w14:textId="2987E3C6" w:rsidR="00382263" w:rsidRDefault="00664072" w:rsidP="00BE1A17">
      <w:r w:rsidRPr="00676A98">
        <w:t>Viešojo pirkimo komisija</w:t>
      </w:r>
    </w:p>
    <w:sectPr w:rsidR="00382263" w:rsidSect="008709DC">
      <w:headerReference w:type="default" r:id="rId1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AFE5B" w14:textId="77777777" w:rsidR="008709DC" w:rsidRDefault="008709DC" w:rsidP="008709DC">
      <w:r>
        <w:separator/>
      </w:r>
    </w:p>
  </w:endnote>
  <w:endnote w:type="continuationSeparator" w:id="0">
    <w:p w14:paraId="586D660E" w14:textId="77777777" w:rsidR="008709DC" w:rsidRDefault="008709DC" w:rsidP="00870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17A1C" w14:textId="77777777" w:rsidR="008709DC" w:rsidRDefault="008709DC" w:rsidP="008709DC">
      <w:r>
        <w:separator/>
      </w:r>
    </w:p>
  </w:footnote>
  <w:footnote w:type="continuationSeparator" w:id="0">
    <w:p w14:paraId="7A582DA9" w14:textId="77777777" w:rsidR="008709DC" w:rsidRDefault="008709DC" w:rsidP="00870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8898889"/>
      <w:docPartObj>
        <w:docPartGallery w:val="Page Numbers (Top of Page)"/>
        <w:docPartUnique/>
      </w:docPartObj>
    </w:sdtPr>
    <w:sdtEndPr/>
    <w:sdtContent>
      <w:p w14:paraId="74C2E9FF" w14:textId="77777777" w:rsidR="008709DC" w:rsidRDefault="008709DC">
        <w:pPr>
          <w:pStyle w:val="Antrats"/>
          <w:jc w:val="center"/>
        </w:pPr>
        <w:r>
          <w:fldChar w:fldCharType="begin"/>
        </w:r>
        <w:r>
          <w:instrText>PAGE   \* MERGEFORMAT</w:instrText>
        </w:r>
        <w:r>
          <w:fldChar w:fldCharType="separate"/>
        </w:r>
        <w:r>
          <w:t>2</w:t>
        </w:r>
        <w:r>
          <w:fldChar w:fldCharType="end"/>
        </w:r>
      </w:p>
    </w:sdtContent>
  </w:sdt>
  <w:p w14:paraId="7497E414" w14:textId="77777777" w:rsidR="008709DC" w:rsidRDefault="008709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553DAA"/>
    <w:multiLevelType w:val="hybridMultilevel"/>
    <w:tmpl w:val="14B49184"/>
    <w:lvl w:ilvl="0" w:tplc="0622B34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104766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072"/>
    <w:rsid w:val="00004883"/>
    <w:rsid w:val="00052818"/>
    <w:rsid w:val="00053C8C"/>
    <w:rsid w:val="00060BAF"/>
    <w:rsid w:val="00080D94"/>
    <w:rsid w:val="00081491"/>
    <w:rsid w:val="000B56F4"/>
    <w:rsid w:val="001019B0"/>
    <w:rsid w:val="00126893"/>
    <w:rsid w:val="002043AF"/>
    <w:rsid w:val="00204B2A"/>
    <w:rsid w:val="00291D4D"/>
    <w:rsid w:val="002A3DE3"/>
    <w:rsid w:val="002B13A3"/>
    <w:rsid w:val="002E73F9"/>
    <w:rsid w:val="002F16F3"/>
    <w:rsid w:val="00313465"/>
    <w:rsid w:val="003173A8"/>
    <w:rsid w:val="00326F59"/>
    <w:rsid w:val="00331196"/>
    <w:rsid w:val="00382263"/>
    <w:rsid w:val="00396583"/>
    <w:rsid w:val="00416024"/>
    <w:rsid w:val="00423329"/>
    <w:rsid w:val="0044718D"/>
    <w:rsid w:val="00494F3D"/>
    <w:rsid w:val="00502C09"/>
    <w:rsid w:val="00515F52"/>
    <w:rsid w:val="005D6DA7"/>
    <w:rsid w:val="00664072"/>
    <w:rsid w:val="00676A98"/>
    <w:rsid w:val="006863AC"/>
    <w:rsid w:val="006C06F4"/>
    <w:rsid w:val="00702FC2"/>
    <w:rsid w:val="00733308"/>
    <w:rsid w:val="00734643"/>
    <w:rsid w:val="00766852"/>
    <w:rsid w:val="007805F4"/>
    <w:rsid w:val="0078199D"/>
    <w:rsid w:val="007C01DE"/>
    <w:rsid w:val="00825B08"/>
    <w:rsid w:val="008709DC"/>
    <w:rsid w:val="00880C04"/>
    <w:rsid w:val="008C4ADF"/>
    <w:rsid w:val="008D228B"/>
    <w:rsid w:val="00917513"/>
    <w:rsid w:val="00921D49"/>
    <w:rsid w:val="00923935"/>
    <w:rsid w:val="00962524"/>
    <w:rsid w:val="00993B81"/>
    <w:rsid w:val="009D12E1"/>
    <w:rsid w:val="00A00B61"/>
    <w:rsid w:val="00A31979"/>
    <w:rsid w:val="00A55A54"/>
    <w:rsid w:val="00A80537"/>
    <w:rsid w:val="00A86C0E"/>
    <w:rsid w:val="00AA25EF"/>
    <w:rsid w:val="00AB2CEB"/>
    <w:rsid w:val="00AC003E"/>
    <w:rsid w:val="00B03AF2"/>
    <w:rsid w:val="00B2148F"/>
    <w:rsid w:val="00B56D27"/>
    <w:rsid w:val="00B83970"/>
    <w:rsid w:val="00BA283A"/>
    <w:rsid w:val="00BE1A17"/>
    <w:rsid w:val="00BE7D78"/>
    <w:rsid w:val="00C02076"/>
    <w:rsid w:val="00C27135"/>
    <w:rsid w:val="00C32344"/>
    <w:rsid w:val="00C5021A"/>
    <w:rsid w:val="00C6402A"/>
    <w:rsid w:val="00CD1C8E"/>
    <w:rsid w:val="00CD3753"/>
    <w:rsid w:val="00D40690"/>
    <w:rsid w:val="00D562CD"/>
    <w:rsid w:val="00D8151B"/>
    <w:rsid w:val="00D90272"/>
    <w:rsid w:val="00DA6A87"/>
    <w:rsid w:val="00DB18C9"/>
    <w:rsid w:val="00DE0164"/>
    <w:rsid w:val="00E26393"/>
    <w:rsid w:val="00E27ACC"/>
    <w:rsid w:val="00E53049"/>
    <w:rsid w:val="00EB1B20"/>
    <w:rsid w:val="00EE2AB4"/>
    <w:rsid w:val="00EF175A"/>
    <w:rsid w:val="00F93ABA"/>
    <w:rsid w:val="00F971BB"/>
    <w:rsid w:val="00FA3681"/>
    <w:rsid w:val="00FD69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1A5E9"/>
  <w15:chartTrackingRefBased/>
  <w15:docId w15:val="{5A4FC2DA-72ED-41E1-A8AF-E15EB6076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4072"/>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664072"/>
    <w:pPr>
      <w:tabs>
        <w:tab w:val="center" w:pos="4153"/>
        <w:tab w:val="right" w:pos="8306"/>
      </w:tabs>
    </w:pPr>
  </w:style>
  <w:style w:type="character" w:customStyle="1" w:styleId="AntratsDiagrama">
    <w:name w:val="Antraštės Diagrama"/>
    <w:basedOn w:val="Numatytasispastraiposriftas"/>
    <w:link w:val="Antrats"/>
    <w:uiPriority w:val="99"/>
    <w:rsid w:val="00664072"/>
    <w:rPr>
      <w:rFonts w:ascii="Times New Roman" w:eastAsia="Times New Roman" w:hAnsi="Times New Roman" w:cs="Times New Roman"/>
      <w:sz w:val="24"/>
      <w:szCs w:val="24"/>
    </w:rPr>
  </w:style>
  <w:style w:type="paragraph" w:styleId="Betarp">
    <w:name w:val="No Spacing"/>
    <w:link w:val="BetarpDiagrama"/>
    <w:uiPriority w:val="1"/>
    <w:qFormat/>
    <w:rsid w:val="00664072"/>
    <w:pPr>
      <w:spacing w:after="0" w:line="240" w:lineRule="auto"/>
    </w:pPr>
    <w:rPr>
      <w:rFonts w:ascii="Times New Roman" w:eastAsia="Times New Roman" w:hAnsi="Times New Roman" w:cs="Times New Roman"/>
      <w:sz w:val="24"/>
      <w:szCs w:val="20"/>
      <w:lang w:eastAsia="lt-LT"/>
    </w:rPr>
  </w:style>
  <w:style w:type="table" w:customStyle="1" w:styleId="Lentelstinklelis112">
    <w:name w:val="Lentelės tinklelis112"/>
    <w:basedOn w:val="prastojilentel"/>
    <w:next w:val="Lentelstinklelis"/>
    <w:uiPriority w:val="59"/>
    <w:rsid w:val="00664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664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Sąrašo pastraipa2,List Paragraph21,lp1,Bullet 1,Use Case List Paragraph,List Paragraph111,Paragraph,List Paragraph Red,Sąrašo pastraipa11,Bullet EY,List Paragraph1,List Paragraph2,Numbering,ERP-List Paragraph,List Paragraph11"/>
    <w:basedOn w:val="prastasis"/>
    <w:link w:val="SraopastraipaDiagrama"/>
    <w:uiPriority w:val="34"/>
    <w:qFormat/>
    <w:rsid w:val="00E26393"/>
    <w:pPr>
      <w:spacing w:after="200" w:line="276"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Buletai Diagrama,Sąrašo pastraipa2 Diagrama,List Paragraph21 Diagrama,lp1 Diagrama,Bullet 1 Diagrama,Use Case List Paragraph Diagrama,List Paragraph111 Diagrama,Paragraph Diagrama,List Paragraph Red Diagrama,Bullet EY Diagrama"/>
    <w:link w:val="Sraopastraipa"/>
    <w:uiPriority w:val="34"/>
    <w:qFormat/>
    <w:locked/>
    <w:rsid w:val="00E26393"/>
  </w:style>
  <w:style w:type="paragraph" w:customStyle="1" w:styleId="Default">
    <w:name w:val="Default"/>
    <w:rsid w:val="00FA3681"/>
    <w:pPr>
      <w:autoSpaceDE w:val="0"/>
      <w:autoSpaceDN w:val="0"/>
      <w:adjustRightInd w:val="0"/>
      <w:spacing w:after="0" w:line="240" w:lineRule="auto"/>
    </w:pPr>
    <w:rPr>
      <w:rFonts w:ascii="Calibri" w:hAnsi="Calibri" w:cs="Calibri"/>
      <w:color w:val="000000"/>
      <w:sz w:val="24"/>
      <w:szCs w:val="24"/>
    </w:rPr>
  </w:style>
  <w:style w:type="character" w:customStyle="1" w:styleId="BetarpDiagrama">
    <w:name w:val="Be tarpų Diagrama"/>
    <w:link w:val="Betarp"/>
    <w:uiPriority w:val="99"/>
    <w:rsid w:val="00CD1C8E"/>
    <w:rPr>
      <w:rFonts w:ascii="Times New Roman" w:eastAsia="Times New Roman" w:hAnsi="Times New Roman" w:cs="Times New Roman"/>
      <w:sz w:val="24"/>
      <w:szCs w:val="20"/>
      <w:lang w:eastAsia="lt-LT"/>
    </w:rPr>
  </w:style>
  <w:style w:type="paragraph" w:customStyle="1" w:styleId="Betarp1">
    <w:name w:val="Be tarpų1"/>
    <w:qFormat/>
    <w:rsid w:val="00CD1C8E"/>
    <w:pPr>
      <w:spacing w:after="0" w:line="240" w:lineRule="auto"/>
    </w:pPr>
    <w:rPr>
      <w:rFonts w:ascii="Times New Roman" w:eastAsia="Times New Roman" w:hAnsi="Times New Roman" w:cs="Times New Roman"/>
      <w:sz w:val="24"/>
    </w:rPr>
  </w:style>
  <w:style w:type="paragraph" w:styleId="Pagrindiniotekstotrauka2">
    <w:name w:val="Body Text Indent 2"/>
    <w:basedOn w:val="prastasis"/>
    <w:link w:val="Pagrindiniotekstotrauka2Diagrama"/>
    <w:unhideWhenUsed/>
    <w:rsid w:val="001019B0"/>
    <w:pPr>
      <w:ind w:firstLine="426"/>
    </w:pPr>
    <w:rPr>
      <w:rFonts w:ascii="Arial" w:hAnsi="Arial"/>
      <w:sz w:val="20"/>
      <w:szCs w:val="20"/>
    </w:rPr>
  </w:style>
  <w:style w:type="character" w:customStyle="1" w:styleId="Pagrindiniotekstotrauka2Diagrama">
    <w:name w:val="Pagrindinio teksto įtrauka 2 Diagrama"/>
    <w:basedOn w:val="Numatytasispastraiposriftas"/>
    <w:link w:val="Pagrindiniotekstotrauka2"/>
    <w:rsid w:val="001019B0"/>
    <w:rPr>
      <w:rFonts w:ascii="Arial" w:eastAsia="Times New Roman" w:hAnsi="Arial" w:cs="Times New Roman"/>
      <w:sz w:val="20"/>
      <w:szCs w:val="20"/>
    </w:rPr>
  </w:style>
  <w:style w:type="paragraph" w:styleId="Porat">
    <w:name w:val="footer"/>
    <w:basedOn w:val="prastasis"/>
    <w:link w:val="PoratDiagrama"/>
    <w:uiPriority w:val="99"/>
    <w:unhideWhenUsed/>
    <w:rsid w:val="008709DC"/>
    <w:pPr>
      <w:tabs>
        <w:tab w:val="center" w:pos="4819"/>
        <w:tab w:val="right" w:pos="9638"/>
      </w:tabs>
    </w:pPr>
  </w:style>
  <w:style w:type="character" w:customStyle="1" w:styleId="PoratDiagrama">
    <w:name w:val="Poraštė Diagrama"/>
    <w:basedOn w:val="Numatytasispastraiposriftas"/>
    <w:link w:val="Porat"/>
    <w:uiPriority w:val="99"/>
    <w:rsid w:val="008709DC"/>
    <w:rPr>
      <w:rFonts w:ascii="Times New Roman" w:eastAsia="Times New Roman" w:hAnsi="Times New Roman" w:cs="Times New Roman"/>
      <w:sz w:val="24"/>
      <w:szCs w:val="24"/>
    </w:rPr>
  </w:style>
  <w:style w:type="character" w:customStyle="1" w:styleId="fontstyle01">
    <w:name w:val="fontstyle01"/>
    <w:basedOn w:val="Numatytasispastraiposriftas"/>
    <w:rsid w:val="00676A98"/>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cid:image001.png@01DB93F1.B7DE6B50" TargetMode="External"/><Relationship Id="rId17" Type="http://schemas.openxmlformats.org/officeDocument/2006/relationships/image" Target="cid:image004.jpg@01DB94D1.D53F4210" TargetMode="Externa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cid:image008.png@01DB94CD.F04A76A0" TargetMode="Externa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6904</Words>
  <Characters>3936</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Strumilienė</dc:creator>
  <cp:keywords/>
  <dc:description/>
  <cp:lastModifiedBy>Aušra Strumilienė</cp:lastModifiedBy>
  <cp:revision>5</cp:revision>
  <cp:lastPrinted>2024-03-13T07:29:00Z</cp:lastPrinted>
  <dcterms:created xsi:type="dcterms:W3CDTF">2025-03-13T13:02:00Z</dcterms:created>
  <dcterms:modified xsi:type="dcterms:W3CDTF">2025-03-14T09:54:00Z</dcterms:modified>
</cp:coreProperties>
</file>