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6BBD" w14:textId="77777777" w:rsidR="00117BB7" w:rsidRDefault="00117BB7" w:rsidP="00117BB7">
      <w:pPr>
        <w:spacing w:line="288" w:lineRule="auto"/>
        <w:ind w:firstLine="709"/>
        <w:jc w:val="center"/>
        <w:rPr>
          <w:b/>
          <w:lang w:eastAsia="ar-SA"/>
        </w:rPr>
      </w:pPr>
      <w:bookmarkStart w:id="0" w:name="_Hlk192507792"/>
      <w:r>
        <w:rPr>
          <w:rFonts w:eastAsia="Calibri"/>
          <w:b/>
          <w:caps/>
          <w:lang w:eastAsia="ar-SA"/>
        </w:rPr>
        <w:t xml:space="preserve">DARBO RINKAI BESIRENGIANČIŲ ASMENŲ FINANSINIO RAŠTINGUMO MOKYMŲ </w:t>
      </w:r>
      <w:r w:rsidRPr="00240E0C">
        <w:rPr>
          <w:rFonts w:eastAsia="Calibri"/>
          <w:b/>
          <w:caps/>
          <w:lang w:eastAsia="ar-SA"/>
        </w:rPr>
        <w:t>paslaugų</w:t>
      </w:r>
      <w:r>
        <w:rPr>
          <w:rFonts w:eastAsia="Calibri"/>
          <w:b/>
          <w:caps/>
          <w:lang w:eastAsia="ar-SA"/>
        </w:rPr>
        <w:t xml:space="preserve"> </w:t>
      </w:r>
      <w:r w:rsidRPr="00487523">
        <w:rPr>
          <w:b/>
        </w:rPr>
        <w:t>PIRKIMAS</w:t>
      </w:r>
      <w:r w:rsidRPr="00487523">
        <w:rPr>
          <w:b/>
          <w:lang w:eastAsia="ar-SA"/>
        </w:rPr>
        <w:t xml:space="preserve"> </w:t>
      </w:r>
    </w:p>
    <w:bookmarkEnd w:id="0"/>
    <w:p w14:paraId="6AB0DAB4" w14:textId="77777777" w:rsidR="00997654" w:rsidRDefault="00997654"/>
    <w:p w14:paraId="49C34FD4" w14:textId="3A30D5B3" w:rsidR="00117BB7" w:rsidRDefault="00117BB7" w:rsidP="00117BB7">
      <w:pPr>
        <w:jc w:val="center"/>
      </w:pPr>
      <w:r>
        <w:t xml:space="preserve">Gauti klausimai ir atsakymai </w:t>
      </w:r>
      <w:proofErr w:type="spellStart"/>
      <w:r>
        <w:t>nr.</w:t>
      </w:r>
      <w:proofErr w:type="spellEnd"/>
      <w:r>
        <w:t xml:space="preserve"> 1</w:t>
      </w:r>
    </w:p>
    <w:p w14:paraId="371A80C4" w14:textId="77777777" w:rsidR="00117BB7" w:rsidRDefault="00117BB7" w:rsidP="00117BB7">
      <w:pPr>
        <w:jc w:val="center"/>
      </w:pPr>
    </w:p>
    <w:tbl>
      <w:tblPr>
        <w:tblStyle w:val="Lentelstinklelis"/>
        <w:tblW w:w="0" w:type="auto"/>
        <w:tblLook w:val="04A0" w:firstRow="1" w:lastRow="0" w:firstColumn="1" w:lastColumn="0" w:noHBand="0" w:noVBand="1"/>
      </w:tblPr>
      <w:tblGrid>
        <w:gridCol w:w="807"/>
        <w:gridCol w:w="4022"/>
        <w:gridCol w:w="5133"/>
      </w:tblGrid>
      <w:tr w:rsidR="00117BB7" w14:paraId="1FC4B948" w14:textId="77777777" w:rsidTr="00117BB7">
        <w:tc>
          <w:tcPr>
            <w:tcW w:w="817" w:type="dxa"/>
          </w:tcPr>
          <w:p w14:paraId="6F59AFE9" w14:textId="5CBB72D1" w:rsidR="00117BB7" w:rsidRDefault="00117BB7" w:rsidP="00117BB7">
            <w:pPr>
              <w:jc w:val="center"/>
            </w:pPr>
            <w:r>
              <w:t>Eil. nr.</w:t>
            </w:r>
          </w:p>
        </w:tc>
        <w:tc>
          <w:tcPr>
            <w:tcW w:w="4111" w:type="dxa"/>
          </w:tcPr>
          <w:p w14:paraId="5EBE7AFF" w14:textId="7E7AF290" w:rsidR="00117BB7" w:rsidRDefault="00117BB7" w:rsidP="00117BB7">
            <w:pPr>
              <w:jc w:val="center"/>
            </w:pPr>
            <w:r>
              <w:t>Klausimas</w:t>
            </w:r>
          </w:p>
        </w:tc>
        <w:tc>
          <w:tcPr>
            <w:tcW w:w="5260" w:type="dxa"/>
          </w:tcPr>
          <w:p w14:paraId="4C81847E" w14:textId="66ACAC28" w:rsidR="00117BB7" w:rsidRDefault="00117BB7" w:rsidP="00117BB7">
            <w:pPr>
              <w:jc w:val="center"/>
            </w:pPr>
            <w:r>
              <w:t>Atsakymas</w:t>
            </w:r>
          </w:p>
        </w:tc>
      </w:tr>
      <w:tr w:rsidR="00117BB7" w14:paraId="03BC5F7A" w14:textId="77777777" w:rsidTr="00117BB7">
        <w:tc>
          <w:tcPr>
            <w:tcW w:w="817" w:type="dxa"/>
          </w:tcPr>
          <w:p w14:paraId="5904BB06" w14:textId="486CF7B2" w:rsidR="00117BB7" w:rsidRDefault="00117BB7" w:rsidP="00117BB7">
            <w:pPr>
              <w:jc w:val="center"/>
            </w:pPr>
            <w:r>
              <w:t>1.</w:t>
            </w:r>
          </w:p>
        </w:tc>
        <w:tc>
          <w:tcPr>
            <w:tcW w:w="4111" w:type="dxa"/>
          </w:tcPr>
          <w:p w14:paraId="2587B40A" w14:textId="2E78DF0C" w:rsidR="00117BB7" w:rsidRDefault="00117BB7" w:rsidP="00117BB7">
            <w:pPr>
              <w:jc w:val="both"/>
            </w:pPr>
            <w:r>
              <w:t>N</w:t>
            </w:r>
            <w:r w:rsidRPr="00117BB7">
              <w:t>erandame pirkime techninės specifikacijos, ar tokia yra?</w:t>
            </w:r>
          </w:p>
        </w:tc>
        <w:tc>
          <w:tcPr>
            <w:tcW w:w="5260" w:type="dxa"/>
          </w:tcPr>
          <w:p w14:paraId="6212BBD2" w14:textId="73E87015" w:rsidR="00117BB7" w:rsidRDefault="00117BB7" w:rsidP="00117BB7">
            <w:pPr>
              <w:jc w:val="center"/>
            </w:pPr>
            <w:r>
              <w:t>Nėra</w:t>
            </w:r>
          </w:p>
        </w:tc>
      </w:tr>
      <w:tr w:rsidR="00117BB7" w14:paraId="345439E6" w14:textId="77777777" w:rsidTr="00117BB7">
        <w:tc>
          <w:tcPr>
            <w:tcW w:w="817" w:type="dxa"/>
          </w:tcPr>
          <w:p w14:paraId="6CA78C48" w14:textId="6E432F4D" w:rsidR="00117BB7" w:rsidRDefault="00117BB7" w:rsidP="00117BB7">
            <w:pPr>
              <w:jc w:val="center"/>
            </w:pPr>
            <w:r>
              <w:t>2.</w:t>
            </w:r>
          </w:p>
        </w:tc>
        <w:tc>
          <w:tcPr>
            <w:tcW w:w="4111" w:type="dxa"/>
          </w:tcPr>
          <w:p w14:paraId="72BD9280" w14:textId="14DC006D" w:rsidR="00117BB7" w:rsidRDefault="00117BB7" w:rsidP="00117BB7">
            <w:pPr>
              <w:jc w:val="both"/>
            </w:pPr>
            <w:r w:rsidRPr="00117BB7">
              <w:t>Ar galite parašyti kokios yra pageidaujamos finansinio raštingumo potemės?</w:t>
            </w:r>
          </w:p>
        </w:tc>
        <w:tc>
          <w:tcPr>
            <w:tcW w:w="5260" w:type="dxa"/>
          </w:tcPr>
          <w:p w14:paraId="10790900" w14:textId="77777777" w:rsidR="00117BB7" w:rsidRDefault="00117BB7" w:rsidP="00117BB7">
            <w:r>
              <w:t>Darbo rinkai besirengiantys asmenys, dažniausiai neturi išsilavinimo, seniai nedirba, gauna mažas pajamas. Viena iš jų įsidarbinimą ribojančių aplinkybių – susidariusios skolos, dėl finansų valdymo įgūdžių stokos. Tikslas yra lavinti šių asmenų finansinį raštingumą, kad jie galėtų efektyviai valdyti savo įsipareigojimus, išvengti finansinių sunkumų, mokėti nuo jų apsisaugoti ir galėtų greičiau sugrįžti į darbo rinką.</w:t>
            </w:r>
          </w:p>
          <w:p w14:paraId="0E5B0E0D" w14:textId="77777777" w:rsidR="00117BB7" w:rsidRDefault="00117BB7" w:rsidP="00117BB7">
            <w:r>
              <w:t>Preliminarios temos:</w:t>
            </w:r>
          </w:p>
          <w:p w14:paraId="5636B0C5" w14:textId="09ACD591" w:rsidR="00117BB7" w:rsidRDefault="00117BB7" w:rsidP="00117BB7">
            <w:pPr>
              <w:ind w:left="32"/>
            </w:pPr>
            <w:r>
              <w:t>-</w:t>
            </w:r>
            <w:r>
              <w:t xml:space="preserve"> </w:t>
            </w:r>
            <w:r>
              <w:t>Finansų planavimas (pajamų ir išlaidų sekimas, kaip efektyviai paskirstyti pajamas, nenumatytų išlaidų planavimas);</w:t>
            </w:r>
          </w:p>
          <w:p w14:paraId="0B2865ED" w14:textId="2F7B2CBD" w:rsidR="00117BB7" w:rsidRDefault="00117BB7" w:rsidP="00117BB7">
            <w:pPr>
              <w:ind w:left="32"/>
            </w:pPr>
            <w:r>
              <w:t>-</w:t>
            </w:r>
            <w:r>
              <w:t xml:space="preserve"> </w:t>
            </w:r>
            <w:r>
              <w:t>Skolų valdymas (skolos grąžinimo strategijos ir t.t.);</w:t>
            </w:r>
          </w:p>
          <w:p w14:paraId="27DAE38E" w14:textId="20EE26C0" w:rsidR="00117BB7" w:rsidRDefault="00117BB7" w:rsidP="00117BB7">
            <w:pPr>
              <w:ind w:left="32"/>
            </w:pPr>
            <w:r>
              <w:t>-</w:t>
            </w:r>
            <w:r>
              <w:t xml:space="preserve"> </w:t>
            </w:r>
            <w:r>
              <w:t>Paskolų ir kreditų poveikis (kaip atpažinti kada yra nauda, o kada yra žala);</w:t>
            </w:r>
          </w:p>
          <w:p w14:paraId="135889BE" w14:textId="2CC97855" w:rsidR="00117BB7" w:rsidRDefault="00117BB7" w:rsidP="00117BB7">
            <w:pPr>
              <w:ind w:left="32"/>
            </w:pPr>
            <w:r>
              <w:t>-</w:t>
            </w:r>
            <w:r>
              <w:t xml:space="preserve"> </w:t>
            </w:r>
            <w:r>
              <w:t>Taupymas (taupymo strategijos)</w:t>
            </w:r>
          </w:p>
          <w:p w14:paraId="46A8F89E" w14:textId="535D4271" w:rsidR="00117BB7" w:rsidRDefault="00117BB7" w:rsidP="00117BB7">
            <w:pPr>
              <w:ind w:left="32"/>
            </w:pPr>
            <w:r>
              <w:t>-</w:t>
            </w:r>
            <w:r w:rsidR="009B00DE">
              <w:t xml:space="preserve"> </w:t>
            </w:r>
            <w:r>
              <w:t>Finansinės sutartys ir teisės (kaip išvengti sukčiavimo ir nesąžiningų finansinių paslaugų teikėjų)</w:t>
            </w:r>
          </w:p>
          <w:p w14:paraId="30388EC5" w14:textId="77777777" w:rsidR="009B00DE" w:rsidRDefault="00117BB7" w:rsidP="009B00DE">
            <w:pPr>
              <w:ind w:left="32"/>
            </w:pPr>
            <w:r>
              <w:t>-</w:t>
            </w:r>
            <w:r w:rsidR="009B00DE">
              <w:t xml:space="preserve"> </w:t>
            </w:r>
            <w:r>
              <w:t>Kaip finansiniai įsipareigojimai veikia psichologinę būseną, streso valdymas susidūrus su finansiniais sunkumais, kaip priimti racionalius finansinius sprendimus</w:t>
            </w:r>
          </w:p>
          <w:p w14:paraId="6DAA2B83" w14:textId="53A19F66" w:rsidR="00117BB7" w:rsidRDefault="009B00DE" w:rsidP="009B00DE">
            <w:pPr>
              <w:ind w:left="32"/>
            </w:pPr>
            <w:r>
              <w:t xml:space="preserve">- </w:t>
            </w:r>
            <w:r w:rsidR="00117BB7">
              <w:t>Kitos temos pagal poreikį, kurios padėtų žmonėms geriau suprasti savo finansinius įsipareigojimus ir išvengti skolų krizės, padėsiančios asmeniui greičiau išspręsti kitas kliūtis užimtumui ir integruotis į darbo rinką.</w:t>
            </w:r>
          </w:p>
        </w:tc>
      </w:tr>
      <w:tr w:rsidR="00117BB7" w14:paraId="00260EA9" w14:textId="77777777" w:rsidTr="00117BB7">
        <w:tc>
          <w:tcPr>
            <w:tcW w:w="817" w:type="dxa"/>
          </w:tcPr>
          <w:p w14:paraId="42EF60BA" w14:textId="6D81ACE6" w:rsidR="00117BB7" w:rsidRDefault="00117BB7" w:rsidP="00117BB7">
            <w:pPr>
              <w:jc w:val="center"/>
            </w:pPr>
            <w:r>
              <w:t xml:space="preserve">3. </w:t>
            </w:r>
          </w:p>
        </w:tc>
        <w:tc>
          <w:tcPr>
            <w:tcW w:w="4111" w:type="dxa"/>
          </w:tcPr>
          <w:p w14:paraId="745E9044" w14:textId="773BDD03" w:rsidR="00117BB7" w:rsidRDefault="00117BB7" w:rsidP="00117BB7">
            <w:pPr>
              <w:jc w:val="both"/>
            </w:pPr>
            <w:r w:rsidRPr="00117BB7">
              <w:t>Bei ar teisingai suprantame, kad tiekėjų darbas būtų turėti lektorių, mokomąją medžiagą ir turėti mokymų vietą, kurioje vyktų 2 ak. val. mokymai?</w:t>
            </w:r>
          </w:p>
        </w:tc>
        <w:tc>
          <w:tcPr>
            <w:tcW w:w="5260" w:type="dxa"/>
          </w:tcPr>
          <w:p w14:paraId="6AD17298" w14:textId="3F8D55ED" w:rsidR="00117BB7" w:rsidRDefault="009B00DE" w:rsidP="009B00DE">
            <w:r w:rsidRPr="009B00DE">
              <w:t>Taip, teikėjas turi turėti lektorių, mokomąją medžiagą ir turėti mokymų vietą. Mokymų trukmė – ne mažiau 2 ak. val. (poreikis gali būti ilgesnės trukmės).</w:t>
            </w:r>
          </w:p>
        </w:tc>
      </w:tr>
      <w:tr w:rsidR="009B00DE" w14:paraId="2C603432" w14:textId="77777777" w:rsidTr="00117BB7">
        <w:tc>
          <w:tcPr>
            <w:tcW w:w="817" w:type="dxa"/>
          </w:tcPr>
          <w:p w14:paraId="1FF21B20" w14:textId="1F3FFD1E" w:rsidR="009B00DE" w:rsidRDefault="009B00DE" w:rsidP="00117BB7">
            <w:pPr>
              <w:jc w:val="center"/>
            </w:pPr>
            <w:r>
              <w:t>4.</w:t>
            </w:r>
          </w:p>
        </w:tc>
        <w:tc>
          <w:tcPr>
            <w:tcW w:w="4111" w:type="dxa"/>
          </w:tcPr>
          <w:p w14:paraId="26074EDA" w14:textId="2CD4FE9B" w:rsidR="009B00DE" w:rsidRPr="00117BB7" w:rsidRDefault="009B00DE" w:rsidP="00117BB7">
            <w:pPr>
              <w:jc w:val="both"/>
            </w:pPr>
            <w:r w:rsidRPr="009B00DE">
              <w:t>Ar teikiant pasiūlymą reikia nurodyti patalpas, kuriose vyktų užsiėmimai?</w:t>
            </w:r>
          </w:p>
        </w:tc>
        <w:tc>
          <w:tcPr>
            <w:tcW w:w="5260" w:type="dxa"/>
          </w:tcPr>
          <w:p w14:paraId="0168CBD4" w14:textId="50883C6F" w:rsidR="009B00DE" w:rsidRDefault="009B00DE" w:rsidP="009B00DE">
            <w:r>
              <w:t>Nereikia</w:t>
            </w:r>
          </w:p>
        </w:tc>
      </w:tr>
    </w:tbl>
    <w:p w14:paraId="057586CA" w14:textId="77777777" w:rsidR="00117BB7" w:rsidRDefault="00117BB7" w:rsidP="00117BB7">
      <w:pPr>
        <w:jc w:val="center"/>
      </w:pPr>
    </w:p>
    <w:sectPr w:rsidR="00117BB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B7"/>
    <w:rsid w:val="00117BB7"/>
    <w:rsid w:val="002F166E"/>
    <w:rsid w:val="00997654"/>
    <w:rsid w:val="009B00DE"/>
    <w:rsid w:val="00DD1F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B3717"/>
  <w15:chartTrackingRefBased/>
  <w15:docId w15:val="{320C6BF2-EB6E-4F24-9C4C-9FD85D14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17BB7"/>
    <w:pPr>
      <w:suppressAutoHyphens/>
      <w:autoSpaceDN w:val="0"/>
      <w:spacing w:after="0" w:line="240" w:lineRule="auto"/>
      <w:textAlignment w:val="baseline"/>
    </w:pPr>
    <w:rPr>
      <w:rFonts w:ascii="Times New Roman" w:eastAsia="Times New Roman" w:hAnsi="Times New Roman" w:cs="Times New Roman"/>
      <w:kern w:val="0"/>
      <w:lang w:val="lt-LT"/>
    </w:rPr>
  </w:style>
  <w:style w:type="paragraph" w:styleId="Antrat1">
    <w:name w:val="heading 1"/>
    <w:basedOn w:val="prastasis"/>
    <w:next w:val="prastasis"/>
    <w:link w:val="Antrat1Diagrama"/>
    <w:uiPriority w:val="9"/>
    <w:qFormat/>
    <w:rsid w:val="00117B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17B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17BB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17BB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17BB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17BB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7BB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7BB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7BB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7BB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17BB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17BB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17BB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17BB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17BB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7BB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7BB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7BB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7BB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7B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7BB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7BB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7B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7BB7"/>
    <w:rPr>
      <w:i/>
      <w:iCs/>
      <w:color w:val="404040" w:themeColor="text1" w:themeTint="BF"/>
    </w:rPr>
  </w:style>
  <w:style w:type="paragraph" w:styleId="Sraopastraipa">
    <w:name w:val="List Paragraph"/>
    <w:basedOn w:val="prastasis"/>
    <w:uiPriority w:val="34"/>
    <w:qFormat/>
    <w:rsid w:val="00117BB7"/>
    <w:pPr>
      <w:ind w:left="720"/>
      <w:contextualSpacing/>
    </w:pPr>
  </w:style>
  <w:style w:type="character" w:styleId="Rykuspabraukimas">
    <w:name w:val="Intense Emphasis"/>
    <w:basedOn w:val="Numatytasispastraiposriftas"/>
    <w:uiPriority w:val="21"/>
    <w:qFormat/>
    <w:rsid w:val="00117BB7"/>
    <w:rPr>
      <w:i/>
      <w:iCs/>
      <w:color w:val="2F5496" w:themeColor="accent1" w:themeShade="BF"/>
    </w:rPr>
  </w:style>
  <w:style w:type="paragraph" w:styleId="Iskirtacitata">
    <w:name w:val="Intense Quote"/>
    <w:basedOn w:val="prastasis"/>
    <w:next w:val="prastasis"/>
    <w:link w:val="IskirtacitataDiagrama"/>
    <w:uiPriority w:val="30"/>
    <w:qFormat/>
    <w:rsid w:val="00117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17BB7"/>
    <w:rPr>
      <w:i/>
      <w:iCs/>
      <w:color w:val="2F5496" w:themeColor="accent1" w:themeShade="BF"/>
    </w:rPr>
  </w:style>
  <w:style w:type="character" w:styleId="Rykinuoroda">
    <w:name w:val="Intense Reference"/>
    <w:basedOn w:val="Numatytasispastraiposriftas"/>
    <w:uiPriority w:val="32"/>
    <w:qFormat/>
    <w:rsid w:val="00117BB7"/>
    <w:rPr>
      <w:b/>
      <w:bCs/>
      <w:smallCaps/>
      <w:color w:val="2F5496" w:themeColor="accent1" w:themeShade="BF"/>
      <w:spacing w:val="5"/>
    </w:rPr>
  </w:style>
  <w:style w:type="table" w:styleId="Lentelstinklelis">
    <w:name w:val="Table Grid"/>
    <w:basedOn w:val="prastojilentel"/>
    <w:uiPriority w:val="39"/>
    <w:rsid w:val="00117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284</Words>
  <Characters>1623</Characters>
  <Application>Microsoft Office Word</Application>
  <DocSecurity>0</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Katauskienė</dc:creator>
  <cp:keywords/>
  <dc:description/>
  <cp:lastModifiedBy>Deimantė Katauskienė</cp:lastModifiedBy>
  <cp:revision>1</cp:revision>
  <dcterms:created xsi:type="dcterms:W3CDTF">2025-03-14T09:44:00Z</dcterms:created>
  <dcterms:modified xsi:type="dcterms:W3CDTF">2025-03-14T10:59:00Z</dcterms:modified>
</cp:coreProperties>
</file>