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294FB365"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Pr="00D266D3">
            <w:rPr>
              <w:rFonts w:ascii="Times New Roman" w:eastAsia="Times New Roman" w:hAnsi="Times New Roman" w:cs="Times New Roman"/>
              <w:b/>
              <w:bCs/>
              <w:sz w:val="24"/>
              <w:szCs w:val="24"/>
              <w:lang w:eastAsia="en-US"/>
            </w:rPr>
            <w:t xml:space="preserve">STATINIŲ, ESANČIŲ DABIKINĖS DVARO PARKO TERITORIJOJE ADRESU: LIEPŲ G. 1, DABIKINĖS K., AKMENĖS R. SAV., GRIOVIMO DARBŲ (ĮSKAITANT TERITORIJOS SUTVARKYMĄ, KADASTRINĖS BYLOS IR DEKLARACIJOS APIE STATYBOS UŽBAIGIMĄ PARENGIMĄ) </w:t>
          </w:r>
          <w:r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D266D3"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33696</Words>
  <Characters>19207</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18</cp:revision>
  <dcterms:created xsi:type="dcterms:W3CDTF">2024-08-21T07:59:00Z</dcterms:created>
  <dcterms:modified xsi:type="dcterms:W3CDTF">2025-03-12T11:02:00Z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