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4F6BAE00"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006519">
        <w:rPr>
          <w:bCs/>
          <w:color w:val="000000"/>
          <w:sz w:val="22"/>
          <w:szCs w:val="22"/>
        </w:rPr>
        <w:t>6</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2D023017" w14:textId="77777777" w:rsidR="00BC16EA" w:rsidRPr="00D870B7" w:rsidRDefault="00BC16EA" w:rsidP="00BC16EA">
      <w:pPr>
        <w:jc w:val="center"/>
        <w:rPr>
          <w:b/>
          <w:caps/>
          <w:color w:val="000000" w:themeColor="text1"/>
          <w:sz w:val="22"/>
          <w:szCs w:val="22"/>
        </w:rPr>
      </w:pPr>
      <w:r w:rsidRPr="00D870B7">
        <w:rPr>
          <w:b/>
          <w:color w:val="000000" w:themeColor="text1"/>
          <w:sz w:val="22"/>
          <w:szCs w:val="22"/>
        </w:rPr>
        <w:t>,,</w:t>
      </w:r>
      <w:r>
        <w:rPr>
          <w:b/>
          <w:caps/>
          <w:color w:val="000000" w:themeColor="text1"/>
          <w:sz w:val="22"/>
          <w:szCs w:val="22"/>
        </w:rPr>
        <w:t>VANDENTIEKIO IR buitinių NUOTEKŲ TINKLŲ STATYBA IR REKONSTRUKCIJA LINELIŲ G., SODŲ G., PAGYNĖS K., KAUNO R. SAV.“</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36B8" w14:textId="77777777" w:rsidR="00724B0C" w:rsidRDefault="00724B0C">
      <w:r>
        <w:separator/>
      </w:r>
    </w:p>
  </w:endnote>
  <w:endnote w:type="continuationSeparator" w:id="0">
    <w:p w14:paraId="12930C7D" w14:textId="77777777" w:rsidR="00724B0C" w:rsidRDefault="007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05C0" w14:textId="77777777" w:rsidR="00724B0C" w:rsidRDefault="00724B0C">
      <w:r>
        <w:separator/>
      </w:r>
    </w:p>
  </w:footnote>
  <w:footnote w:type="continuationSeparator" w:id="0">
    <w:p w14:paraId="744DD6D4" w14:textId="77777777" w:rsidR="00724B0C" w:rsidRDefault="0072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2068</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26</cp:revision>
  <cp:lastPrinted>2022-05-06T07:35:00Z</cp:lastPrinted>
  <dcterms:created xsi:type="dcterms:W3CDTF">2022-01-14T06:37:00Z</dcterms:created>
  <dcterms:modified xsi:type="dcterms:W3CDTF">2025-03-10T07:11:00Z</dcterms:modified>
</cp:coreProperties>
</file>