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1FD1" w14:textId="3FAE4322" w:rsidR="008F00B9" w:rsidRPr="005319B5" w:rsidRDefault="009459D0" w:rsidP="008F00B9">
      <w:pPr>
        <w:ind w:firstLine="567"/>
        <w:jc w:val="center"/>
        <w:rPr>
          <w:b/>
          <w:caps/>
          <w:lang w:eastAsia="en-US"/>
        </w:rPr>
      </w:pPr>
      <w:r w:rsidRPr="005319B5">
        <w:rPr>
          <w:b/>
          <w:bCs/>
          <w:caps/>
        </w:rPr>
        <w:t>diagnostikos reagentų, laboratorinių priemonių ir serumų pirkimas III</w:t>
      </w:r>
    </w:p>
    <w:p w14:paraId="5254EF71" w14:textId="77777777" w:rsidR="005836F1" w:rsidRPr="005319B5" w:rsidRDefault="005836F1"/>
    <w:p w14:paraId="075C094D" w14:textId="77777777" w:rsidR="008F00B9" w:rsidRPr="005319B5" w:rsidRDefault="008F00B9"/>
    <w:p w14:paraId="6F66E882" w14:textId="4B61F0B4" w:rsidR="008F00B9" w:rsidRPr="005319B5" w:rsidRDefault="008F00B9">
      <w:r w:rsidRPr="005319B5">
        <w:t>Atsakymai į tiekėjų pastabas, pasiūlymu dėl techninės specifikacijos</w:t>
      </w:r>
    </w:p>
    <w:p w14:paraId="0BE2B5E7" w14:textId="77777777" w:rsidR="008F00B9" w:rsidRPr="005319B5" w:rsidRDefault="008F00B9">
      <w:pPr>
        <w:rPr>
          <w:sz w:val="22"/>
          <w:szCs w:val="22"/>
        </w:rPr>
      </w:pPr>
    </w:p>
    <w:tbl>
      <w:tblPr>
        <w:tblW w:w="14766" w:type="dxa"/>
        <w:tblInd w:w="113" w:type="dxa"/>
        <w:tblLook w:val="04A0" w:firstRow="1" w:lastRow="0" w:firstColumn="1" w:lastColumn="0" w:noHBand="0" w:noVBand="1"/>
      </w:tblPr>
      <w:tblGrid>
        <w:gridCol w:w="2298"/>
        <w:gridCol w:w="2915"/>
        <w:gridCol w:w="4606"/>
        <w:gridCol w:w="4947"/>
      </w:tblGrid>
      <w:tr w:rsidR="005319B5" w:rsidRPr="009322D6" w14:paraId="390E4727" w14:textId="77777777" w:rsidTr="005319B5">
        <w:trPr>
          <w:trHeight w:val="624"/>
        </w:trPr>
        <w:tc>
          <w:tcPr>
            <w:tcW w:w="2223" w:type="dxa"/>
            <w:tcBorders>
              <w:top w:val="single" w:sz="4" w:space="0" w:color="auto"/>
              <w:left w:val="single" w:sz="4" w:space="0" w:color="auto"/>
              <w:bottom w:val="single" w:sz="4" w:space="0" w:color="auto"/>
              <w:right w:val="single" w:sz="4" w:space="0" w:color="auto"/>
            </w:tcBorders>
            <w:shd w:val="clear" w:color="000000" w:fill="D9D9D9"/>
          </w:tcPr>
          <w:p w14:paraId="0F59DCDF" w14:textId="600BE5FD" w:rsidR="005319B5" w:rsidRPr="009322D6" w:rsidRDefault="005319B5" w:rsidP="009459D0">
            <w:pPr>
              <w:jc w:val="center"/>
              <w:rPr>
                <w:b/>
                <w:bCs/>
                <w:sz w:val="22"/>
                <w:szCs w:val="22"/>
              </w:rPr>
            </w:pPr>
            <w:r w:rsidRPr="009322D6">
              <w:rPr>
                <w:b/>
                <w:bCs/>
                <w:sz w:val="22"/>
                <w:szCs w:val="22"/>
              </w:rPr>
              <w:br w:type="page"/>
            </w:r>
            <w:r w:rsidRPr="009322D6">
              <w:rPr>
                <w:b/>
                <w:bCs/>
                <w:color w:val="000000"/>
                <w:sz w:val="22"/>
                <w:szCs w:val="22"/>
              </w:rPr>
              <w:t>Pirkimo dalies Nr.</w:t>
            </w:r>
            <w:r w:rsidR="00867878" w:rsidRPr="009322D6">
              <w:rPr>
                <w:b/>
                <w:bCs/>
                <w:color w:val="000000"/>
                <w:sz w:val="22"/>
                <w:szCs w:val="22"/>
              </w:rPr>
              <w:t xml:space="preserve"> ir</w:t>
            </w:r>
            <w:r w:rsidRPr="009322D6">
              <w:rPr>
                <w:b/>
                <w:bCs/>
                <w:color w:val="000000"/>
                <w:sz w:val="22"/>
                <w:szCs w:val="22"/>
              </w:rPr>
              <w:t xml:space="preserve"> </w:t>
            </w:r>
            <w:r w:rsidR="00867878" w:rsidRPr="009322D6">
              <w:rPr>
                <w:b/>
                <w:bCs/>
                <w:color w:val="000000"/>
                <w:sz w:val="22"/>
                <w:szCs w:val="22"/>
              </w:rPr>
              <w:t>p</w:t>
            </w:r>
            <w:r w:rsidRPr="009322D6">
              <w:rPr>
                <w:b/>
                <w:bCs/>
                <w:color w:val="000000"/>
                <w:sz w:val="22"/>
                <w:szCs w:val="22"/>
              </w:rPr>
              <w:t>avadinimas</w:t>
            </w:r>
          </w:p>
        </w:tc>
        <w:tc>
          <w:tcPr>
            <w:tcW w:w="2927" w:type="dxa"/>
            <w:tcBorders>
              <w:top w:val="single" w:sz="4" w:space="0" w:color="auto"/>
              <w:left w:val="nil"/>
              <w:bottom w:val="single" w:sz="4" w:space="0" w:color="auto"/>
              <w:right w:val="single" w:sz="4" w:space="0" w:color="auto"/>
            </w:tcBorders>
            <w:shd w:val="clear" w:color="000000" w:fill="D9D9D9"/>
          </w:tcPr>
          <w:p w14:paraId="057B1CD9" w14:textId="347AD081" w:rsidR="005319B5" w:rsidRPr="009322D6" w:rsidRDefault="005319B5" w:rsidP="009459D0">
            <w:pPr>
              <w:rPr>
                <w:b/>
                <w:bCs/>
                <w:sz w:val="22"/>
                <w:szCs w:val="22"/>
              </w:rPr>
            </w:pPr>
            <w:r w:rsidRPr="009322D6">
              <w:rPr>
                <w:b/>
                <w:bCs/>
                <w:color w:val="000000"/>
                <w:sz w:val="22"/>
                <w:szCs w:val="22"/>
              </w:rPr>
              <w:t>Parametr</w:t>
            </w:r>
            <w:r w:rsidR="00862803" w:rsidRPr="009322D6">
              <w:rPr>
                <w:b/>
                <w:bCs/>
                <w:color w:val="000000"/>
                <w:sz w:val="22"/>
                <w:szCs w:val="22"/>
              </w:rPr>
              <w:t>ų Nr. ir reikalavimai</w:t>
            </w:r>
          </w:p>
        </w:tc>
        <w:tc>
          <w:tcPr>
            <w:tcW w:w="4606" w:type="dxa"/>
            <w:tcBorders>
              <w:top w:val="single" w:sz="4" w:space="0" w:color="auto"/>
              <w:left w:val="nil"/>
              <w:bottom w:val="single" w:sz="4" w:space="0" w:color="auto"/>
              <w:right w:val="single" w:sz="4" w:space="0" w:color="auto"/>
            </w:tcBorders>
            <w:shd w:val="clear" w:color="000000" w:fill="D9D9D9"/>
          </w:tcPr>
          <w:p w14:paraId="5F0E6F65" w14:textId="14329504" w:rsidR="005319B5" w:rsidRPr="009322D6" w:rsidRDefault="005319B5" w:rsidP="009459D0">
            <w:pPr>
              <w:jc w:val="both"/>
              <w:rPr>
                <w:sz w:val="22"/>
                <w:szCs w:val="22"/>
              </w:rPr>
            </w:pPr>
            <w:r w:rsidRPr="009322D6">
              <w:rPr>
                <w:b/>
                <w:bCs/>
                <w:color w:val="000000"/>
                <w:sz w:val="22"/>
                <w:szCs w:val="22"/>
              </w:rPr>
              <w:t>Tiekėjų siūlymai/klausimai</w:t>
            </w:r>
          </w:p>
        </w:tc>
        <w:tc>
          <w:tcPr>
            <w:tcW w:w="5010" w:type="dxa"/>
            <w:tcBorders>
              <w:top w:val="single" w:sz="8" w:space="0" w:color="auto"/>
              <w:left w:val="nil"/>
              <w:bottom w:val="single" w:sz="8" w:space="0" w:color="auto"/>
              <w:right w:val="single" w:sz="8" w:space="0" w:color="auto"/>
            </w:tcBorders>
            <w:shd w:val="clear" w:color="000000" w:fill="D9D9D9"/>
          </w:tcPr>
          <w:p w14:paraId="47D4693B" w14:textId="67952114" w:rsidR="005319B5" w:rsidRPr="009322D6" w:rsidRDefault="005319B5" w:rsidP="009459D0">
            <w:pPr>
              <w:jc w:val="both"/>
              <w:rPr>
                <w:sz w:val="22"/>
                <w:szCs w:val="22"/>
              </w:rPr>
            </w:pPr>
            <w:r w:rsidRPr="009322D6">
              <w:rPr>
                <w:b/>
                <w:bCs/>
                <w:color w:val="000000"/>
                <w:sz w:val="22"/>
                <w:szCs w:val="22"/>
              </w:rPr>
              <w:t>Atsakymai</w:t>
            </w:r>
          </w:p>
        </w:tc>
      </w:tr>
      <w:tr w:rsidR="005319B5" w:rsidRPr="009322D6" w14:paraId="07040E05" w14:textId="77777777" w:rsidTr="005319B5">
        <w:trPr>
          <w:trHeight w:val="624"/>
        </w:trPr>
        <w:tc>
          <w:tcPr>
            <w:tcW w:w="2223" w:type="dxa"/>
            <w:tcBorders>
              <w:top w:val="single" w:sz="4" w:space="0" w:color="auto"/>
              <w:left w:val="single" w:sz="4" w:space="0" w:color="auto"/>
              <w:bottom w:val="single" w:sz="4" w:space="0" w:color="auto"/>
              <w:right w:val="single" w:sz="4" w:space="0" w:color="auto"/>
            </w:tcBorders>
            <w:shd w:val="clear" w:color="auto" w:fill="auto"/>
          </w:tcPr>
          <w:p w14:paraId="73CC7ECD" w14:textId="3BA209AF" w:rsidR="005319B5" w:rsidRPr="009322D6" w:rsidRDefault="005319B5" w:rsidP="009459D0">
            <w:pPr>
              <w:jc w:val="center"/>
              <w:rPr>
                <w:b/>
                <w:bCs/>
                <w:sz w:val="22"/>
                <w:szCs w:val="22"/>
              </w:rPr>
            </w:pPr>
            <w:r w:rsidRPr="009322D6">
              <w:rPr>
                <w:b/>
                <w:bCs/>
                <w:sz w:val="22"/>
                <w:szCs w:val="22"/>
              </w:rPr>
              <w:t>Bendrieji reikalavimai</w:t>
            </w:r>
          </w:p>
        </w:tc>
        <w:tc>
          <w:tcPr>
            <w:tcW w:w="2927" w:type="dxa"/>
            <w:tcBorders>
              <w:top w:val="single" w:sz="4" w:space="0" w:color="auto"/>
              <w:left w:val="nil"/>
              <w:bottom w:val="single" w:sz="4" w:space="0" w:color="auto"/>
              <w:right w:val="single" w:sz="4" w:space="0" w:color="auto"/>
            </w:tcBorders>
            <w:shd w:val="clear" w:color="auto" w:fill="auto"/>
          </w:tcPr>
          <w:p w14:paraId="0729844C" w14:textId="0A50352A" w:rsidR="005319B5" w:rsidRPr="009322D6" w:rsidRDefault="005319B5" w:rsidP="009459D0">
            <w:pPr>
              <w:rPr>
                <w:sz w:val="22"/>
                <w:szCs w:val="22"/>
              </w:rPr>
            </w:pPr>
            <w:r w:rsidRPr="009322D6">
              <w:rPr>
                <w:sz w:val="22"/>
                <w:szCs w:val="22"/>
              </w:rPr>
              <w:t>1.2. Prekės turi būti pažymėtos CE ženklu. Kartu su pasiūlymu turi būti pateikti CE sertifikatai arba lygiaverčiai dokumentai, patvirtinantys, kad tiekėjo siūlomos prekės atitinka Medicinos priemonių reglamentui (2017/745/ES) ir In vitro diagnostikos medicinos priemonių reglamentui (2017/746/ES), nustatytus reikalavimus (pateikiamos skaitmeninės dokumento kopijos).</w:t>
            </w:r>
          </w:p>
        </w:tc>
        <w:tc>
          <w:tcPr>
            <w:tcW w:w="4606" w:type="dxa"/>
            <w:tcBorders>
              <w:top w:val="single" w:sz="4" w:space="0" w:color="auto"/>
              <w:left w:val="nil"/>
              <w:bottom w:val="single" w:sz="4" w:space="0" w:color="auto"/>
              <w:right w:val="single" w:sz="4" w:space="0" w:color="auto"/>
            </w:tcBorders>
            <w:shd w:val="clear" w:color="auto" w:fill="auto"/>
          </w:tcPr>
          <w:p w14:paraId="2CA85114" w14:textId="3CC71ABB" w:rsidR="005319B5" w:rsidRPr="009322D6" w:rsidRDefault="005319B5" w:rsidP="009459D0">
            <w:pPr>
              <w:jc w:val="both"/>
              <w:rPr>
                <w:sz w:val="22"/>
                <w:szCs w:val="22"/>
              </w:rPr>
            </w:pPr>
            <w:r w:rsidRPr="009322D6">
              <w:rPr>
                <w:sz w:val="22"/>
                <w:szCs w:val="22"/>
              </w:rPr>
              <w:t>Reikalavimas būti išdėstytas taip: Prekės turi būti pažymėtos CE ženklu. Kartu su pasiūlymu turi būti pateikti CE sertifikatai arba lygiaverčiai dokumentai, patvirtinantys, kad tiekėjo siūlomos prekės atitinka Medicinos priemonių reglamentui (2017/745/ES) ir In vitro diagnostikos medicinos priemonių reglamentui (2017/746/ES) arba Direktyvą 98/79/EB (IVDD), nustatytus reikalavimus (pateikiamos skaitmeninės dokumento kopijos).                                                                                              „Pagal Reglamento (ES) 2017/746 110 straipsnį pereinamasis laikotarpis leidžia tam</w:t>
            </w:r>
          </w:p>
          <w:p w14:paraId="503B2DE7" w14:textId="77777777" w:rsidR="005319B5" w:rsidRPr="009322D6" w:rsidRDefault="005319B5" w:rsidP="009459D0">
            <w:pPr>
              <w:jc w:val="both"/>
              <w:rPr>
                <w:sz w:val="22"/>
                <w:szCs w:val="22"/>
              </w:rPr>
            </w:pPr>
            <w:r w:rsidRPr="009322D6">
              <w:rPr>
                <w:sz w:val="22"/>
                <w:szCs w:val="22"/>
              </w:rPr>
              <w:t>tikroms in vitro diagnostikos medicinos priemonėms, kurios buvo teisėtai sertifikuotos pagal</w:t>
            </w:r>
          </w:p>
          <w:p w14:paraId="095CD542" w14:textId="77777777" w:rsidR="005319B5" w:rsidRPr="009322D6" w:rsidRDefault="005319B5" w:rsidP="009459D0">
            <w:pPr>
              <w:jc w:val="both"/>
              <w:rPr>
                <w:sz w:val="22"/>
                <w:szCs w:val="22"/>
              </w:rPr>
            </w:pPr>
            <w:r w:rsidRPr="009322D6">
              <w:rPr>
                <w:sz w:val="22"/>
                <w:szCs w:val="22"/>
              </w:rPr>
              <w:t>Direktyvą 98/79/EB (IVDD), likti rinkoje ir būti naudojamoms iki atitinkamų pereinamojo</w:t>
            </w:r>
          </w:p>
          <w:p w14:paraId="496DEC63" w14:textId="77777777" w:rsidR="005319B5" w:rsidRPr="009322D6" w:rsidRDefault="005319B5" w:rsidP="009459D0">
            <w:pPr>
              <w:jc w:val="both"/>
              <w:rPr>
                <w:sz w:val="22"/>
                <w:szCs w:val="22"/>
              </w:rPr>
            </w:pPr>
            <w:r w:rsidRPr="009322D6">
              <w:rPr>
                <w:sz w:val="22"/>
                <w:szCs w:val="22"/>
              </w:rPr>
              <w:t>laikotarpio terminų“.</w:t>
            </w:r>
          </w:p>
          <w:p w14:paraId="191280A3" w14:textId="77777777" w:rsidR="005319B5" w:rsidRPr="009322D6" w:rsidRDefault="005319B5" w:rsidP="009459D0">
            <w:pPr>
              <w:jc w:val="both"/>
              <w:rPr>
                <w:sz w:val="22"/>
                <w:szCs w:val="22"/>
              </w:rPr>
            </w:pPr>
            <w:r w:rsidRPr="009322D6">
              <w:rPr>
                <w:sz w:val="22"/>
                <w:szCs w:val="22"/>
              </w:rPr>
              <w:t>Nuoroda į dokumentą nurodantį produktų pereinamojo laikotarpio terminus:</w:t>
            </w:r>
          </w:p>
          <w:p w14:paraId="5EC51AF8" w14:textId="75DDAB8D" w:rsidR="005319B5" w:rsidRPr="009322D6" w:rsidRDefault="005319B5" w:rsidP="009459D0">
            <w:pPr>
              <w:jc w:val="both"/>
              <w:rPr>
                <w:sz w:val="22"/>
                <w:szCs w:val="22"/>
              </w:rPr>
            </w:pPr>
            <w:r w:rsidRPr="009322D6">
              <w:rPr>
                <w:sz w:val="22"/>
                <w:szCs w:val="22"/>
              </w:rPr>
              <w:t>https://eur-lex.europa.eu/legal-content/EN/TXT/PDF/?uri=CELEX:32022R0112</w:t>
            </w:r>
          </w:p>
        </w:tc>
        <w:tc>
          <w:tcPr>
            <w:tcW w:w="5010" w:type="dxa"/>
            <w:tcBorders>
              <w:top w:val="single" w:sz="8" w:space="0" w:color="auto"/>
              <w:left w:val="nil"/>
              <w:bottom w:val="single" w:sz="8" w:space="0" w:color="auto"/>
              <w:right w:val="single" w:sz="8" w:space="0" w:color="auto"/>
            </w:tcBorders>
            <w:shd w:val="clear" w:color="auto" w:fill="auto"/>
          </w:tcPr>
          <w:p w14:paraId="107CE6C4" w14:textId="77777777" w:rsidR="005319B5" w:rsidRPr="009322D6" w:rsidRDefault="009C3FFA" w:rsidP="009459D0">
            <w:pPr>
              <w:jc w:val="both"/>
              <w:rPr>
                <w:sz w:val="22"/>
                <w:szCs w:val="22"/>
              </w:rPr>
            </w:pPr>
            <w:r w:rsidRPr="009322D6">
              <w:rPr>
                <w:sz w:val="22"/>
                <w:szCs w:val="22"/>
              </w:rPr>
              <w:t>Perkančioji organizacija koreguoja Bendrųjų reikalavimų 1.2. punktą ir išdėsto jį taip:</w:t>
            </w:r>
          </w:p>
          <w:p w14:paraId="4AA8813F" w14:textId="7BC8DAA1" w:rsidR="009C3FFA" w:rsidRPr="009322D6" w:rsidRDefault="009C3FFA" w:rsidP="009459D0">
            <w:pPr>
              <w:jc w:val="both"/>
              <w:rPr>
                <w:sz w:val="22"/>
                <w:szCs w:val="22"/>
              </w:rPr>
            </w:pPr>
            <w:r w:rsidRPr="009322D6">
              <w:rPr>
                <w:sz w:val="22"/>
                <w:szCs w:val="22"/>
              </w:rPr>
              <w:t xml:space="preserve">1.2. Prekės turi būti pažymėtos CE ženklu. Kartu su pasiūlymu turi būti pateikti CE sertifikatai arba lygiaverčiai dokumentai, patvirtinantys, kad tiekėjo siūlomos prekės atitinka Medicinos priemonių reglamentui (2017/745/ES) ir In vitro diagnostikos medicinos priemonių reglamentui (2017/746/ES) </w:t>
            </w:r>
            <w:r w:rsidRPr="009A43DF">
              <w:rPr>
                <w:b/>
                <w:bCs/>
                <w:sz w:val="22"/>
                <w:szCs w:val="22"/>
              </w:rPr>
              <w:t xml:space="preserve">arba Direktyvą 98/79/EB (IVDD), </w:t>
            </w:r>
            <w:r w:rsidRPr="009322D6">
              <w:rPr>
                <w:sz w:val="22"/>
                <w:szCs w:val="22"/>
              </w:rPr>
              <w:t xml:space="preserve">nustatytus reikalavimus (pateikiamos skaitmeninės dokumento kopijos).                                                                                              </w:t>
            </w:r>
          </w:p>
        </w:tc>
      </w:tr>
      <w:tr w:rsidR="005319B5" w:rsidRPr="009322D6" w14:paraId="0A906E51" w14:textId="77777777" w:rsidTr="005319B5">
        <w:trPr>
          <w:trHeight w:val="624"/>
        </w:trPr>
        <w:tc>
          <w:tcPr>
            <w:tcW w:w="2223" w:type="dxa"/>
            <w:tcBorders>
              <w:top w:val="single" w:sz="4" w:space="0" w:color="auto"/>
              <w:left w:val="single" w:sz="4" w:space="0" w:color="auto"/>
              <w:bottom w:val="single" w:sz="4" w:space="0" w:color="auto"/>
              <w:right w:val="single" w:sz="4" w:space="0" w:color="auto"/>
            </w:tcBorders>
            <w:shd w:val="clear" w:color="auto" w:fill="auto"/>
          </w:tcPr>
          <w:p w14:paraId="419A8FE3" w14:textId="19BD04BD" w:rsidR="005319B5" w:rsidRPr="009322D6" w:rsidRDefault="005319B5" w:rsidP="009459D0">
            <w:pPr>
              <w:jc w:val="center"/>
              <w:rPr>
                <w:b/>
                <w:bCs/>
                <w:sz w:val="22"/>
                <w:szCs w:val="22"/>
              </w:rPr>
            </w:pPr>
            <w:r w:rsidRPr="009322D6">
              <w:rPr>
                <w:b/>
                <w:bCs/>
                <w:sz w:val="22"/>
                <w:szCs w:val="22"/>
              </w:rPr>
              <w:t>3.1. SARS-CoV-2/Flu A+B/RSV kombinuotas antigenų nustatymas</w:t>
            </w:r>
          </w:p>
        </w:tc>
        <w:tc>
          <w:tcPr>
            <w:tcW w:w="2927" w:type="dxa"/>
            <w:tcBorders>
              <w:top w:val="single" w:sz="4" w:space="0" w:color="auto"/>
              <w:left w:val="nil"/>
              <w:bottom w:val="single" w:sz="4" w:space="0" w:color="auto"/>
              <w:right w:val="single" w:sz="4" w:space="0" w:color="auto"/>
            </w:tcBorders>
            <w:shd w:val="clear" w:color="auto" w:fill="auto"/>
          </w:tcPr>
          <w:p w14:paraId="618EC889" w14:textId="6E7BA821" w:rsidR="005319B5" w:rsidRPr="009322D6" w:rsidRDefault="005319B5" w:rsidP="009459D0">
            <w:pPr>
              <w:rPr>
                <w:sz w:val="22"/>
                <w:szCs w:val="22"/>
              </w:rPr>
            </w:pPr>
            <w:r w:rsidRPr="009322D6">
              <w:rPr>
                <w:sz w:val="22"/>
                <w:szCs w:val="22"/>
              </w:rPr>
              <w:t xml:space="preserve">Testas atliekamas ėminyje iš nosiaryklės. Tiekėjas turi pateikti ir ėminio paėmimo priemones. Ėminio paėmimo priemonės gali būti pateiktos kaip atskiros prekės arba sukomplektuotos su testais ir kitomis priemonėmis. Ėminio paėmimo tamponėliai turi būti </w:t>
            </w:r>
            <w:r w:rsidRPr="009322D6">
              <w:rPr>
                <w:sz w:val="22"/>
                <w:szCs w:val="22"/>
              </w:rPr>
              <w:lastRenderedPageBreak/>
              <w:t>sterilūs. Siūlomi greitieji imunochromatografiniai testai skirti nustatyti SARS-CoV-2, gripo A ir gripo B, RSV virusų Ag (antigenus) nosiaryklės tepinėlio mėginyje, visų patogenų nustatymą atliekant vienoje testo kasetėje/plokštelėje diferencijuojant  paminėtus virusus. Kiekvienas testas supakuotas individualiai, dėžutėje po 20 - 25 vienetus. Imunochromatografinis metodas, lyginant su PGR metodo rezultatais: -SARS-CoV-2 jautrumas &gt;98%, specifiškumas &gt;99,70%; Influenzae A jautrumas &gt;98%, specifiškumas &gt;99,70%; Influnezae B jautrumas &gt;98%, specifiškumas &gt;99,70%; RSV jautrumas &gt;97%, specifiškumas &gt;99,50%. Testo rezultatas gaunamas per 15 min, bet ne ilgiau kaip 20 min. Testo galiojimo terminas ne trumpesnis nei 18 mėn. nuo prekių pristatymo dienos.</w:t>
            </w:r>
          </w:p>
        </w:tc>
        <w:tc>
          <w:tcPr>
            <w:tcW w:w="4606" w:type="dxa"/>
            <w:tcBorders>
              <w:top w:val="single" w:sz="4" w:space="0" w:color="auto"/>
              <w:left w:val="nil"/>
              <w:bottom w:val="single" w:sz="4" w:space="0" w:color="auto"/>
              <w:right w:val="single" w:sz="4" w:space="0" w:color="auto"/>
            </w:tcBorders>
            <w:shd w:val="clear" w:color="auto" w:fill="auto"/>
          </w:tcPr>
          <w:p w14:paraId="1111AAD6" w14:textId="77777777" w:rsidR="005319B5" w:rsidRPr="009322D6" w:rsidRDefault="005319B5" w:rsidP="009459D0">
            <w:pPr>
              <w:jc w:val="both"/>
              <w:rPr>
                <w:sz w:val="22"/>
                <w:szCs w:val="22"/>
              </w:rPr>
            </w:pPr>
            <w:r w:rsidRPr="009322D6">
              <w:rPr>
                <w:sz w:val="22"/>
                <w:szCs w:val="22"/>
              </w:rPr>
              <w:lastRenderedPageBreak/>
              <w:t>Pastaba, pasiūlymas Nr. 1.</w:t>
            </w:r>
          </w:p>
          <w:p w14:paraId="686170B8" w14:textId="1EE87732" w:rsidR="005319B5" w:rsidRPr="009322D6" w:rsidRDefault="005319B5" w:rsidP="009459D0">
            <w:pPr>
              <w:jc w:val="both"/>
              <w:rPr>
                <w:sz w:val="22"/>
                <w:szCs w:val="22"/>
              </w:rPr>
            </w:pPr>
            <w:r w:rsidRPr="009322D6">
              <w:rPr>
                <w:sz w:val="22"/>
                <w:szCs w:val="22"/>
              </w:rPr>
              <w:t xml:space="preserve">Siūlome įrašyti kad dėžutėje turi būti ne daugiau 25, kadangi testo kasetės yra žymiai didesnės nei Covid/gripo testų ir kiekvienas gamintojas skirtingai pakuoja. Paprastai būna nuo 10 iki 20 vnt. pak. tokio tipo testams. Iš kur paimti Jautrumai ir Specifiškumai? Prašome suvienodinti, nes atrodo kad </w:t>
            </w:r>
            <w:r w:rsidR="009A43DF" w:rsidRPr="009322D6">
              <w:rPr>
                <w:sz w:val="22"/>
                <w:szCs w:val="22"/>
              </w:rPr>
              <w:t>nurašėte</w:t>
            </w:r>
            <w:r w:rsidRPr="009322D6">
              <w:rPr>
                <w:sz w:val="22"/>
                <w:szCs w:val="22"/>
              </w:rPr>
              <w:t xml:space="preserve"> nuo tam tikro testo. Siūlome Jautrumą visoms pozicijoms </w:t>
            </w:r>
            <w:r w:rsidRPr="009322D6">
              <w:rPr>
                <w:sz w:val="22"/>
                <w:szCs w:val="22"/>
              </w:rPr>
              <w:lastRenderedPageBreak/>
              <w:t>ne mažiau 94%, specifiškumas ne mažiau 99%. Testo galiojimo terminas ne trumpesnis nei 15 mėn. nuo prekių pristatymo dienos, kadangi daugelis gamintojų deklaruoja 18 mėn. galiojimą.</w:t>
            </w:r>
          </w:p>
          <w:p w14:paraId="6FAA193D" w14:textId="77777777" w:rsidR="005319B5" w:rsidRPr="009322D6" w:rsidRDefault="005319B5" w:rsidP="009459D0">
            <w:pPr>
              <w:jc w:val="both"/>
              <w:rPr>
                <w:sz w:val="22"/>
                <w:szCs w:val="22"/>
              </w:rPr>
            </w:pPr>
          </w:p>
          <w:p w14:paraId="5C066200" w14:textId="77777777" w:rsidR="005319B5" w:rsidRPr="009322D6" w:rsidRDefault="005319B5" w:rsidP="009459D0">
            <w:pPr>
              <w:jc w:val="both"/>
              <w:rPr>
                <w:sz w:val="22"/>
                <w:szCs w:val="22"/>
              </w:rPr>
            </w:pPr>
            <w:r w:rsidRPr="009322D6">
              <w:rPr>
                <w:sz w:val="22"/>
                <w:szCs w:val="22"/>
              </w:rPr>
              <w:t>Pastaba, pasiūlymas Nr.2.</w:t>
            </w:r>
          </w:p>
          <w:p w14:paraId="166F9961" w14:textId="77777777" w:rsidR="005319B5" w:rsidRPr="009322D6" w:rsidRDefault="005319B5" w:rsidP="00041395">
            <w:pPr>
              <w:jc w:val="both"/>
              <w:rPr>
                <w:sz w:val="22"/>
                <w:szCs w:val="22"/>
              </w:rPr>
            </w:pPr>
            <w:r w:rsidRPr="009322D6">
              <w:rPr>
                <w:sz w:val="22"/>
                <w:szCs w:val="22"/>
              </w:rPr>
              <w:t xml:space="preserve">Prašome koreguoti RSV specifiškumo reikalavimą į ≥ 97,75%. </w:t>
            </w:r>
          </w:p>
          <w:p w14:paraId="525BEEA3" w14:textId="77777777" w:rsidR="005319B5" w:rsidRPr="009322D6" w:rsidRDefault="005319B5" w:rsidP="00041395">
            <w:pPr>
              <w:jc w:val="both"/>
              <w:rPr>
                <w:sz w:val="22"/>
                <w:szCs w:val="22"/>
              </w:rPr>
            </w:pPr>
            <w:r w:rsidRPr="009322D6">
              <w:rPr>
                <w:sz w:val="22"/>
                <w:szCs w:val="22"/>
              </w:rPr>
              <w:t>Tyrimai rodo, kad dauguma greitųjų RSV antigeno testų turi specifiškumą nuo 97% iki 99%, priklausomai nuo naudojamos technologijos, mėginio kokybės ir pacientų populiacijos.</w:t>
            </w:r>
          </w:p>
          <w:p w14:paraId="2BDEB93C" w14:textId="77777777" w:rsidR="005319B5" w:rsidRPr="009322D6" w:rsidRDefault="005319B5" w:rsidP="00041395">
            <w:pPr>
              <w:jc w:val="both"/>
              <w:rPr>
                <w:sz w:val="22"/>
                <w:szCs w:val="22"/>
              </w:rPr>
            </w:pPr>
            <w:r w:rsidRPr="009322D6">
              <w:rPr>
                <w:sz w:val="22"/>
                <w:szCs w:val="22"/>
              </w:rPr>
              <w:t>CDC (Centers for Disease Control and Prevention) ir PSO (Pasaulio sveikatos organizacija) nurodo, kad RSV greitieji antigenų testai yra naudingi pirminei diagnostikai, tačiau jie neturi absoliutaus 99,50% specifiškumo standarto.</w:t>
            </w:r>
          </w:p>
          <w:p w14:paraId="1A74FA5B" w14:textId="77777777" w:rsidR="005319B5" w:rsidRPr="009322D6" w:rsidRDefault="005319B5" w:rsidP="00041395">
            <w:pPr>
              <w:jc w:val="both"/>
              <w:rPr>
                <w:sz w:val="22"/>
                <w:szCs w:val="22"/>
              </w:rPr>
            </w:pPr>
            <w:r w:rsidRPr="009322D6">
              <w:rPr>
                <w:sz w:val="22"/>
                <w:szCs w:val="22"/>
              </w:rPr>
              <w:t>Daugelis gamintojų pateikia specifiškumo rodiklius 97,5–99% diapazone. Griežtesnis nei 99,50% reikalavimas ribotų tiekėjų galimybes ir nepagrįstai didintų testų kainą.</w:t>
            </w:r>
          </w:p>
          <w:p w14:paraId="14B53A72" w14:textId="77777777" w:rsidR="005319B5" w:rsidRPr="009322D6" w:rsidRDefault="005319B5" w:rsidP="00041395">
            <w:pPr>
              <w:jc w:val="both"/>
              <w:rPr>
                <w:sz w:val="22"/>
                <w:szCs w:val="22"/>
              </w:rPr>
            </w:pPr>
            <w:r w:rsidRPr="009322D6">
              <w:rPr>
                <w:sz w:val="22"/>
                <w:szCs w:val="22"/>
              </w:rPr>
              <w:t>Ligoninėse greitieji RSV antigenų testai naudojami kaip atrankiniai, ir jei kyla abejonių, pacientams gali būti atliekamas papildomas tyrimas.</w:t>
            </w:r>
          </w:p>
          <w:p w14:paraId="078FE289" w14:textId="77777777" w:rsidR="005319B5" w:rsidRPr="009322D6" w:rsidRDefault="005319B5" w:rsidP="00041395">
            <w:pPr>
              <w:jc w:val="both"/>
              <w:rPr>
                <w:sz w:val="22"/>
                <w:szCs w:val="22"/>
              </w:rPr>
            </w:pPr>
            <w:r w:rsidRPr="009322D6">
              <w:rPr>
                <w:sz w:val="22"/>
                <w:szCs w:val="22"/>
              </w:rPr>
              <w:t>Net ir su specifiškumu 97,75%, klaidingai teigiamų rezultatų tikimybė yra labai maža, todėl klinikinėje praktikoje tai nesukelia diagnostinių problemų. Klinikinė taktika RSV atvejais grindžiama simptomais ir epidemiologiniais duomenimis, todėl absoliutus specifiškumo reikalavimas nėra kritiškai svarbus.</w:t>
            </w:r>
          </w:p>
          <w:p w14:paraId="3DB01E24" w14:textId="35F2614F" w:rsidR="005319B5" w:rsidRPr="009322D6" w:rsidRDefault="005319B5" w:rsidP="00041395">
            <w:pPr>
              <w:jc w:val="both"/>
              <w:rPr>
                <w:sz w:val="22"/>
                <w:szCs w:val="22"/>
              </w:rPr>
            </w:pPr>
            <w:r w:rsidRPr="009322D6">
              <w:rPr>
                <w:sz w:val="22"/>
                <w:szCs w:val="22"/>
              </w:rPr>
              <w:t>Specifiškumo reikalavimo sumažinimas iki ≥97,75% nesumažina diagnostinės kokybės, tačiau leidžia išvengti nereikalingo testų branginimo ir užtikrinti platesnį gamintojų pasirinkimą.</w:t>
            </w:r>
          </w:p>
        </w:tc>
        <w:tc>
          <w:tcPr>
            <w:tcW w:w="5010" w:type="dxa"/>
            <w:tcBorders>
              <w:top w:val="single" w:sz="8" w:space="0" w:color="auto"/>
              <w:left w:val="nil"/>
              <w:bottom w:val="single" w:sz="8" w:space="0" w:color="auto"/>
              <w:right w:val="single" w:sz="8" w:space="0" w:color="auto"/>
            </w:tcBorders>
            <w:shd w:val="clear" w:color="auto" w:fill="auto"/>
          </w:tcPr>
          <w:p w14:paraId="43672FA2" w14:textId="77777777" w:rsidR="009322D6" w:rsidRPr="009322D6" w:rsidRDefault="009322D6" w:rsidP="009322D6">
            <w:pPr>
              <w:jc w:val="both"/>
              <w:rPr>
                <w:sz w:val="22"/>
                <w:szCs w:val="22"/>
              </w:rPr>
            </w:pPr>
            <w:r w:rsidRPr="009322D6">
              <w:rPr>
                <w:sz w:val="22"/>
                <w:szCs w:val="22"/>
              </w:rPr>
              <w:lastRenderedPageBreak/>
              <w:t>Perkančioji organizacija koreguoja reikalavimą dėl supakavimo ir nurodo:</w:t>
            </w:r>
          </w:p>
          <w:p w14:paraId="689B20F5" w14:textId="77777777" w:rsidR="009322D6" w:rsidRPr="009A43DF" w:rsidRDefault="009322D6" w:rsidP="009322D6">
            <w:pPr>
              <w:jc w:val="both"/>
              <w:rPr>
                <w:b/>
                <w:bCs/>
                <w:sz w:val="22"/>
                <w:szCs w:val="22"/>
              </w:rPr>
            </w:pPr>
            <w:r w:rsidRPr="009322D6">
              <w:rPr>
                <w:sz w:val="22"/>
                <w:szCs w:val="22"/>
              </w:rPr>
              <w:t xml:space="preserve">Kiekvienas testas supakuotas individualiai, dėžutėje </w:t>
            </w:r>
            <w:r w:rsidRPr="009A43DF">
              <w:rPr>
                <w:b/>
                <w:bCs/>
                <w:sz w:val="22"/>
                <w:szCs w:val="22"/>
              </w:rPr>
              <w:t>iki 30 vienetų.</w:t>
            </w:r>
          </w:p>
          <w:p w14:paraId="224C3F4E" w14:textId="77777777" w:rsidR="009322D6" w:rsidRPr="009322D6" w:rsidRDefault="009322D6" w:rsidP="009322D6">
            <w:pPr>
              <w:jc w:val="both"/>
              <w:rPr>
                <w:sz w:val="22"/>
                <w:szCs w:val="22"/>
              </w:rPr>
            </w:pPr>
          </w:p>
          <w:p w14:paraId="6225672E" w14:textId="77777777" w:rsidR="009322D6" w:rsidRPr="009322D6" w:rsidRDefault="009322D6" w:rsidP="009322D6">
            <w:pPr>
              <w:jc w:val="both"/>
              <w:rPr>
                <w:sz w:val="22"/>
                <w:szCs w:val="22"/>
              </w:rPr>
            </w:pPr>
            <w:r w:rsidRPr="009322D6">
              <w:rPr>
                <w:sz w:val="22"/>
                <w:szCs w:val="22"/>
              </w:rPr>
              <w:t>Perkančioji organizacija koreguoja reikalavimą dėl testų galiojimo termino ir nurodo:</w:t>
            </w:r>
          </w:p>
          <w:p w14:paraId="14E07A7A" w14:textId="4FF4335D" w:rsidR="009322D6" w:rsidRPr="009322D6" w:rsidRDefault="009322D6" w:rsidP="009322D6">
            <w:pPr>
              <w:jc w:val="both"/>
              <w:rPr>
                <w:sz w:val="22"/>
                <w:szCs w:val="22"/>
              </w:rPr>
            </w:pPr>
            <w:r w:rsidRPr="009322D6">
              <w:rPr>
                <w:sz w:val="22"/>
                <w:szCs w:val="22"/>
              </w:rPr>
              <w:t xml:space="preserve">Testo galiojimo terminas ne trumpesnis </w:t>
            </w:r>
            <w:r w:rsidRPr="009A43DF">
              <w:rPr>
                <w:b/>
                <w:bCs/>
                <w:sz w:val="22"/>
                <w:szCs w:val="22"/>
              </w:rPr>
              <w:t>nei 15 mėn.</w:t>
            </w:r>
            <w:r w:rsidRPr="009322D6">
              <w:rPr>
                <w:sz w:val="22"/>
                <w:szCs w:val="22"/>
              </w:rPr>
              <w:t xml:space="preserve"> nuo prekių pristatymo dienos.</w:t>
            </w:r>
          </w:p>
          <w:p w14:paraId="26A0CA89" w14:textId="02C756CB" w:rsidR="009C3FFA" w:rsidRPr="009322D6" w:rsidRDefault="009C3FFA" w:rsidP="009C3FFA">
            <w:pPr>
              <w:jc w:val="both"/>
              <w:rPr>
                <w:sz w:val="22"/>
                <w:szCs w:val="22"/>
              </w:rPr>
            </w:pPr>
            <w:r w:rsidRPr="009322D6">
              <w:rPr>
                <w:sz w:val="22"/>
                <w:szCs w:val="22"/>
              </w:rPr>
              <w:lastRenderedPageBreak/>
              <w:t>Atsižvelgiant į greitųjų testų, taikomų mūsų skubiosios medicinos pagalbos skyriuje ir skubiosios medicinos pagalbos kabinete, tikslumas - jautrumas ir specifiškumas turi atitikti molekulinių tyrimų parametrus. Šie testai skirti savalaikiam ir greitam ligų diagnozavimui, o ne tik pacientų srautų reguliavimui, todėl mažinant jautrumo ir specifiškumo procentą, jų  atrankinis pobūdis nėra priimtinas.</w:t>
            </w:r>
          </w:p>
          <w:p w14:paraId="0186A5B7" w14:textId="77777777" w:rsidR="009C3FFA" w:rsidRPr="009322D6" w:rsidRDefault="009C3FFA" w:rsidP="009C3FFA">
            <w:pPr>
              <w:jc w:val="both"/>
              <w:rPr>
                <w:sz w:val="22"/>
                <w:szCs w:val="22"/>
              </w:rPr>
            </w:pPr>
          </w:p>
          <w:p w14:paraId="17FDF996" w14:textId="77777777" w:rsidR="005319B5" w:rsidRPr="009322D6" w:rsidRDefault="009C3FFA" w:rsidP="009C3FFA">
            <w:pPr>
              <w:jc w:val="both"/>
              <w:rPr>
                <w:sz w:val="22"/>
                <w:szCs w:val="22"/>
              </w:rPr>
            </w:pPr>
            <w:r w:rsidRPr="009322D6">
              <w:rPr>
                <w:sz w:val="22"/>
                <w:szCs w:val="22"/>
              </w:rPr>
              <w:t>Mažinant testų jautrumą ir specifiškumą, jų patikimumas reikšmingai sumažėtų, o tai reikštų būtinybę atlikti  papildomus molekulinius tyrimus. Toks procesas ne tik pailgintų diagnostikos laiką, bet ir padidintų kaštus ligos diagnostikai. Dabartiniai iškelti reikalavimai testams jau atitinka molekulinių metodų standartus, todėl mažinant anksčiau paminėtus parametrus gali kompromituoti gydymo proceso efektyvumą ir tikslumą.</w:t>
            </w:r>
          </w:p>
          <w:p w14:paraId="5209860B" w14:textId="77777777" w:rsidR="009C3FFA" w:rsidRPr="009322D6" w:rsidRDefault="009C3FFA" w:rsidP="009C3FFA">
            <w:pPr>
              <w:jc w:val="both"/>
              <w:rPr>
                <w:sz w:val="22"/>
                <w:szCs w:val="22"/>
              </w:rPr>
            </w:pPr>
          </w:p>
          <w:p w14:paraId="03B5C545" w14:textId="77777777" w:rsidR="009C3FFA" w:rsidRPr="009322D6" w:rsidRDefault="009C3FFA" w:rsidP="009C3FFA">
            <w:pPr>
              <w:jc w:val="both"/>
              <w:rPr>
                <w:sz w:val="22"/>
                <w:szCs w:val="22"/>
              </w:rPr>
            </w:pPr>
          </w:p>
          <w:p w14:paraId="73C36512" w14:textId="77777777" w:rsidR="009C3FFA" w:rsidRPr="009322D6" w:rsidRDefault="009C3FFA" w:rsidP="009C3FFA">
            <w:pPr>
              <w:jc w:val="both"/>
              <w:rPr>
                <w:sz w:val="22"/>
                <w:szCs w:val="22"/>
              </w:rPr>
            </w:pPr>
          </w:p>
          <w:p w14:paraId="288113E9" w14:textId="4989B811" w:rsidR="009C3FFA" w:rsidRPr="009322D6" w:rsidRDefault="009C3FFA" w:rsidP="009C3FFA">
            <w:pPr>
              <w:jc w:val="both"/>
              <w:rPr>
                <w:sz w:val="22"/>
                <w:szCs w:val="22"/>
              </w:rPr>
            </w:pPr>
          </w:p>
        </w:tc>
      </w:tr>
      <w:tr w:rsidR="005319B5" w:rsidRPr="009322D6" w14:paraId="56B1A50F" w14:textId="77777777" w:rsidTr="005319B5">
        <w:trPr>
          <w:trHeight w:val="624"/>
        </w:trPr>
        <w:tc>
          <w:tcPr>
            <w:tcW w:w="2223" w:type="dxa"/>
            <w:tcBorders>
              <w:top w:val="single" w:sz="4" w:space="0" w:color="auto"/>
              <w:left w:val="single" w:sz="4" w:space="0" w:color="auto"/>
              <w:bottom w:val="single" w:sz="4" w:space="0" w:color="auto"/>
              <w:right w:val="single" w:sz="4" w:space="0" w:color="auto"/>
            </w:tcBorders>
            <w:shd w:val="clear" w:color="auto" w:fill="auto"/>
          </w:tcPr>
          <w:p w14:paraId="61E4C688" w14:textId="2F4BDE6C" w:rsidR="005319B5" w:rsidRPr="009322D6" w:rsidRDefault="005319B5" w:rsidP="009459D0">
            <w:pPr>
              <w:jc w:val="center"/>
              <w:rPr>
                <w:b/>
                <w:bCs/>
                <w:sz w:val="22"/>
                <w:szCs w:val="22"/>
              </w:rPr>
            </w:pPr>
            <w:r w:rsidRPr="009322D6">
              <w:rPr>
                <w:b/>
                <w:bCs/>
                <w:sz w:val="22"/>
                <w:szCs w:val="22"/>
              </w:rPr>
              <w:lastRenderedPageBreak/>
              <w:t>4.1. SARS-CoV-2/Flu A+B/RSV/Adenovirus pneumonia/ Mycoplasma pneumonae kombinuotas antigenų nustatymas</w:t>
            </w:r>
          </w:p>
        </w:tc>
        <w:tc>
          <w:tcPr>
            <w:tcW w:w="2927" w:type="dxa"/>
            <w:tcBorders>
              <w:top w:val="single" w:sz="4" w:space="0" w:color="auto"/>
              <w:left w:val="nil"/>
              <w:bottom w:val="single" w:sz="4" w:space="0" w:color="auto"/>
              <w:right w:val="single" w:sz="4" w:space="0" w:color="auto"/>
            </w:tcBorders>
            <w:shd w:val="clear" w:color="auto" w:fill="auto"/>
          </w:tcPr>
          <w:p w14:paraId="20A13696" w14:textId="73FCCF25" w:rsidR="005319B5" w:rsidRPr="009322D6" w:rsidRDefault="005319B5" w:rsidP="009459D0">
            <w:pPr>
              <w:rPr>
                <w:sz w:val="22"/>
                <w:szCs w:val="22"/>
              </w:rPr>
            </w:pPr>
            <w:r w:rsidRPr="009322D6">
              <w:rPr>
                <w:sz w:val="22"/>
                <w:szCs w:val="22"/>
              </w:rPr>
              <w:t xml:space="preserve">Testas atliekamas ėminyje iš nosiaryklės.Tiekėjas turi pateikti ir ėminio paėmimo priemones. Ėminio paėmimo priemonės gali būti pateiktos kaip atskiros prekės arba sukomplektuotos su testais ir kitomis priemonėmis. Ėminio paėmimo tamponėliai turi būti sterilūs. Siūlomi greitieji imunochromatografiniai testai skirti nustatyti SARS-CoV-2, gripo A ir gripo B virusų, RSV, Adenovirus pneumonia, mycoplasma pneumoniae Ag (antigenus) nosiaryklės tepinėlio mėginyje, visų patogenų nustatymą atliekant vienoje testo kasetėje/plokštelėje diferencijuojant visus paminėtus virusus. Kiekvienas testas supakuotas individualiai, dėžutėje po 20 - 25 vienetus. Imunochromatografinis metodas, lyginant su PGR metodo rezultatais: -SARS-CoV-2 jautrumas &gt;97,60%, specifiškumas &gt;99%; Influenzae A jautrumas &gt;97%, specifiškumas &gt;99,30%; Influnezae B jautrumas &gt;94,50%, specifiškumas &gt;99,30%; RSV jautrumas &gt;94,80%, specifiškumas &gt;98,30%; Adeno pneumoniae jautrumas &gt;96,70%, specifiškumas </w:t>
            </w:r>
            <w:r w:rsidRPr="009322D6">
              <w:rPr>
                <w:sz w:val="22"/>
                <w:szCs w:val="22"/>
              </w:rPr>
              <w:lastRenderedPageBreak/>
              <w:t>&gt;98,40%; Mycopasma pneumoniae jautrumas &gt;92,80%, specifiškumas &gt;97%. Testo rezultatas gaunamas per 15 min, bet ne ilgiau kaip 20 min. Testo galiojimo terminas ne trumpesnis nei 18 mėn. nuo prekių pristatymo dienos.</w:t>
            </w:r>
          </w:p>
        </w:tc>
        <w:tc>
          <w:tcPr>
            <w:tcW w:w="4606" w:type="dxa"/>
            <w:tcBorders>
              <w:top w:val="single" w:sz="4" w:space="0" w:color="auto"/>
              <w:left w:val="nil"/>
              <w:bottom w:val="single" w:sz="4" w:space="0" w:color="auto"/>
              <w:right w:val="single" w:sz="4" w:space="0" w:color="auto"/>
            </w:tcBorders>
            <w:shd w:val="clear" w:color="auto" w:fill="auto"/>
          </w:tcPr>
          <w:p w14:paraId="6D31C361" w14:textId="77777777" w:rsidR="005319B5" w:rsidRPr="009322D6" w:rsidRDefault="005319B5" w:rsidP="009459D0">
            <w:pPr>
              <w:jc w:val="both"/>
              <w:rPr>
                <w:sz w:val="22"/>
                <w:szCs w:val="22"/>
              </w:rPr>
            </w:pPr>
            <w:r w:rsidRPr="009322D6">
              <w:rPr>
                <w:sz w:val="22"/>
                <w:szCs w:val="22"/>
              </w:rPr>
              <w:lastRenderedPageBreak/>
              <w:t xml:space="preserve">Pastaba, pasiūlymas Nr. 1. </w:t>
            </w:r>
          </w:p>
          <w:p w14:paraId="495296BC" w14:textId="601A54BD" w:rsidR="005319B5" w:rsidRPr="009322D6" w:rsidRDefault="005319B5" w:rsidP="009459D0">
            <w:pPr>
              <w:jc w:val="both"/>
              <w:rPr>
                <w:sz w:val="22"/>
                <w:szCs w:val="22"/>
              </w:rPr>
            </w:pPr>
            <w:r w:rsidRPr="009322D6">
              <w:rPr>
                <w:sz w:val="22"/>
                <w:szCs w:val="22"/>
              </w:rPr>
              <w:t>Siūlome įrašyti kad dėžutėje turi būti ne daugiau 25, kadangi testo kasetės yra žymiai didesnės nei Covid/gripo testų ir kiekvienas gamintojas skirtingai pakuoja.. Paprastai būna nuo 10 iki 20 vnt. pak. tokio tipo testams. Iš kur paimti Jautrumai ir Specifiškumai? Prašome suvienodinti, nes atrodo kad nurašete nuo tam tikro testo.. Siūlome Jautrumą visoms pozicijoms ne mažiau 94%, specifiškumas ne mažiau 99%. Testo galiojimo terminas ne trumpesnis nei 15 mėn. nuo prekių pristatymo dienos, kadangi daugelis gamintojų deklaruoja 18 mėn. galiojimą.</w:t>
            </w:r>
          </w:p>
          <w:p w14:paraId="05FFB28B" w14:textId="77777777" w:rsidR="005319B5" w:rsidRPr="009322D6" w:rsidRDefault="005319B5" w:rsidP="009459D0">
            <w:pPr>
              <w:jc w:val="both"/>
              <w:rPr>
                <w:sz w:val="22"/>
                <w:szCs w:val="22"/>
              </w:rPr>
            </w:pPr>
          </w:p>
          <w:p w14:paraId="3B886FC3" w14:textId="77777777" w:rsidR="005319B5" w:rsidRPr="009322D6" w:rsidRDefault="005319B5" w:rsidP="009459D0">
            <w:pPr>
              <w:jc w:val="both"/>
              <w:rPr>
                <w:sz w:val="22"/>
                <w:szCs w:val="22"/>
              </w:rPr>
            </w:pPr>
          </w:p>
          <w:p w14:paraId="0F226FC5" w14:textId="77777777" w:rsidR="005319B5" w:rsidRPr="009322D6" w:rsidRDefault="005319B5" w:rsidP="009459D0">
            <w:pPr>
              <w:jc w:val="both"/>
              <w:rPr>
                <w:sz w:val="22"/>
                <w:szCs w:val="22"/>
              </w:rPr>
            </w:pPr>
            <w:r w:rsidRPr="009322D6">
              <w:rPr>
                <w:sz w:val="22"/>
                <w:szCs w:val="22"/>
              </w:rPr>
              <w:t>Pastaba, pasiūlymas Nr. 2.</w:t>
            </w:r>
          </w:p>
          <w:p w14:paraId="7D3C2AD2" w14:textId="77777777" w:rsidR="005319B5" w:rsidRPr="009322D6" w:rsidRDefault="005319B5" w:rsidP="00041395">
            <w:pPr>
              <w:jc w:val="both"/>
              <w:rPr>
                <w:sz w:val="22"/>
                <w:szCs w:val="22"/>
              </w:rPr>
            </w:pPr>
            <w:r w:rsidRPr="009322D6">
              <w:rPr>
                <w:sz w:val="22"/>
                <w:szCs w:val="22"/>
              </w:rPr>
              <w:t>Prašome koreguoti visų antigenų jautrumo reikalavimus į:</w:t>
            </w:r>
          </w:p>
          <w:p w14:paraId="0843B88C" w14:textId="77777777" w:rsidR="005319B5" w:rsidRPr="009322D6" w:rsidRDefault="005319B5" w:rsidP="00041395">
            <w:pPr>
              <w:jc w:val="both"/>
              <w:rPr>
                <w:sz w:val="22"/>
                <w:szCs w:val="22"/>
              </w:rPr>
            </w:pPr>
            <w:r w:rsidRPr="009322D6">
              <w:rPr>
                <w:sz w:val="22"/>
                <w:szCs w:val="22"/>
              </w:rPr>
              <w:t>SARS-CoV-2 ≥ 96,08% Influenza A ≥ 94,79%</w:t>
            </w:r>
          </w:p>
          <w:p w14:paraId="290B88E2" w14:textId="77777777" w:rsidR="005319B5" w:rsidRPr="009322D6" w:rsidRDefault="005319B5" w:rsidP="00041395">
            <w:pPr>
              <w:jc w:val="both"/>
              <w:rPr>
                <w:sz w:val="22"/>
                <w:szCs w:val="22"/>
              </w:rPr>
            </w:pPr>
            <w:r w:rsidRPr="009322D6">
              <w:rPr>
                <w:sz w:val="22"/>
                <w:szCs w:val="22"/>
              </w:rPr>
              <w:t xml:space="preserve"> Influenza B ≥ 91,58%</w:t>
            </w:r>
          </w:p>
          <w:p w14:paraId="3A8F1E85" w14:textId="77777777" w:rsidR="005319B5" w:rsidRPr="009322D6" w:rsidRDefault="005319B5" w:rsidP="00041395">
            <w:pPr>
              <w:jc w:val="both"/>
              <w:rPr>
                <w:sz w:val="22"/>
                <w:szCs w:val="22"/>
              </w:rPr>
            </w:pPr>
            <w:r w:rsidRPr="009322D6">
              <w:rPr>
                <w:sz w:val="22"/>
                <w:szCs w:val="22"/>
              </w:rPr>
              <w:t>RSV ≥ 92,31%</w:t>
            </w:r>
          </w:p>
          <w:p w14:paraId="1F9294AF" w14:textId="77777777" w:rsidR="005319B5" w:rsidRPr="009322D6" w:rsidRDefault="005319B5" w:rsidP="00041395">
            <w:pPr>
              <w:jc w:val="both"/>
              <w:rPr>
                <w:sz w:val="22"/>
                <w:szCs w:val="22"/>
              </w:rPr>
            </w:pPr>
            <w:r w:rsidRPr="009322D6">
              <w:rPr>
                <w:sz w:val="22"/>
                <w:szCs w:val="22"/>
              </w:rPr>
              <w:t>Adenovirus pneumonia ≥ 91,51%</w:t>
            </w:r>
          </w:p>
          <w:p w14:paraId="555EB22C" w14:textId="77777777" w:rsidR="005319B5" w:rsidRPr="009322D6" w:rsidRDefault="005319B5" w:rsidP="00041395">
            <w:pPr>
              <w:jc w:val="both"/>
              <w:rPr>
                <w:sz w:val="22"/>
                <w:szCs w:val="22"/>
              </w:rPr>
            </w:pPr>
            <w:r w:rsidRPr="009322D6">
              <w:rPr>
                <w:sz w:val="22"/>
                <w:szCs w:val="22"/>
              </w:rPr>
              <w:t>Prašomi koreguoti jautrumo rodikliai atitinka tarptautinius in vitro diagnostikos reglamentus, siekiant užtikrinti optimalų greitųjų testų prieinamumą ir ekonomiškai pagrįstą konkurenciją.</w:t>
            </w:r>
          </w:p>
          <w:p w14:paraId="2CE62F75" w14:textId="77777777" w:rsidR="005319B5" w:rsidRPr="009322D6" w:rsidRDefault="005319B5" w:rsidP="00041395">
            <w:pPr>
              <w:jc w:val="both"/>
              <w:rPr>
                <w:sz w:val="22"/>
                <w:szCs w:val="22"/>
              </w:rPr>
            </w:pPr>
            <w:r w:rsidRPr="009322D6">
              <w:rPr>
                <w:sz w:val="22"/>
                <w:szCs w:val="22"/>
              </w:rPr>
              <w:t>Aukštesni nei realistiški jautrumo reikalavimai nesuteikia papildomos diagnostinės naudos, tačiau riboja gamintojų pasirinkimą ir gali padidinti testų kainą.</w:t>
            </w:r>
          </w:p>
          <w:p w14:paraId="15B75D72" w14:textId="77777777" w:rsidR="005319B5" w:rsidRPr="009322D6" w:rsidRDefault="005319B5" w:rsidP="00041395">
            <w:pPr>
              <w:jc w:val="both"/>
              <w:rPr>
                <w:sz w:val="22"/>
                <w:szCs w:val="22"/>
              </w:rPr>
            </w:pPr>
            <w:r w:rsidRPr="009322D6">
              <w:rPr>
                <w:sz w:val="22"/>
                <w:szCs w:val="22"/>
              </w:rPr>
              <w:t>Klinikinėje praktikoje svarbiausia yra testų prieinamumas ir diagnostinė vertė, o ne absoliutūs jautrumo rodikliai, nes papildomi tyrimai vis tiek atliekami įtartinais atvejais.</w:t>
            </w:r>
          </w:p>
          <w:p w14:paraId="0C60EB5D" w14:textId="77777777" w:rsidR="005319B5" w:rsidRPr="009322D6" w:rsidRDefault="005319B5" w:rsidP="00041395">
            <w:pPr>
              <w:jc w:val="both"/>
              <w:rPr>
                <w:sz w:val="22"/>
                <w:szCs w:val="22"/>
              </w:rPr>
            </w:pPr>
            <w:r w:rsidRPr="009322D6">
              <w:rPr>
                <w:sz w:val="22"/>
                <w:szCs w:val="22"/>
              </w:rPr>
              <w:t>Koreguoti reikalavimai išlaiko aukštą diagnostinį tikslumą, tačiau leidžia įsigyti ekonomiškai pagrįstus ir patikimus testus.</w:t>
            </w:r>
          </w:p>
          <w:p w14:paraId="00BECAD6" w14:textId="77777777" w:rsidR="005319B5" w:rsidRPr="009322D6" w:rsidRDefault="005319B5" w:rsidP="00041395">
            <w:pPr>
              <w:jc w:val="both"/>
              <w:rPr>
                <w:sz w:val="22"/>
                <w:szCs w:val="22"/>
              </w:rPr>
            </w:pPr>
          </w:p>
          <w:p w14:paraId="6859223F" w14:textId="77777777" w:rsidR="005319B5" w:rsidRPr="009322D6" w:rsidRDefault="005319B5" w:rsidP="00041395">
            <w:pPr>
              <w:jc w:val="both"/>
              <w:rPr>
                <w:sz w:val="22"/>
                <w:szCs w:val="22"/>
              </w:rPr>
            </w:pPr>
            <w:r w:rsidRPr="009322D6">
              <w:rPr>
                <w:sz w:val="22"/>
                <w:szCs w:val="22"/>
              </w:rPr>
              <w:lastRenderedPageBreak/>
              <w:t>Pastaba, pasiūlymas Nr. 3.</w:t>
            </w:r>
          </w:p>
          <w:p w14:paraId="63B7D089" w14:textId="6E010C02" w:rsidR="005319B5" w:rsidRPr="009322D6" w:rsidRDefault="005319B5" w:rsidP="00041395">
            <w:pPr>
              <w:jc w:val="both"/>
              <w:rPr>
                <w:sz w:val="22"/>
                <w:szCs w:val="22"/>
              </w:rPr>
            </w:pPr>
            <w:r w:rsidRPr="009322D6">
              <w:rPr>
                <w:sz w:val="22"/>
                <w:szCs w:val="22"/>
                <w:shd w:val="clear" w:color="auto" w:fill="FFFFFF"/>
              </w:rPr>
              <w:t>Prašome išskaidyti 4 pirkimo dalį ,,Kombinuoti testai antigenų nustatymui su mikoplazma“ į atskiras pirkimo dalis. Tokiu atveju, didesnis tiekėjų skaičius galėtų pateikti pasiūlymus, dalyvauti skirtingose dalyse, būtų užtikrinta lygiavertė konkurencija. Perkančioji organizacija savo atžvilgiu galėtų gauti ekonomiškai naudingesnių pasiūlymų, įsigyjant geriausiai jos poreikius atitinkančias prekes. Pridedamas dokumentas ,,1_priedas_Techninė specifikacija", kurioje pažymima konkreti pirkimo dalis.</w:t>
            </w:r>
          </w:p>
        </w:tc>
        <w:tc>
          <w:tcPr>
            <w:tcW w:w="5010" w:type="dxa"/>
            <w:tcBorders>
              <w:top w:val="single" w:sz="8" w:space="0" w:color="auto"/>
              <w:left w:val="nil"/>
              <w:bottom w:val="single" w:sz="8" w:space="0" w:color="auto"/>
              <w:right w:val="single" w:sz="8" w:space="0" w:color="auto"/>
            </w:tcBorders>
            <w:shd w:val="clear" w:color="auto" w:fill="auto"/>
          </w:tcPr>
          <w:p w14:paraId="0F274F55" w14:textId="77777777" w:rsidR="009322D6" w:rsidRPr="009A43DF" w:rsidRDefault="009322D6" w:rsidP="009322D6">
            <w:pPr>
              <w:jc w:val="both"/>
              <w:rPr>
                <w:b/>
                <w:bCs/>
                <w:sz w:val="22"/>
                <w:szCs w:val="22"/>
              </w:rPr>
            </w:pPr>
            <w:r w:rsidRPr="009322D6">
              <w:rPr>
                <w:sz w:val="22"/>
                <w:szCs w:val="22"/>
              </w:rPr>
              <w:lastRenderedPageBreak/>
              <w:t xml:space="preserve">Perkančioji organizacija </w:t>
            </w:r>
            <w:r w:rsidRPr="009A43DF">
              <w:rPr>
                <w:b/>
                <w:bCs/>
                <w:sz w:val="22"/>
                <w:szCs w:val="22"/>
              </w:rPr>
              <w:t xml:space="preserve">išskaido 4 pirkimo dalį į dvi atskiras. </w:t>
            </w:r>
          </w:p>
          <w:p w14:paraId="2B117E09" w14:textId="77777777" w:rsidR="009322D6" w:rsidRPr="009322D6" w:rsidRDefault="009322D6" w:rsidP="009322D6">
            <w:pPr>
              <w:jc w:val="both"/>
              <w:rPr>
                <w:sz w:val="22"/>
                <w:szCs w:val="22"/>
              </w:rPr>
            </w:pPr>
          </w:p>
          <w:p w14:paraId="591CEBEC" w14:textId="77777777" w:rsidR="009322D6" w:rsidRPr="009322D6" w:rsidRDefault="009322D6" w:rsidP="009322D6">
            <w:pPr>
              <w:jc w:val="both"/>
              <w:rPr>
                <w:sz w:val="22"/>
                <w:szCs w:val="22"/>
              </w:rPr>
            </w:pPr>
            <w:r w:rsidRPr="009322D6">
              <w:rPr>
                <w:sz w:val="22"/>
                <w:szCs w:val="22"/>
              </w:rPr>
              <w:t>Perkančioji organizacija koreguoja reikalavimą dėl supakavimo ir nurodo:</w:t>
            </w:r>
          </w:p>
          <w:p w14:paraId="45938F9B" w14:textId="77777777" w:rsidR="009322D6" w:rsidRPr="009A43DF" w:rsidRDefault="009322D6" w:rsidP="009322D6">
            <w:pPr>
              <w:jc w:val="both"/>
              <w:rPr>
                <w:b/>
                <w:bCs/>
                <w:sz w:val="22"/>
                <w:szCs w:val="22"/>
              </w:rPr>
            </w:pPr>
            <w:r w:rsidRPr="009322D6">
              <w:rPr>
                <w:sz w:val="22"/>
                <w:szCs w:val="22"/>
              </w:rPr>
              <w:t xml:space="preserve">Kiekvienas testas supakuotas individualiai, dėžutėje </w:t>
            </w:r>
            <w:r w:rsidRPr="009A43DF">
              <w:rPr>
                <w:b/>
                <w:bCs/>
                <w:sz w:val="22"/>
                <w:szCs w:val="22"/>
              </w:rPr>
              <w:t>iki 30 vienetų.</w:t>
            </w:r>
          </w:p>
          <w:p w14:paraId="48F9031A" w14:textId="77777777" w:rsidR="009322D6" w:rsidRPr="009322D6" w:rsidRDefault="009322D6" w:rsidP="009322D6">
            <w:pPr>
              <w:jc w:val="both"/>
              <w:rPr>
                <w:sz w:val="22"/>
                <w:szCs w:val="22"/>
              </w:rPr>
            </w:pPr>
          </w:p>
          <w:p w14:paraId="13F8D577" w14:textId="77777777" w:rsidR="009322D6" w:rsidRPr="009322D6" w:rsidRDefault="009322D6" w:rsidP="009322D6">
            <w:pPr>
              <w:jc w:val="both"/>
              <w:rPr>
                <w:sz w:val="22"/>
                <w:szCs w:val="22"/>
              </w:rPr>
            </w:pPr>
            <w:r w:rsidRPr="009322D6">
              <w:rPr>
                <w:sz w:val="22"/>
                <w:szCs w:val="22"/>
              </w:rPr>
              <w:t>Perkančioji organizacija koreguoja reikalavimą dėl testų galiojimo termino ir nurodo:</w:t>
            </w:r>
          </w:p>
          <w:p w14:paraId="075600CD" w14:textId="77777777" w:rsidR="005319B5" w:rsidRPr="009322D6" w:rsidRDefault="009322D6" w:rsidP="009322D6">
            <w:pPr>
              <w:jc w:val="both"/>
              <w:rPr>
                <w:sz w:val="22"/>
                <w:szCs w:val="22"/>
              </w:rPr>
            </w:pPr>
            <w:r w:rsidRPr="009322D6">
              <w:rPr>
                <w:sz w:val="22"/>
                <w:szCs w:val="22"/>
              </w:rPr>
              <w:t xml:space="preserve">Testo galiojimo terminas ne trumpesnis </w:t>
            </w:r>
            <w:r w:rsidRPr="009A43DF">
              <w:rPr>
                <w:b/>
                <w:bCs/>
                <w:sz w:val="22"/>
                <w:szCs w:val="22"/>
              </w:rPr>
              <w:t>nei 15 mėn.</w:t>
            </w:r>
            <w:r w:rsidRPr="009322D6">
              <w:rPr>
                <w:sz w:val="22"/>
                <w:szCs w:val="22"/>
              </w:rPr>
              <w:t xml:space="preserve"> nuo prekių pristatymo dienos.</w:t>
            </w:r>
          </w:p>
          <w:p w14:paraId="2A51129E" w14:textId="77777777" w:rsidR="009322D6" w:rsidRPr="009322D6" w:rsidRDefault="009322D6" w:rsidP="009322D6">
            <w:pPr>
              <w:jc w:val="both"/>
              <w:rPr>
                <w:sz w:val="22"/>
                <w:szCs w:val="22"/>
              </w:rPr>
            </w:pPr>
          </w:p>
          <w:p w14:paraId="634DDA3D" w14:textId="77777777" w:rsidR="009322D6" w:rsidRPr="009322D6" w:rsidRDefault="009322D6" w:rsidP="009322D6">
            <w:pPr>
              <w:jc w:val="both"/>
              <w:rPr>
                <w:sz w:val="22"/>
                <w:szCs w:val="22"/>
              </w:rPr>
            </w:pPr>
          </w:p>
          <w:p w14:paraId="68978AAE" w14:textId="77777777" w:rsidR="009322D6" w:rsidRPr="009322D6" w:rsidRDefault="009322D6" w:rsidP="009322D6">
            <w:pPr>
              <w:jc w:val="both"/>
              <w:rPr>
                <w:sz w:val="22"/>
                <w:szCs w:val="22"/>
              </w:rPr>
            </w:pPr>
          </w:p>
          <w:p w14:paraId="4A7609E2" w14:textId="77777777" w:rsidR="009322D6" w:rsidRPr="009322D6" w:rsidRDefault="009322D6" w:rsidP="009322D6">
            <w:pPr>
              <w:jc w:val="both"/>
              <w:rPr>
                <w:sz w:val="22"/>
                <w:szCs w:val="22"/>
              </w:rPr>
            </w:pPr>
            <w:r w:rsidRPr="009322D6">
              <w:rPr>
                <w:sz w:val="22"/>
                <w:szCs w:val="22"/>
              </w:rPr>
              <w:t>Atsižvelgiant į greitųjų testų, taikomų mūsų skubiosios medicinos pagalbos skyriuje ir skubiosios medicinos pagalbos kabinete, tikslumas - jautrumas ir specifiškumas turi atitikti molekulinių tyrimų parametrus. Šie testai skirti savalaikiam ir greitam ligų diagnozavimui, o ne tik pacientų srautų reguliavimui, todėl mažinant jautrumo ir specifiškumo procentą, jų  atrankinis pobūdis nėra priimtinas.</w:t>
            </w:r>
          </w:p>
          <w:p w14:paraId="2D660050" w14:textId="77777777" w:rsidR="009322D6" w:rsidRPr="009322D6" w:rsidRDefault="009322D6" w:rsidP="009322D6">
            <w:pPr>
              <w:jc w:val="both"/>
              <w:rPr>
                <w:sz w:val="22"/>
                <w:szCs w:val="22"/>
              </w:rPr>
            </w:pPr>
          </w:p>
          <w:p w14:paraId="3D26D567" w14:textId="77777777" w:rsidR="009322D6" w:rsidRPr="009322D6" w:rsidRDefault="009322D6" w:rsidP="009322D6">
            <w:pPr>
              <w:jc w:val="both"/>
              <w:rPr>
                <w:sz w:val="22"/>
                <w:szCs w:val="22"/>
              </w:rPr>
            </w:pPr>
            <w:r w:rsidRPr="009322D6">
              <w:rPr>
                <w:sz w:val="22"/>
                <w:szCs w:val="22"/>
              </w:rPr>
              <w:t>Mažinant testų jautrumą ir specifiškumą, jų patikimumas reikšmingai sumažėtų, o tai reikštų būtinybę atlikti  papildomus molekulinius tyrimus. Toks procesas ne tik pailgintų diagnostikos laiką, bet ir padidintų kaštus ligos diagnostikai. Dabartiniai iškelti reikalavimai testams jau atitinka molekulinių metodų standartus, todėl mažinant anksčiau paminėtus parametrus gali kompromituoti gydymo proceso efektyvumą ir tikslumą.</w:t>
            </w:r>
          </w:p>
          <w:p w14:paraId="66B513D0" w14:textId="5A283E28" w:rsidR="009322D6" w:rsidRPr="009322D6" w:rsidRDefault="009322D6" w:rsidP="009322D6">
            <w:pPr>
              <w:jc w:val="both"/>
              <w:rPr>
                <w:sz w:val="22"/>
                <w:szCs w:val="22"/>
              </w:rPr>
            </w:pPr>
          </w:p>
        </w:tc>
      </w:tr>
      <w:tr w:rsidR="005319B5" w:rsidRPr="009322D6" w14:paraId="0FEC0D59" w14:textId="77777777" w:rsidTr="005319B5">
        <w:trPr>
          <w:trHeight w:val="624"/>
        </w:trPr>
        <w:tc>
          <w:tcPr>
            <w:tcW w:w="2223" w:type="dxa"/>
            <w:tcBorders>
              <w:top w:val="single" w:sz="4" w:space="0" w:color="auto"/>
              <w:left w:val="single" w:sz="4" w:space="0" w:color="auto"/>
              <w:bottom w:val="single" w:sz="4" w:space="0" w:color="auto"/>
              <w:right w:val="single" w:sz="4" w:space="0" w:color="auto"/>
            </w:tcBorders>
            <w:shd w:val="clear" w:color="auto" w:fill="auto"/>
          </w:tcPr>
          <w:p w14:paraId="7816240F" w14:textId="0313289E" w:rsidR="005319B5" w:rsidRPr="009322D6" w:rsidRDefault="005319B5" w:rsidP="009459D0">
            <w:pPr>
              <w:jc w:val="center"/>
              <w:rPr>
                <w:b/>
                <w:bCs/>
                <w:sz w:val="22"/>
                <w:szCs w:val="22"/>
              </w:rPr>
            </w:pPr>
            <w:r w:rsidRPr="009322D6">
              <w:rPr>
                <w:b/>
                <w:bCs/>
                <w:sz w:val="22"/>
                <w:szCs w:val="22"/>
              </w:rPr>
              <w:t>4.2. Mycoplasma pneumonaie antigeno nustatymas</w:t>
            </w:r>
          </w:p>
        </w:tc>
        <w:tc>
          <w:tcPr>
            <w:tcW w:w="2927" w:type="dxa"/>
            <w:tcBorders>
              <w:top w:val="single" w:sz="4" w:space="0" w:color="auto"/>
              <w:left w:val="nil"/>
              <w:bottom w:val="single" w:sz="4" w:space="0" w:color="auto"/>
              <w:right w:val="single" w:sz="4" w:space="0" w:color="auto"/>
            </w:tcBorders>
            <w:shd w:val="clear" w:color="auto" w:fill="auto"/>
          </w:tcPr>
          <w:p w14:paraId="04725E12" w14:textId="0E0AAEA6" w:rsidR="005319B5" w:rsidRPr="009322D6" w:rsidRDefault="005319B5" w:rsidP="009459D0">
            <w:pPr>
              <w:rPr>
                <w:sz w:val="22"/>
                <w:szCs w:val="22"/>
              </w:rPr>
            </w:pPr>
            <w:r w:rsidRPr="009322D6">
              <w:rPr>
                <w:sz w:val="22"/>
                <w:szCs w:val="22"/>
              </w:rPr>
              <w:t>Testas atliekamas ėminyje iš ryklės. Tiekėjas turi pateikti ir ėminio paėmimo priemones. Ėminio paėmimo priemonės gali būti pateiktos kaip atskiros prekės arba sukomplektuotos su testais ir kitomis priemonėmis. Ėminio paėmimo tamponėliai turi būti sterilūs. Kiekvienas testas supakuotas individualiai, dėžutėje po 20 - 25 vienetus. Imunochromatografinis metodas, lyginant su PGR metodo rezultatais: Mycopasma pneumoniae jautrumas &gt;94,20%, specifiškumas &gt;97,60%. Testo rezultatas gaunamas per 15 min, bet ne ilgiau kaip 20 min. Testo galiojimo terminas ne trumpesnis nei 18 mėn. nuo prekių pristatymo dienos.</w:t>
            </w:r>
          </w:p>
        </w:tc>
        <w:tc>
          <w:tcPr>
            <w:tcW w:w="4606" w:type="dxa"/>
            <w:tcBorders>
              <w:top w:val="single" w:sz="4" w:space="0" w:color="auto"/>
              <w:left w:val="nil"/>
              <w:bottom w:val="single" w:sz="4" w:space="0" w:color="auto"/>
              <w:right w:val="single" w:sz="4" w:space="0" w:color="auto"/>
            </w:tcBorders>
            <w:shd w:val="clear" w:color="auto" w:fill="auto"/>
          </w:tcPr>
          <w:p w14:paraId="328F8D84" w14:textId="7B2E9B2B" w:rsidR="005319B5" w:rsidRPr="009322D6" w:rsidRDefault="005319B5" w:rsidP="009459D0">
            <w:pPr>
              <w:jc w:val="both"/>
              <w:rPr>
                <w:sz w:val="22"/>
                <w:szCs w:val="22"/>
              </w:rPr>
            </w:pPr>
            <w:r w:rsidRPr="009322D6">
              <w:rPr>
                <w:sz w:val="22"/>
                <w:szCs w:val="22"/>
              </w:rPr>
              <w:t>Prašome atskirti šią pirkimo dalį!!!! arba paaiškinti kur yra logika perkant Combo testą su m.pneumonie, papildomai nusipirkti tokį patį testą atskirai, tik su kitais rodikliais???? Siūlome įrašyti kad dėžutėje turi būti ne daugiau 25, kadangi testo kasetės yra žymiai didesnės nei Covid/gripo testų ir kiekvienas gamintojas skirtingai pakuoja.. Paprastai būna nuo 10 iki 20 vnt. pak. tokio tipo testams. Iš kur paimti Jautrumai ir Specifiškumai? Prašome suvienodinti, nes atrodo kad nurašete nuo tam tikro testo.. Siūlome Jautrumą visoms pozicijoms ne mažiau 94%, specifiškumas ne mažiau 99%. Testo galiojimo terminas ne trumpesnis nei 15 mėn. nuo prekių pristatymo dienos, kadangi daugelis gamintojų deklaruoja 18 mėn. galiojimą.</w:t>
            </w:r>
          </w:p>
        </w:tc>
        <w:tc>
          <w:tcPr>
            <w:tcW w:w="5010" w:type="dxa"/>
            <w:tcBorders>
              <w:top w:val="single" w:sz="8" w:space="0" w:color="auto"/>
              <w:left w:val="nil"/>
              <w:bottom w:val="single" w:sz="8" w:space="0" w:color="auto"/>
              <w:right w:val="single" w:sz="8" w:space="0" w:color="auto"/>
            </w:tcBorders>
            <w:shd w:val="clear" w:color="auto" w:fill="auto"/>
          </w:tcPr>
          <w:p w14:paraId="41D48D6F" w14:textId="77777777" w:rsidR="009322D6" w:rsidRPr="009A43DF" w:rsidRDefault="009322D6" w:rsidP="009322D6">
            <w:pPr>
              <w:jc w:val="both"/>
              <w:rPr>
                <w:b/>
                <w:bCs/>
                <w:sz w:val="22"/>
                <w:szCs w:val="22"/>
              </w:rPr>
            </w:pPr>
            <w:r w:rsidRPr="009322D6">
              <w:rPr>
                <w:sz w:val="22"/>
                <w:szCs w:val="22"/>
              </w:rPr>
              <w:t xml:space="preserve">Perkančioji organizacija išskaido </w:t>
            </w:r>
            <w:r w:rsidRPr="009A43DF">
              <w:rPr>
                <w:b/>
                <w:bCs/>
                <w:sz w:val="22"/>
                <w:szCs w:val="22"/>
              </w:rPr>
              <w:t xml:space="preserve">4 pirkimo dalį į dvi atskiras. </w:t>
            </w:r>
          </w:p>
          <w:p w14:paraId="6E9A5E56" w14:textId="77777777" w:rsidR="009C3FFA" w:rsidRPr="009322D6" w:rsidRDefault="009C3FFA" w:rsidP="009C3FFA">
            <w:pPr>
              <w:jc w:val="both"/>
              <w:rPr>
                <w:sz w:val="22"/>
                <w:szCs w:val="22"/>
              </w:rPr>
            </w:pPr>
          </w:p>
          <w:p w14:paraId="24AF720A" w14:textId="77777777" w:rsidR="009322D6" w:rsidRPr="009322D6" w:rsidRDefault="009322D6" w:rsidP="009322D6">
            <w:pPr>
              <w:jc w:val="both"/>
              <w:rPr>
                <w:sz w:val="22"/>
                <w:szCs w:val="22"/>
              </w:rPr>
            </w:pPr>
            <w:r w:rsidRPr="009322D6">
              <w:rPr>
                <w:sz w:val="22"/>
                <w:szCs w:val="22"/>
              </w:rPr>
              <w:t>Perkančioji organizacija koreguoja reikalavimą dėl supakavimo ir nurodo:</w:t>
            </w:r>
          </w:p>
          <w:p w14:paraId="79B6A067" w14:textId="77777777" w:rsidR="009322D6" w:rsidRPr="009A43DF" w:rsidRDefault="009322D6" w:rsidP="009322D6">
            <w:pPr>
              <w:jc w:val="both"/>
              <w:rPr>
                <w:b/>
                <w:bCs/>
                <w:sz w:val="22"/>
                <w:szCs w:val="22"/>
              </w:rPr>
            </w:pPr>
            <w:r w:rsidRPr="009322D6">
              <w:rPr>
                <w:sz w:val="22"/>
                <w:szCs w:val="22"/>
              </w:rPr>
              <w:t xml:space="preserve">Kiekvienas testas supakuotas individualiai, dėžutėje </w:t>
            </w:r>
            <w:r w:rsidRPr="009A43DF">
              <w:rPr>
                <w:b/>
                <w:bCs/>
                <w:sz w:val="22"/>
                <w:szCs w:val="22"/>
              </w:rPr>
              <w:t>iki 30 vienetų.</w:t>
            </w:r>
          </w:p>
          <w:p w14:paraId="214FDEE9" w14:textId="77777777" w:rsidR="009322D6" w:rsidRPr="009322D6" w:rsidRDefault="009322D6" w:rsidP="009C3FFA">
            <w:pPr>
              <w:jc w:val="both"/>
              <w:rPr>
                <w:sz w:val="22"/>
                <w:szCs w:val="22"/>
              </w:rPr>
            </w:pPr>
          </w:p>
          <w:p w14:paraId="3BD21AC8" w14:textId="77777777" w:rsidR="009322D6" w:rsidRPr="009322D6" w:rsidRDefault="009322D6" w:rsidP="009322D6">
            <w:pPr>
              <w:jc w:val="both"/>
              <w:rPr>
                <w:sz w:val="22"/>
                <w:szCs w:val="22"/>
              </w:rPr>
            </w:pPr>
            <w:r w:rsidRPr="009322D6">
              <w:rPr>
                <w:sz w:val="22"/>
                <w:szCs w:val="22"/>
              </w:rPr>
              <w:t>Perkančioji organizacija koreguoja reikalavimą dėl testų galiojimo termino ir nurodo:</w:t>
            </w:r>
          </w:p>
          <w:p w14:paraId="065A2C99" w14:textId="77777777" w:rsidR="009322D6" w:rsidRPr="009322D6" w:rsidRDefault="009322D6" w:rsidP="009322D6">
            <w:pPr>
              <w:jc w:val="both"/>
              <w:rPr>
                <w:sz w:val="22"/>
                <w:szCs w:val="22"/>
              </w:rPr>
            </w:pPr>
            <w:r w:rsidRPr="009322D6">
              <w:rPr>
                <w:sz w:val="22"/>
                <w:szCs w:val="22"/>
              </w:rPr>
              <w:t xml:space="preserve">Testo galiojimo terminas ne trumpesnis </w:t>
            </w:r>
            <w:r w:rsidRPr="009A43DF">
              <w:rPr>
                <w:b/>
                <w:bCs/>
                <w:sz w:val="22"/>
                <w:szCs w:val="22"/>
              </w:rPr>
              <w:t>nei 15 mėn.</w:t>
            </w:r>
            <w:r w:rsidRPr="009322D6">
              <w:rPr>
                <w:sz w:val="22"/>
                <w:szCs w:val="22"/>
              </w:rPr>
              <w:t xml:space="preserve"> nuo prekių pristatymo dienos.</w:t>
            </w:r>
          </w:p>
          <w:p w14:paraId="4F9DB1B7" w14:textId="77777777" w:rsidR="009322D6" w:rsidRPr="009322D6" w:rsidRDefault="009322D6" w:rsidP="009C3FFA">
            <w:pPr>
              <w:jc w:val="both"/>
              <w:rPr>
                <w:sz w:val="22"/>
                <w:szCs w:val="22"/>
              </w:rPr>
            </w:pPr>
          </w:p>
          <w:p w14:paraId="3321FDD5" w14:textId="77777777" w:rsidR="009C3FFA" w:rsidRPr="009322D6" w:rsidRDefault="009C3FFA" w:rsidP="009C3FFA">
            <w:pPr>
              <w:jc w:val="both"/>
              <w:rPr>
                <w:sz w:val="22"/>
                <w:szCs w:val="22"/>
              </w:rPr>
            </w:pPr>
            <w:r w:rsidRPr="009322D6">
              <w:rPr>
                <w:sz w:val="22"/>
                <w:szCs w:val="22"/>
              </w:rPr>
              <w:t>Negalime reikalauti, kad šio testo specifiškumas siektų 99 %, nes ėminys imamas iš ryklės – aplinkos, kurioje natūraliai egzistuoja įvairi mikroflora. Dėl didelio užterštumo kita flora kyla rizika, kad testas gali rodyti nespecifinius rezultatus, todėl pasiekti tokį aukštą specifiškumo lygį šioje terpėje nėra realu.</w:t>
            </w:r>
          </w:p>
          <w:p w14:paraId="4834C48A" w14:textId="3A13A022" w:rsidR="005319B5" w:rsidRPr="009322D6" w:rsidRDefault="009C3FFA" w:rsidP="009C3FFA">
            <w:pPr>
              <w:jc w:val="both"/>
              <w:rPr>
                <w:sz w:val="22"/>
                <w:szCs w:val="22"/>
              </w:rPr>
            </w:pPr>
            <w:r w:rsidRPr="009322D6">
              <w:rPr>
                <w:sz w:val="22"/>
                <w:szCs w:val="22"/>
              </w:rPr>
              <w:t>Specifiškumas 99 % - toks skaičius būdingas tik aukštos kokybės PGR tyrimams, kurie aptinka specifines genų sekas, o ne antigenus.</w:t>
            </w:r>
          </w:p>
        </w:tc>
      </w:tr>
      <w:tr w:rsidR="005319B5" w:rsidRPr="009322D6" w14:paraId="6D1AC8CD" w14:textId="77777777" w:rsidTr="005319B5">
        <w:trPr>
          <w:trHeight w:val="624"/>
        </w:trPr>
        <w:tc>
          <w:tcPr>
            <w:tcW w:w="2223" w:type="dxa"/>
            <w:tcBorders>
              <w:top w:val="single" w:sz="4" w:space="0" w:color="auto"/>
              <w:left w:val="single" w:sz="4" w:space="0" w:color="auto"/>
              <w:bottom w:val="single" w:sz="4" w:space="0" w:color="auto"/>
              <w:right w:val="single" w:sz="4" w:space="0" w:color="auto"/>
            </w:tcBorders>
            <w:shd w:val="clear" w:color="auto" w:fill="auto"/>
          </w:tcPr>
          <w:p w14:paraId="6DC8BED6" w14:textId="6A8CC47E" w:rsidR="005319B5" w:rsidRPr="009322D6" w:rsidRDefault="005319B5" w:rsidP="009459D0">
            <w:pPr>
              <w:jc w:val="center"/>
              <w:rPr>
                <w:b/>
                <w:bCs/>
                <w:sz w:val="22"/>
                <w:szCs w:val="22"/>
              </w:rPr>
            </w:pPr>
            <w:r w:rsidRPr="009322D6">
              <w:rPr>
                <w:b/>
                <w:bCs/>
                <w:sz w:val="22"/>
                <w:szCs w:val="22"/>
              </w:rPr>
              <w:t xml:space="preserve">8. CRB tyrimų analizatoriaus  (1 vnt.) nuoma </w:t>
            </w:r>
            <w:r w:rsidRPr="009322D6">
              <w:rPr>
                <w:b/>
                <w:bCs/>
                <w:sz w:val="22"/>
                <w:szCs w:val="22"/>
              </w:rPr>
              <w:lastRenderedPageBreak/>
              <w:t xml:space="preserve">(panauda) ir reagentai bei papildomos priemonės darbui su juo  </w:t>
            </w:r>
          </w:p>
        </w:tc>
        <w:tc>
          <w:tcPr>
            <w:tcW w:w="2927" w:type="dxa"/>
            <w:tcBorders>
              <w:top w:val="single" w:sz="4" w:space="0" w:color="auto"/>
              <w:left w:val="nil"/>
              <w:bottom w:val="single" w:sz="4" w:space="0" w:color="auto"/>
              <w:right w:val="single" w:sz="4" w:space="0" w:color="auto"/>
            </w:tcBorders>
            <w:shd w:val="clear" w:color="auto" w:fill="auto"/>
          </w:tcPr>
          <w:p w14:paraId="0DB04206" w14:textId="77777777" w:rsidR="005319B5" w:rsidRPr="009322D6" w:rsidRDefault="005319B5" w:rsidP="009459D0">
            <w:pPr>
              <w:rPr>
                <w:color w:val="000000"/>
                <w:sz w:val="22"/>
                <w:szCs w:val="22"/>
              </w:rPr>
            </w:pPr>
            <w:r w:rsidRPr="009322D6">
              <w:rPr>
                <w:color w:val="000000"/>
                <w:sz w:val="22"/>
                <w:szCs w:val="22"/>
              </w:rPr>
              <w:lastRenderedPageBreak/>
              <w:t xml:space="preserve">5. Matavimo metodas. </w:t>
            </w:r>
          </w:p>
          <w:p w14:paraId="494DF7BA" w14:textId="4A6AE478" w:rsidR="005319B5" w:rsidRPr="009322D6" w:rsidRDefault="005319B5" w:rsidP="009459D0">
            <w:pPr>
              <w:rPr>
                <w:color w:val="000000"/>
                <w:sz w:val="22"/>
                <w:szCs w:val="22"/>
              </w:rPr>
            </w:pPr>
            <w:r w:rsidRPr="009322D6">
              <w:rPr>
                <w:color w:val="000000"/>
                <w:sz w:val="22"/>
                <w:szCs w:val="22"/>
              </w:rPr>
              <w:t xml:space="preserve">Fotometrinis, imunoturbidimetrinis, </w:t>
            </w:r>
            <w:r w:rsidRPr="009322D6">
              <w:rPr>
                <w:color w:val="000000"/>
                <w:sz w:val="22"/>
                <w:szCs w:val="22"/>
              </w:rPr>
              <w:lastRenderedPageBreak/>
              <w:t>turbidimetrinis arba lygiavertis.</w:t>
            </w:r>
          </w:p>
        </w:tc>
        <w:tc>
          <w:tcPr>
            <w:tcW w:w="4606" w:type="dxa"/>
            <w:tcBorders>
              <w:top w:val="single" w:sz="4" w:space="0" w:color="auto"/>
              <w:left w:val="nil"/>
              <w:bottom w:val="single" w:sz="4" w:space="0" w:color="auto"/>
              <w:right w:val="single" w:sz="4" w:space="0" w:color="auto"/>
            </w:tcBorders>
            <w:shd w:val="clear" w:color="auto" w:fill="auto"/>
          </w:tcPr>
          <w:p w14:paraId="7AC80983" w14:textId="77777777" w:rsidR="005319B5" w:rsidRPr="009322D6" w:rsidRDefault="005319B5" w:rsidP="00C83442">
            <w:pPr>
              <w:jc w:val="both"/>
              <w:rPr>
                <w:color w:val="000000"/>
                <w:sz w:val="22"/>
                <w:szCs w:val="22"/>
              </w:rPr>
            </w:pPr>
            <w:r w:rsidRPr="009322D6">
              <w:rPr>
                <w:color w:val="000000"/>
                <w:sz w:val="22"/>
                <w:szCs w:val="22"/>
              </w:rPr>
              <w:lastRenderedPageBreak/>
              <w:t xml:space="preserve">Prašome koreguoti sekančiai:  </w:t>
            </w:r>
          </w:p>
          <w:p w14:paraId="6721D2EF" w14:textId="77777777" w:rsidR="005319B5" w:rsidRPr="009322D6" w:rsidRDefault="005319B5" w:rsidP="00C83442">
            <w:pPr>
              <w:jc w:val="both"/>
              <w:rPr>
                <w:color w:val="000000"/>
                <w:sz w:val="22"/>
                <w:szCs w:val="22"/>
              </w:rPr>
            </w:pPr>
            <w:r w:rsidRPr="009322D6">
              <w:rPr>
                <w:color w:val="000000"/>
                <w:sz w:val="22"/>
                <w:szCs w:val="22"/>
              </w:rPr>
              <w:t xml:space="preserve">Fotometrinis, imunoturbidimetrinis, turbidimetrinis arba lygiavertis  (pvz. </w:t>
            </w:r>
            <w:r w:rsidRPr="009322D6">
              <w:rPr>
                <w:color w:val="000000"/>
                <w:sz w:val="22"/>
                <w:szCs w:val="22"/>
              </w:rPr>
              <w:lastRenderedPageBreak/>
              <w:t>imunocheminį, imunofluorescencinį, imunochromatografinį ir kt.)“.</w:t>
            </w:r>
          </w:p>
          <w:p w14:paraId="17A60DD8" w14:textId="089FE32C" w:rsidR="005319B5" w:rsidRPr="009322D6" w:rsidRDefault="005319B5" w:rsidP="00C83442">
            <w:pPr>
              <w:jc w:val="both"/>
              <w:rPr>
                <w:color w:val="000000"/>
                <w:sz w:val="22"/>
                <w:szCs w:val="22"/>
              </w:rPr>
            </w:pPr>
            <w:r w:rsidRPr="009322D6">
              <w:rPr>
                <w:color w:val="000000"/>
                <w:sz w:val="22"/>
                <w:szCs w:val="22"/>
              </w:rPr>
              <w:t>Europos in vitro diagnostikos standartai (IVD) pripažįsta fluorescencinę analizę kaip patikimą ir lygiavertį metodą imunoturbidimetriniams matavimams.</w:t>
            </w:r>
          </w:p>
          <w:p w14:paraId="586DC3FA" w14:textId="77777777" w:rsidR="005319B5" w:rsidRPr="009322D6" w:rsidRDefault="005319B5" w:rsidP="00C83442">
            <w:pPr>
              <w:jc w:val="both"/>
              <w:rPr>
                <w:color w:val="000000"/>
                <w:sz w:val="22"/>
                <w:szCs w:val="22"/>
              </w:rPr>
            </w:pPr>
            <w:r w:rsidRPr="009322D6">
              <w:rPr>
                <w:color w:val="000000"/>
                <w:sz w:val="22"/>
                <w:szCs w:val="22"/>
              </w:rPr>
              <w:t>Įtraukus imunofluorescencinį metodą, padidėja konkurencija, nes daugiau gamintojų gali pateikti pasiūlymus, kas sumažintų pirkimo kainą neprarandant kokybės. Kai kurios aukšto lygio laboratorinės sistemos jau naudoja fluorescencinius matavimus kaip standartu tapusią technologiją, todėl jos eliminavimas iš konkurso nėra pagrįstas.</w:t>
            </w:r>
          </w:p>
          <w:p w14:paraId="0604239E" w14:textId="77777777" w:rsidR="005319B5" w:rsidRPr="009322D6" w:rsidRDefault="005319B5" w:rsidP="00C83442">
            <w:pPr>
              <w:jc w:val="both"/>
              <w:rPr>
                <w:color w:val="000000"/>
                <w:sz w:val="22"/>
                <w:szCs w:val="22"/>
              </w:rPr>
            </w:pPr>
            <w:r w:rsidRPr="009322D6">
              <w:rPr>
                <w:color w:val="000000"/>
                <w:sz w:val="22"/>
                <w:szCs w:val="22"/>
              </w:rPr>
              <w:t>Fluorescencinis metodas ne tik lygiavertis, bet kai kuriais atvejais ir pranašesnis už klasikinius metodus, todėl jo neįtraukimas dirbtinai ribotų pirkimo galimybes.</w:t>
            </w:r>
          </w:p>
          <w:p w14:paraId="4F256845" w14:textId="67D7170C" w:rsidR="005319B5" w:rsidRPr="009322D6" w:rsidRDefault="005319B5" w:rsidP="00C83442">
            <w:pPr>
              <w:jc w:val="both"/>
              <w:rPr>
                <w:color w:val="000000"/>
                <w:sz w:val="22"/>
                <w:szCs w:val="22"/>
              </w:rPr>
            </w:pPr>
            <w:r w:rsidRPr="009322D6">
              <w:rPr>
                <w:color w:val="000000"/>
                <w:sz w:val="22"/>
                <w:szCs w:val="22"/>
              </w:rPr>
              <w:t>Jei Perkančioji organizacija nuspręstu nekoreguoti techninio parametro,  papildomai prašome aiškiai įvardinti/nurodyti kokiais kriterijais vadovaujantis Tiekėjas galėtu įrodyti siūlomo metodo lygiavertiškumą.</w:t>
            </w:r>
          </w:p>
        </w:tc>
        <w:tc>
          <w:tcPr>
            <w:tcW w:w="5010" w:type="dxa"/>
            <w:tcBorders>
              <w:top w:val="single" w:sz="8" w:space="0" w:color="auto"/>
              <w:left w:val="nil"/>
              <w:bottom w:val="single" w:sz="8" w:space="0" w:color="auto"/>
              <w:right w:val="single" w:sz="8" w:space="0" w:color="auto"/>
            </w:tcBorders>
            <w:shd w:val="clear" w:color="auto" w:fill="auto"/>
          </w:tcPr>
          <w:p w14:paraId="3A5FE90C" w14:textId="77777777" w:rsidR="009C3FFA" w:rsidRPr="009322D6" w:rsidRDefault="009C3FFA" w:rsidP="009C3FFA">
            <w:pPr>
              <w:jc w:val="both"/>
              <w:rPr>
                <w:color w:val="000000"/>
                <w:sz w:val="22"/>
                <w:szCs w:val="22"/>
              </w:rPr>
            </w:pPr>
            <w:r w:rsidRPr="009322D6">
              <w:rPr>
                <w:color w:val="000000"/>
                <w:sz w:val="22"/>
                <w:szCs w:val="22"/>
              </w:rPr>
              <w:lastRenderedPageBreak/>
              <w:t xml:space="preserve">Perkančioji organizacija techninio parametro nekeičia, nes Ligoninės laboratorija CRB tyrimui atlikti naudoja biocheminių tyrimų automatines </w:t>
            </w:r>
            <w:r w:rsidRPr="009322D6">
              <w:rPr>
                <w:color w:val="000000"/>
                <w:sz w:val="22"/>
                <w:szCs w:val="22"/>
              </w:rPr>
              <w:lastRenderedPageBreak/>
              <w:t>sistemas, kurios matuoja CRB imunoturbidimetriniu metodu, todėl siekiant išvengti galimų rezultatų interpretacijos (perskaičiavimo) klaidų atliekant to paties paciento tiek kraujo, tiek serumo mėginius skirtingais analizatoriais, pasirinktas nurodytas metodas.</w:t>
            </w:r>
          </w:p>
          <w:p w14:paraId="691E06C4" w14:textId="0C7C3C71" w:rsidR="005319B5" w:rsidRPr="009322D6" w:rsidRDefault="009C3FFA" w:rsidP="009C3FFA">
            <w:pPr>
              <w:jc w:val="both"/>
              <w:rPr>
                <w:color w:val="000000"/>
                <w:sz w:val="22"/>
                <w:szCs w:val="22"/>
              </w:rPr>
            </w:pPr>
            <w:r w:rsidRPr="009322D6">
              <w:rPr>
                <w:color w:val="000000"/>
                <w:sz w:val="22"/>
                <w:szCs w:val="22"/>
              </w:rPr>
              <w:t>Vadovaujantis konkurso sąlygomis l</w:t>
            </w:r>
            <w:r w:rsidRPr="009322D6">
              <w:rPr>
                <w:sz w:val="22"/>
                <w:szCs w:val="22"/>
              </w:rPr>
              <w:t>ygiavertiškumo įrodymas yra tiekėjo pareiga. Jei siūlomas lygiavertis objektas ar standartas, iki pasiūlymų pateikimo termino pabaigos kartu su pasiūlymu turi būti pateikti lygiavertiškumą įrodantys dokumentai.</w:t>
            </w:r>
          </w:p>
        </w:tc>
      </w:tr>
      <w:tr w:rsidR="005319B5" w:rsidRPr="009322D6" w14:paraId="7338357F" w14:textId="77777777" w:rsidTr="005319B5">
        <w:trPr>
          <w:trHeight w:val="624"/>
        </w:trPr>
        <w:tc>
          <w:tcPr>
            <w:tcW w:w="2223" w:type="dxa"/>
            <w:tcBorders>
              <w:top w:val="single" w:sz="4" w:space="0" w:color="auto"/>
              <w:left w:val="single" w:sz="4" w:space="0" w:color="auto"/>
              <w:bottom w:val="single" w:sz="4" w:space="0" w:color="auto"/>
              <w:right w:val="single" w:sz="4" w:space="0" w:color="auto"/>
            </w:tcBorders>
            <w:shd w:val="clear" w:color="auto" w:fill="auto"/>
          </w:tcPr>
          <w:p w14:paraId="37964DA5" w14:textId="5546D4C7" w:rsidR="005319B5" w:rsidRPr="009322D6" w:rsidRDefault="005319B5" w:rsidP="009459D0">
            <w:pPr>
              <w:jc w:val="center"/>
              <w:rPr>
                <w:b/>
                <w:bCs/>
                <w:sz w:val="22"/>
                <w:szCs w:val="22"/>
              </w:rPr>
            </w:pPr>
            <w:r w:rsidRPr="009322D6">
              <w:rPr>
                <w:b/>
                <w:bCs/>
                <w:sz w:val="22"/>
                <w:szCs w:val="22"/>
              </w:rPr>
              <w:lastRenderedPageBreak/>
              <w:t xml:space="preserve">8. CRB tyrimų analizatoriaus  (1 vnt.) nuoma (panauda) ir reagentai bei papildomos priemonės darbui su juo  </w:t>
            </w:r>
          </w:p>
        </w:tc>
        <w:tc>
          <w:tcPr>
            <w:tcW w:w="2927" w:type="dxa"/>
            <w:tcBorders>
              <w:top w:val="single" w:sz="4" w:space="0" w:color="auto"/>
              <w:left w:val="nil"/>
              <w:bottom w:val="single" w:sz="4" w:space="0" w:color="auto"/>
              <w:right w:val="single" w:sz="4" w:space="0" w:color="auto"/>
            </w:tcBorders>
            <w:shd w:val="clear" w:color="auto" w:fill="auto"/>
          </w:tcPr>
          <w:p w14:paraId="71DD6373" w14:textId="77777777" w:rsidR="005319B5" w:rsidRPr="009322D6" w:rsidRDefault="005319B5" w:rsidP="009459D0">
            <w:pPr>
              <w:rPr>
                <w:color w:val="000000"/>
                <w:sz w:val="22"/>
                <w:szCs w:val="22"/>
              </w:rPr>
            </w:pPr>
            <w:r w:rsidRPr="009322D6">
              <w:rPr>
                <w:color w:val="000000"/>
                <w:sz w:val="22"/>
                <w:szCs w:val="22"/>
              </w:rPr>
              <w:t xml:space="preserve">7. Prietaisas automatiškai kompensuoja hematokritą (HCT) ne siauresnėse kaip 20-60% ribose. </w:t>
            </w:r>
          </w:p>
          <w:p w14:paraId="1C2D7F72" w14:textId="1C1BA54B" w:rsidR="005319B5" w:rsidRPr="009322D6" w:rsidRDefault="005319B5" w:rsidP="009459D0">
            <w:pPr>
              <w:rPr>
                <w:color w:val="000000"/>
                <w:sz w:val="22"/>
                <w:szCs w:val="22"/>
              </w:rPr>
            </w:pPr>
            <w:r w:rsidRPr="009322D6">
              <w:rPr>
                <w:color w:val="000000"/>
                <w:sz w:val="22"/>
                <w:szCs w:val="22"/>
              </w:rPr>
              <w:t>Būtina</w:t>
            </w:r>
          </w:p>
        </w:tc>
        <w:tc>
          <w:tcPr>
            <w:tcW w:w="4606" w:type="dxa"/>
            <w:tcBorders>
              <w:top w:val="single" w:sz="4" w:space="0" w:color="auto"/>
              <w:left w:val="nil"/>
              <w:bottom w:val="single" w:sz="4" w:space="0" w:color="auto"/>
              <w:right w:val="single" w:sz="4" w:space="0" w:color="auto"/>
            </w:tcBorders>
            <w:shd w:val="clear" w:color="auto" w:fill="auto"/>
          </w:tcPr>
          <w:p w14:paraId="7E798FE5" w14:textId="77777777" w:rsidR="005319B5" w:rsidRPr="009322D6" w:rsidRDefault="005319B5" w:rsidP="00C83442">
            <w:pPr>
              <w:jc w:val="both"/>
              <w:rPr>
                <w:color w:val="000000"/>
                <w:sz w:val="22"/>
                <w:szCs w:val="22"/>
              </w:rPr>
            </w:pPr>
            <w:r w:rsidRPr="009322D6">
              <w:rPr>
                <w:color w:val="000000"/>
                <w:sz w:val="22"/>
                <w:szCs w:val="22"/>
              </w:rPr>
              <w:t xml:space="preserve">Prašome reikalavimą nurodyti kaip „Pageidautina“ </w:t>
            </w:r>
          </w:p>
          <w:p w14:paraId="18923004" w14:textId="77777777" w:rsidR="005319B5" w:rsidRPr="009322D6" w:rsidRDefault="005319B5" w:rsidP="00C83442">
            <w:pPr>
              <w:jc w:val="both"/>
              <w:rPr>
                <w:color w:val="000000"/>
                <w:sz w:val="22"/>
                <w:szCs w:val="22"/>
              </w:rPr>
            </w:pPr>
            <w:r w:rsidRPr="009322D6">
              <w:rPr>
                <w:color w:val="000000"/>
                <w:sz w:val="22"/>
                <w:szCs w:val="22"/>
              </w:rPr>
              <w:t xml:space="preserve">Reikalavimas yra nepagrįstas ir ribojantis konkurenciją, galimai pritaikytas vienam tiekėjui, kadangi šio techninės specifikacijos keliamo reikalavimo neatitinka bent 3 realiu gamintojų įranga ir toks reikalavimas užkerta veiksmingą konkurenciją tarp tiekėjų. </w:t>
            </w:r>
          </w:p>
          <w:p w14:paraId="3B48CB9E" w14:textId="77777777" w:rsidR="005319B5" w:rsidRPr="009322D6" w:rsidRDefault="005319B5" w:rsidP="00C83442">
            <w:pPr>
              <w:jc w:val="both"/>
              <w:rPr>
                <w:color w:val="000000"/>
                <w:sz w:val="22"/>
                <w:szCs w:val="22"/>
              </w:rPr>
            </w:pPr>
            <w:r w:rsidRPr="009322D6">
              <w:rPr>
                <w:color w:val="000000"/>
                <w:sz w:val="22"/>
                <w:szCs w:val="22"/>
              </w:rPr>
              <w:t xml:space="preserve"> Jei Perkančioji organizacija nuspręstu nekoreguoti techninio parametro prašome:</w:t>
            </w:r>
          </w:p>
          <w:p w14:paraId="72B82EC8" w14:textId="07330D5C" w:rsidR="005319B5" w:rsidRPr="009322D6" w:rsidRDefault="005319B5" w:rsidP="00C83442">
            <w:pPr>
              <w:jc w:val="both"/>
              <w:rPr>
                <w:color w:val="000000"/>
                <w:sz w:val="22"/>
                <w:szCs w:val="22"/>
              </w:rPr>
            </w:pPr>
            <w:r w:rsidRPr="009322D6">
              <w:rPr>
                <w:color w:val="000000"/>
                <w:sz w:val="22"/>
                <w:szCs w:val="22"/>
              </w:rPr>
              <w:t>1.</w:t>
            </w:r>
            <w:r w:rsidR="008748A7">
              <w:rPr>
                <w:color w:val="000000"/>
                <w:sz w:val="22"/>
                <w:szCs w:val="22"/>
              </w:rPr>
              <w:t xml:space="preserve"> </w:t>
            </w:r>
            <w:r w:rsidRPr="009322D6">
              <w:rPr>
                <w:color w:val="000000"/>
                <w:sz w:val="22"/>
                <w:szCs w:val="22"/>
              </w:rPr>
              <w:t xml:space="preserve">leisti siūlyti lygiavertį sprendimą, siūlant analizatorių su papildoma programine įranga, kuri per laboratorijos informacinės sistemos (LIS) įrankius automatiškai atliks CRB rezultatų korekciją pagal žinomas paciento hematokrito, </w:t>
            </w:r>
            <w:r w:rsidRPr="009322D6">
              <w:rPr>
                <w:color w:val="000000"/>
                <w:sz w:val="22"/>
                <w:szCs w:val="22"/>
              </w:rPr>
              <w:lastRenderedPageBreak/>
              <w:t>amžiaus, lyties reikšmes, užtikrindama tikslų ir patikimą tyrimo rezultatą. Koreguoti CRB tyrimo rezultatai bus automatiškai išsaugomi ir bus prieinami per LIS ar kitą pasirinktą duomenų valdymo platformą. Koreguoti duomenys bus pateikiami realiu laiku, taip užtikrinant greitą ir efektyvų tyrimų rezultatų interpretavimą.</w:t>
            </w:r>
          </w:p>
          <w:p w14:paraId="1EE7AC50" w14:textId="77777777" w:rsidR="005319B5" w:rsidRPr="009322D6" w:rsidRDefault="005319B5" w:rsidP="00C83442">
            <w:pPr>
              <w:jc w:val="both"/>
              <w:rPr>
                <w:color w:val="000000"/>
                <w:sz w:val="22"/>
                <w:szCs w:val="22"/>
              </w:rPr>
            </w:pPr>
          </w:p>
          <w:p w14:paraId="38CA4411" w14:textId="77777777" w:rsidR="005319B5" w:rsidRPr="009322D6" w:rsidRDefault="005319B5" w:rsidP="00C83442">
            <w:pPr>
              <w:jc w:val="both"/>
              <w:rPr>
                <w:color w:val="000000"/>
                <w:sz w:val="22"/>
                <w:szCs w:val="22"/>
              </w:rPr>
            </w:pPr>
            <w:r w:rsidRPr="009322D6">
              <w:rPr>
                <w:color w:val="000000"/>
                <w:sz w:val="22"/>
                <w:szCs w:val="22"/>
              </w:rPr>
              <w:t>ir/arba</w:t>
            </w:r>
          </w:p>
          <w:p w14:paraId="42A21332" w14:textId="77777777" w:rsidR="005319B5" w:rsidRPr="009322D6" w:rsidRDefault="005319B5" w:rsidP="00C83442">
            <w:pPr>
              <w:jc w:val="both"/>
              <w:rPr>
                <w:color w:val="000000"/>
                <w:sz w:val="22"/>
                <w:szCs w:val="22"/>
              </w:rPr>
            </w:pPr>
          </w:p>
          <w:p w14:paraId="187EFD5A" w14:textId="5EC748E4" w:rsidR="005319B5" w:rsidRPr="009322D6" w:rsidRDefault="005319B5" w:rsidP="00C83442">
            <w:pPr>
              <w:jc w:val="both"/>
              <w:rPr>
                <w:color w:val="000000"/>
                <w:sz w:val="22"/>
                <w:szCs w:val="22"/>
              </w:rPr>
            </w:pPr>
            <w:r w:rsidRPr="009322D6">
              <w:rPr>
                <w:color w:val="000000"/>
                <w:sz w:val="22"/>
                <w:szCs w:val="22"/>
              </w:rPr>
              <w:t>įtraukti kaip kokybės vertinimo kriterijų, pagal kurį būtų skiriami ekonominio naudingumo balai, tačiau jis nebūtų privalomas.</w:t>
            </w:r>
          </w:p>
        </w:tc>
        <w:tc>
          <w:tcPr>
            <w:tcW w:w="5010" w:type="dxa"/>
            <w:tcBorders>
              <w:top w:val="single" w:sz="8" w:space="0" w:color="auto"/>
              <w:left w:val="nil"/>
              <w:bottom w:val="single" w:sz="8" w:space="0" w:color="auto"/>
              <w:right w:val="single" w:sz="8" w:space="0" w:color="auto"/>
            </w:tcBorders>
            <w:shd w:val="clear" w:color="auto" w:fill="auto"/>
          </w:tcPr>
          <w:p w14:paraId="07BFA4D1" w14:textId="427A76AE" w:rsidR="005319B5" w:rsidRPr="009322D6" w:rsidRDefault="00F1189B" w:rsidP="009459D0">
            <w:pPr>
              <w:jc w:val="both"/>
              <w:rPr>
                <w:color w:val="000000"/>
                <w:sz w:val="22"/>
                <w:szCs w:val="22"/>
              </w:rPr>
            </w:pPr>
            <w:r>
              <w:rPr>
                <w:color w:val="000000"/>
                <w:sz w:val="22"/>
                <w:szCs w:val="22"/>
              </w:rPr>
              <w:lastRenderedPageBreak/>
              <w:t xml:space="preserve">Perkančioji organizacija nekoreguoja techninės specifikacijos reikalavimo, nes </w:t>
            </w:r>
            <w:r w:rsidR="009C3FFA" w:rsidRPr="009322D6">
              <w:rPr>
                <w:color w:val="000000"/>
                <w:sz w:val="22"/>
                <w:szCs w:val="22"/>
              </w:rPr>
              <w:t>Ligoninėje atliekami CRB tyrimai ne visada atliekami kartu su bendro kraujo tyrimu, daug tyrimų atliekami kaip pirminiai bei klinikinei dinamikai stebėti, todėl, kaip siūlo Tiekėjas CRB rezultatą kompensuoti HCT reikšme iš LIS sistemos, reiškia, kad reiktų papildomo HCT tyrimo norint perskaičiuoti gautą CRB reikšmę pagal realią HCT reikšmę, tiek papildomas tyrimas, tiek perskaičiavimas yra papildomas laikas ir reagentų išlaidos bei vėlesnis atsakymo pateikimas gydytojui.</w:t>
            </w:r>
          </w:p>
        </w:tc>
      </w:tr>
      <w:tr w:rsidR="005319B5" w:rsidRPr="009322D6" w14:paraId="0E897BE0" w14:textId="77777777" w:rsidTr="005319B5">
        <w:trPr>
          <w:trHeight w:val="624"/>
        </w:trPr>
        <w:tc>
          <w:tcPr>
            <w:tcW w:w="2223" w:type="dxa"/>
            <w:tcBorders>
              <w:top w:val="single" w:sz="4" w:space="0" w:color="auto"/>
              <w:left w:val="single" w:sz="4" w:space="0" w:color="auto"/>
              <w:bottom w:val="single" w:sz="4" w:space="0" w:color="auto"/>
              <w:right w:val="single" w:sz="4" w:space="0" w:color="auto"/>
            </w:tcBorders>
            <w:shd w:val="clear" w:color="auto" w:fill="auto"/>
          </w:tcPr>
          <w:p w14:paraId="4E694631" w14:textId="59F96C64" w:rsidR="005319B5" w:rsidRPr="009322D6" w:rsidRDefault="005319B5" w:rsidP="009459D0">
            <w:pPr>
              <w:jc w:val="center"/>
              <w:rPr>
                <w:b/>
                <w:bCs/>
                <w:sz w:val="22"/>
                <w:szCs w:val="22"/>
              </w:rPr>
            </w:pPr>
            <w:r w:rsidRPr="009322D6">
              <w:rPr>
                <w:b/>
                <w:bCs/>
                <w:sz w:val="22"/>
                <w:szCs w:val="22"/>
              </w:rPr>
              <w:t xml:space="preserve">8. CRB tyrimų analizatoriaus  (1 vnt.) nuoma (panauda) ir reagentai bei papildomos priemonės darbui su juo  </w:t>
            </w:r>
          </w:p>
        </w:tc>
        <w:tc>
          <w:tcPr>
            <w:tcW w:w="2927" w:type="dxa"/>
            <w:tcBorders>
              <w:top w:val="single" w:sz="4" w:space="0" w:color="auto"/>
              <w:left w:val="nil"/>
              <w:bottom w:val="single" w:sz="4" w:space="0" w:color="auto"/>
              <w:right w:val="single" w:sz="4" w:space="0" w:color="auto"/>
            </w:tcBorders>
            <w:shd w:val="clear" w:color="auto" w:fill="auto"/>
          </w:tcPr>
          <w:p w14:paraId="4CBBFC44" w14:textId="77777777" w:rsidR="005319B5" w:rsidRPr="009322D6" w:rsidRDefault="005319B5" w:rsidP="009459D0">
            <w:pPr>
              <w:rPr>
                <w:color w:val="000000"/>
                <w:sz w:val="22"/>
                <w:szCs w:val="22"/>
              </w:rPr>
            </w:pPr>
            <w:r w:rsidRPr="009322D6">
              <w:rPr>
                <w:color w:val="000000"/>
                <w:sz w:val="22"/>
                <w:szCs w:val="22"/>
              </w:rPr>
              <w:t>9. Kokybės kontrolės programa.</w:t>
            </w:r>
          </w:p>
          <w:p w14:paraId="37B6A5C9" w14:textId="0751C76D" w:rsidR="005319B5" w:rsidRPr="009322D6" w:rsidRDefault="005319B5" w:rsidP="009459D0">
            <w:pPr>
              <w:rPr>
                <w:color w:val="000000"/>
                <w:sz w:val="22"/>
                <w:szCs w:val="22"/>
              </w:rPr>
            </w:pPr>
            <w:r w:rsidRPr="009322D6">
              <w:rPr>
                <w:color w:val="000000"/>
                <w:sz w:val="22"/>
                <w:szCs w:val="22"/>
              </w:rPr>
              <w:t>Neatlikus kokybės kontrolės operatoriaus darbas neleidžiamas arba analizatoriuje integruota automatine perspėjimo funkcija, įspėjanti operatorių apie neatliktą kokybės kontrolę</w:t>
            </w:r>
          </w:p>
        </w:tc>
        <w:tc>
          <w:tcPr>
            <w:tcW w:w="4606" w:type="dxa"/>
            <w:tcBorders>
              <w:top w:val="single" w:sz="4" w:space="0" w:color="auto"/>
              <w:left w:val="nil"/>
              <w:bottom w:val="single" w:sz="4" w:space="0" w:color="auto"/>
              <w:right w:val="single" w:sz="4" w:space="0" w:color="auto"/>
            </w:tcBorders>
            <w:shd w:val="clear" w:color="auto" w:fill="auto"/>
          </w:tcPr>
          <w:p w14:paraId="3B2BF267" w14:textId="77777777" w:rsidR="005319B5" w:rsidRPr="009322D6" w:rsidRDefault="005319B5" w:rsidP="00E7567D">
            <w:pPr>
              <w:jc w:val="both"/>
              <w:rPr>
                <w:color w:val="000000"/>
                <w:sz w:val="22"/>
                <w:szCs w:val="22"/>
              </w:rPr>
            </w:pPr>
            <w:r w:rsidRPr="009322D6">
              <w:rPr>
                <w:color w:val="000000"/>
                <w:sz w:val="22"/>
                <w:szCs w:val="22"/>
              </w:rPr>
              <w:t xml:space="preserve">Prašome pašalinti reikalavimą dėl analizatoriaus darbo blokavimo/perspėjimo sistemos, nes kokybės kontrolė yra reglamentuota laboratorinėse procedūrose. </w:t>
            </w:r>
          </w:p>
          <w:p w14:paraId="7502DDA4" w14:textId="1C3BBE34" w:rsidR="005319B5" w:rsidRPr="009322D6" w:rsidRDefault="005319B5" w:rsidP="00E7567D">
            <w:pPr>
              <w:jc w:val="both"/>
              <w:rPr>
                <w:b/>
                <w:bCs/>
                <w:color w:val="000000"/>
                <w:sz w:val="22"/>
                <w:szCs w:val="22"/>
              </w:rPr>
            </w:pPr>
            <w:r w:rsidRPr="009322D6">
              <w:rPr>
                <w:color w:val="000000"/>
                <w:sz w:val="22"/>
                <w:szCs w:val="22"/>
              </w:rPr>
              <w:t>Laboratorijos personalas jau turi vidines kokybės kontrolės procedūras, todėl papildomas technologinis ribojimas nėra būtinas. Jei kokybės kontrolė neatlikta, kvalifikuotas operatorius gali pats priimti sprendimą, ar atlikti tyrimą, įvertindamas diagnostinės situacijos skubumą.</w:t>
            </w:r>
          </w:p>
        </w:tc>
        <w:tc>
          <w:tcPr>
            <w:tcW w:w="5010" w:type="dxa"/>
            <w:tcBorders>
              <w:top w:val="single" w:sz="8" w:space="0" w:color="auto"/>
              <w:left w:val="nil"/>
              <w:bottom w:val="single" w:sz="8" w:space="0" w:color="auto"/>
              <w:right w:val="single" w:sz="8" w:space="0" w:color="auto"/>
            </w:tcBorders>
            <w:shd w:val="clear" w:color="auto" w:fill="auto"/>
          </w:tcPr>
          <w:p w14:paraId="1A37E715" w14:textId="77777777" w:rsidR="005319B5" w:rsidRDefault="00F1189B" w:rsidP="009459D0">
            <w:pPr>
              <w:jc w:val="both"/>
              <w:rPr>
                <w:bCs/>
                <w:color w:val="000000"/>
                <w:sz w:val="22"/>
                <w:szCs w:val="22"/>
              </w:rPr>
            </w:pPr>
            <w:r>
              <w:rPr>
                <w:color w:val="000000"/>
                <w:sz w:val="22"/>
                <w:szCs w:val="22"/>
              </w:rPr>
              <w:t>Perkančioji organizacija nekoreguoja techninės specifikacijos reikalavimo, nes d</w:t>
            </w:r>
            <w:r w:rsidR="009C3FFA" w:rsidRPr="009322D6">
              <w:rPr>
                <w:bCs/>
                <w:color w:val="000000"/>
                <w:sz w:val="22"/>
                <w:szCs w:val="22"/>
              </w:rPr>
              <w:t>irbant su POCT analizatoriumi atliekama daugiau rankinio darbo ir laboratoriniai tyrimai atliekami pagal konkretų poreikį (nerutininiai tyrimai), todėl siekiant užtikrinti aukštus kokybės reikalavimus ir rezultato patikimumą bei tikslumą</w:t>
            </w:r>
            <w:r w:rsidR="009322D6">
              <w:rPr>
                <w:bCs/>
                <w:color w:val="000000"/>
                <w:sz w:val="22"/>
                <w:szCs w:val="22"/>
              </w:rPr>
              <w:t>,</w:t>
            </w:r>
            <w:r w:rsidR="009C3FFA" w:rsidRPr="009322D6">
              <w:rPr>
                <w:bCs/>
                <w:color w:val="000000"/>
                <w:sz w:val="22"/>
                <w:szCs w:val="22"/>
              </w:rPr>
              <w:t xml:space="preserve"> analizatoriaus funkcija neleidžianti analizatoriaus darbo</w:t>
            </w:r>
            <w:r w:rsidR="009322D6">
              <w:rPr>
                <w:bCs/>
                <w:color w:val="000000"/>
                <w:sz w:val="22"/>
                <w:szCs w:val="22"/>
              </w:rPr>
              <w:t>,</w:t>
            </w:r>
            <w:r w:rsidR="009C3FFA" w:rsidRPr="009322D6">
              <w:rPr>
                <w:bCs/>
                <w:color w:val="000000"/>
                <w:sz w:val="22"/>
                <w:szCs w:val="22"/>
              </w:rPr>
              <w:t xml:space="preserve"> kol neatlikta kokybės kontrolė arba jei analizatoriuje integruota automatinė perspėjimo funkcija, įspėjanti operatorių apie neatliktą kokybės kontrolę, visiškai eliminuoja klaidos galimybę (žmogiškąjį faktorių).</w:t>
            </w:r>
          </w:p>
          <w:p w14:paraId="02942227" w14:textId="77777777" w:rsidR="00F72200" w:rsidRDefault="00F72200" w:rsidP="009459D0">
            <w:pPr>
              <w:jc w:val="both"/>
              <w:rPr>
                <w:b/>
                <w:bCs/>
                <w:color w:val="000000"/>
                <w:sz w:val="22"/>
                <w:szCs w:val="22"/>
              </w:rPr>
            </w:pPr>
          </w:p>
          <w:p w14:paraId="389B3592" w14:textId="3C27B13B" w:rsidR="00F72200" w:rsidRPr="008748A7" w:rsidRDefault="00F72200" w:rsidP="009459D0">
            <w:pPr>
              <w:jc w:val="both"/>
              <w:rPr>
                <w:b/>
                <w:bCs/>
                <w:color w:val="000000"/>
                <w:sz w:val="22"/>
                <w:szCs w:val="22"/>
              </w:rPr>
            </w:pPr>
            <w:r w:rsidRPr="00F72200">
              <w:rPr>
                <w:color w:val="000000"/>
                <w:sz w:val="22"/>
                <w:szCs w:val="22"/>
              </w:rPr>
              <w:t xml:space="preserve">Perkančioji organizacija savo iniciatyva </w:t>
            </w:r>
            <w:r w:rsidRPr="008748A7">
              <w:rPr>
                <w:b/>
                <w:bCs/>
                <w:color w:val="000000"/>
                <w:sz w:val="22"/>
                <w:szCs w:val="22"/>
              </w:rPr>
              <w:t>koreguoja techninės specifikacijos 9 punkto reikalavimus ir išdėsto taip:</w:t>
            </w:r>
          </w:p>
          <w:p w14:paraId="5CAF7BB7" w14:textId="69F62423" w:rsidR="00F72200" w:rsidRPr="009322D6" w:rsidRDefault="00F72200" w:rsidP="009459D0">
            <w:pPr>
              <w:jc w:val="both"/>
              <w:rPr>
                <w:b/>
                <w:bCs/>
                <w:color w:val="000000"/>
                <w:sz w:val="22"/>
                <w:szCs w:val="22"/>
              </w:rPr>
            </w:pPr>
            <w:r w:rsidRPr="00F72200">
              <w:rPr>
                <w:color w:val="000000"/>
                <w:sz w:val="22"/>
                <w:szCs w:val="22"/>
              </w:rPr>
              <w:t>9. Kokybės kontrolei nepatekus į nustatytas ribas, operatoriaus darbas neleidžiamas arba analizatoriuje integruota automatine perspėjimo funkcija, įspėjanti operatorių apie neatliktą kokybės kontrolę</w:t>
            </w:r>
          </w:p>
        </w:tc>
      </w:tr>
    </w:tbl>
    <w:p w14:paraId="40470620" w14:textId="77777777" w:rsidR="008F00B9" w:rsidRPr="005319B5" w:rsidRDefault="008F00B9">
      <w:pPr>
        <w:rPr>
          <w:sz w:val="22"/>
          <w:szCs w:val="22"/>
        </w:rPr>
      </w:pPr>
    </w:p>
    <w:p w14:paraId="4D18948F" w14:textId="77777777" w:rsidR="008F00B9" w:rsidRPr="005319B5" w:rsidRDefault="008F00B9">
      <w:pPr>
        <w:rPr>
          <w:sz w:val="22"/>
          <w:szCs w:val="22"/>
        </w:rPr>
      </w:pPr>
    </w:p>
    <w:p w14:paraId="263D7B9E" w14:textId="77777777" w:rsidR="008F00B9" w:rsidRPr="005319B5" w:rsidRDefault="008F00B9">
      <w:pPr>
        <w:rPr>
          <w:sz w:val="22"/>
          <w:szCs w:val="22"/>
        </w:rPr>
      </w:pPr>
    </w:p>
    <w:p w14:paraId="5CCBF403" w14:textId="77777777" w:rsidR="005836F1" w:rsidRPr="005319B5" w:rsidRDefault="005836F1">
      <w:pPr>
        <w:rPr>
          <w:sz w:val="22"/>
          <w:szCs w:val="22"/>
        </w:rPr>
      </w:pPr>
    </w:p>
    <w:p w14:paraId="2CB808A9" w14:textId="77777777" w:rsidR="005836F1" w:rsidRPr="005319B5" w:rsidRDefault="005836F1">
      <w:pPr>
        <w:rPr>
          <w:sz w:val="22"/>
          <w:szCs w:val="22"/>
        </w:rPr>
      </w:pPr>
    </w:p>
    <w:sectPr w:rsidR="005836F1" w:rsidRPr="005319B5" w:rsidSect="005836F1">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F1"/>
    <w:rsid w:val="00041395"/>
    <w:rsid w:val="000D3E73"/>
    <w:rsid w:val="0011384F"/>
    <w:rsid w:val="001A4D41"/>
    <w:rsid w:val="001D1C8D"/>
    <w:rsid w:val="0030253B"/>
    <w:rsid w:val="004E6A3F"/>
    <w:rsid w:val="005319B5"/>
    <w:rsid w:val="005836F1"/>
    <w:rsid w:val="0069667C"/>
    <w:rsid w:val="00842336"/>
    <w:rsid w:val="00862803"/>
    <w:rsid w:val="00867878"/>
    <w:rsid w:val="008748A7"/>
    <w:rsid w:val="008F00B9"/>
    <w:rsid w:val="009322D6"/>
    <w:rsid w:val="009459D0"/>
    <w:rsid w:val="009A43DF"/>
    <w:rsid w:val="009B7D38"/>
    <w:rsid w:val="009C3FFA"/>
    <w:rsid w:val="00C83442"/>
    <w:rsid w:val="00D73FBD"/>
    <w:rsid w:val="00E7567D"/>
    <w:rsid w:val="00EC5F31"/>
    <w:rsid w:val="00F1189B"/>
    <w:rsid w:val="00F33642"/>
    <w:rsid w:val="00F72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BB44"/>
  <w15:chartTrackingRefBased/>
  <w15:docId w15:val="{69D2CBBD-5A6A-4CCC-99DA-CC53D1DC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36F1"/>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5836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836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836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836F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5836F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5836F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5836F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5836F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5836F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36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36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36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36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36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36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36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36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36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36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836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36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836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36F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5836F1"/>
    <w:rPr>
      <w:i/>
      <w:iCs/>
      <w:color w:val="404040" w:themeColor="text1" w:themeTint="BF"/>
    </w:rPr>
  </w:style>
  <w:style w:type="paragraph" w:styleId="Sraopastraipa">
    <w:name w:val="List Paragraph"/>
    <w:basedOn w:val="prastasis"/>
    <w:uiPriority w:val="34"/>
    <w:qFormat/>
    <w:rsid w:val="005836F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5836F1"/>
    <w:rPr>
      <w:i/>
      <w:iCs/>
      <w:color w:val="2F5496" w:themeColor="accent1" w:themeShade="BF"/>
    </w:rPr>
  </w:style>
  <w:style w:type="paragraph" w:styleId="Iskirtacitata">
    <w:name w:val="Intense Quote"/>
    <w:basedOn w:val="prastasis"/>
    <w:next w:val="prastasis"/>
    <w:link w:val="IskirtacitataDiagrama"/>
    <w:uiPriority w:val="30"/>
    <w:qFormat/>
    <w:rsid w:val="005836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5836F1"/>
    <w:rPr>
      <w:i/>
      <w:iCs/>
      <w:color w:val="2F5496" w:themeColor="accent1" w:themeShade="BF"/>
    </w:rPr>
  </w:style>
  <w:style w:type="character" w:styleId="Rykinuoroda">
    <w:name w:val="Intense Reference"/>
    <w:basedOn w:val="Numatytasispastraiposriftas"/>
    <w:uiPriority w:val="32"/>
    <w:qFormat/>
    <w:rsid w:val="005836F1"/>
    <w:rPr>
      <w:b/>
      <w:bCs/>
      <w:smallCaps/>
      <w:color w:val="2F5496" w:themeColor="accent1" w:themeShade="BF"/>
      <w:spacing w:val="5"/>
    </w:rPr>
  </w:style>
  <w:style w:type="paragraph" w:customStyle="1" w:styleId="prastasis1">
    <w:name w:val="Įprastasis1"/>
    <w:rsid w:val="005836F1"/>
    <w:pPr>
      <w:widowControl w:val="0"/>
      <w:suppressAutoHyphens/>
      <w:spacing w:after="200" w:line="276" w:lineRule="auto"/>
    </w:pPr>
    <w:rPr>
      <w:rFonts w:ascii="Times New Roman" w:eastAsia="Calibri" w:hAnsi="Times New Roman" w:cs="Calibri"/>
      <w:color w:val="00000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419">
      <w:bodyDiv w:val="1"/>
      <w:marLeft w:val="0"/>
      <w:marRight w:val="0"/>
      <w:marTop w:val="0"/>
      <w:marBottom w:val="0"/>
      <w:divBdr>
        <w:top w:val="none" w:sz="0" w:space="0" w:color="auto"/>
        <w:left w:val="none" w:sz="0" w:space="0" w:color="auto"/>
        <w:bottom w:val="none" w:sz="0" w:space="0" w:color="auto"/>
        <w:right w:val="none" w:sz="0" w:space="0" w:color="auto"/>
      </w:divBdr>
    </w:div>
    <w:div w:id="21130882">
      <w:bodyDiv w:val="1"/>
      <w:marLeft w:val="0"/>
      <w:marRight w:val="0"/>
      <w:marTop w:val="0"/>
      <w:marBottom w:val="0"/>
      <w:divBdr>
        <w:top w:val="none" w:sz="0" w:space="0" w:color="auto"/>
        <w:left w:val="none" w:sz="0" w:space="0" w:color="auto"/>
        <w:bottom w:val="none" w:sz="0" w:space="0" w:color="auto"/>
        <w:right w:val="none" w:sz="0" w:space="0" w:color="auto"/>
      </w:divBdr>
    </w:div>
    <w:div w:id="103499239">
      <w:bodyDiv w:val="1"/>
      <w:marLeft w:val="0"/>
      <w:marRight w:val="0"/>
      <w:marTop w:val="0"/>
      <w:marBottom w:val="0"/>
      <w:divBdr>
        <w:top w:val="none" w:sz="0" w:space="0" w:color="auto"/>
        <w:left w:val="none" w:sz="0" w:space="0" w:color="auto"/>
        <w:bottom w:val="none" w:sz="0" w:space="0" w:color="auto"/>
        <w:right w:val="none" w:sz="0" w:space="0" w:color="auto"/>
      </w:divBdr>
    </w:div>
    <w:div w:id="697511506">
      <w:bodyDiv w:val="1"/>
      <w:marLeft w:val="0"/>
      <w:marRight w:val="0"/>
      <w:marTop w:val="0"/>
      <w:marBottom w:val="0"/>
      <w:divBdr>
        <w:top w:val="none" w:sz="0" w:space="0" w:color="auto"/>
        <w:left w:val="none" w:sz="0" w:space="0" w:color="auto"/>
        <w:bottom w:val="none" w:sz="0" w:space="0" w:color="auto"/>
        <w:right w:val="none" w:sz="0" w:space="0" w:color="auto"/>
      </w:divBdr>
    </w:div>
    <w:div w:id="700514427">
      <w:bodyDiv w:val="1"/>
      <w:marLeft w:val="0"/>
      <w:marRight w:val="0"/>
      <w:marTop w:val="0"/>
      <w:marBottom w:val="0"/>
      <w:divBdr>
        <w:top w:val="none" w:sz="0" w:space="0" w:color="auto"/>
        <w:left w:val="none" w:sz="0" w:space="0" w:color="auto"/>
        <w:bottom w:val="none" w:sz="0" w:space="0" w:color="auto"/>
        <w:right w:val="none" w:sz="0" w:space="0" w:color="auto"/>
      </w:divBdr>
    </w:div>
    <w:div w:id="710689318">
      <w:bodyDiv w:val="1"/>
      <w:marLeft w:val="0"/>
      <w:marRight w:val="0"/>
      <w:marTop w:val="0"/>
      <w:marBottom w:val="0"/>
      <w:divBdr>
        <w:top w:val="none" w:sz="0" w:space="0" w:color="auto"/>
        <w:left w:val="none" w:sz="0" w:space="0" w:color="auto"/>
        <w:bottom w:val="none" w:sz="0" w:space="0" w:color="auto"/>
        <w:right w:val="none" w:sz="0" w:space="0" w:color="auto"/>
      </w:divBdr>
    </w:div>
    <w:div w:id="1106385890">
      <w:bodyDiv w:val="1"/>
      <w:marLeft w:val="0"/>
      <w:marRight w:val="0"/>
      <w:marTop w:val="0"/>
      <w:marBottom w:val="0"/>
      <w:divBdr>
        <w:top w:val="none" w:sz="0" w:space="0" w:color="auto"/>
        <w:left w:val="none" w:sz="0" w:space="0" w:color="auto"/>
        <w:bottom w:val="none" w:sz="0" w:space="0" w:color="auto"/>
        <w:right w:val="none" w:sz="0" w:space="0" w:color="auto"/>
      </w:divBdr>
    </w:div>
    <w:div w:id="1153907888">
      <w:bodyDiv w:val="1"/>
      <w:marLeft w:val="0"/>
      <w:marRight w:val="0"/>
      <w:marTop w:val="0"/>
      <w:marBottom w:val="0"/>
      <w:divBdr>
        <w:top w:val="none" w:sz="0" w:space="0" w:color="auto"/>
        <w:left w:val="none" w:sz="0" w:space="0" w:color="auto"/>
        <w:bottom w:val="none" w:sz="0" w:space="0" w:color="auto"/>
        <w:right w:val="none" w:sz="0" w:space="0" w:color="auto"/>
      </w:divBdr>
    </w:div>
    <w:div w:id="1175610622">
      <w:bodyDiv w:val="1"/>
      <w:marLeft w:val="0"/>
      <w:marRight w:val="0"/>
      <w:marTop w:val="0"/>
      <w:marBottom w:val="0"/>
      <w:divBdr>
        <w:top w:val="none" w:sz="0" w:space="0" w:color="auto"/>
        <w:left w:val="none" w:sz="0" w:space="0" w:color="auto"/>
        <w:bottom w:val="none" w:sz="0" w:space="0" w:color="auto"/>
        <w:right w:val="none" w:sz="0" w:space="0" w:color="auto"/>
      </w:divBdr>
    </w:div>
    <w:div w:id="1272202590">
      <w:bodyDiv w:val="1"/>
      <w:marLeft w:val="0"/>
      <w:marRight w:val="0"/>
      <w:marTop w:val="0"/>
      <w:marBottom w:val="0"/>
      <w:divBdr>
        <w:top w:val="none" w:sz="0" w:space="0" w:color="auto"/>
        <w:left w:val="none" w:sz="0" w:space="0" w:color="auto"/>
        <w:bottom w:val="none" w:sz="0" w:space="0" w:color="auto"/>
        <w:right w:val="none" w:sz="0" w:space="0" w:color="auto"/>
      </w:divBdr>
    </w:div>
    <w:div w:id="14473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90B2A0-3FA9-4FA7-AFC7-A35EE5034E08}"/>
</file>

<file path=customXml/itemProps2.xml><?xml version="1.0" encoding="utf-8"?>
<ds:datastoreItem xmlns:ds="http://schemas.openxmlformats.org/officeDocument/2006/customXml" ds:itemID="{20BF10D9-DF7B-4760-9421-361367470C41}"/>
</file>

<file path=customXml/itemProps3.xml><?xml version="1.0" encoding="utf-8"?>
<ds:datastoreItem xmlns:ds="http://schemas.openxmlformats.org/officeDocument/2006/customXml" ds:itemID="{6A757336-2DC1-4869-93D2-02AFBA344268}"/>
</file>

<file path=docProps/app.xml><?xml version="1.0" encoding="utf-8"?>
<Properties xmlns="http://schemas.openxmlformats.org/officeDocument/2006/extended-properties" xmlns:vt="http://schemas.openxmlformats.org/officeDocument/2006/docPropsVTypes">
  <Template>Normal</Template>
  <TotalTime>1</TotalTime>
  <Pages>6</Pages>
  <Words>11655</Words>
  <Characters>6644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Inga Sadukienė</cp:lastModifiedBy>
  <cp:revision>2</cp:revision>
  <dcterms:created xsi:type="dcterms:W3CDTF">2025-03-14T12:50:00Z</dcterms:created>
  <dcterms:modified xsi:type="dcterms:W3CDTF">2025-03-14T12:50:00Z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