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color w:val="00B050"/>
          <w:sz w:val="24"/>
          <w:szCs w:val="24"/>
        </w:rPr>
      </w:pPr>
      <w:r>
        <w:rPr>
          <w:rFonts w:cs="Times New Roman" w:ascii="Times New Roman" w:hAnsi="Times New Roman"/>
          <w:b/>
          <w:bCs/>
          <w:color w:val="00B050"/>
          <w:sz w:val="24"/>
          <w:szCs w:val="24"/>
        </w:rPr>
      </w:r>
    </w:p>
    <w:sdt>
      <w:sdtPr>
        <w:docPartObj>
          <w:docPartGallery w:val="Table of Contents"/>
          <w:docPartUnique w:val="true"/>
        </w:docPartObj>
      </w:sdtPr>
      <w:sdtContent>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HIGIENOS INSTITUTAS</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w:t>
          </w:r>
          <w:r>
            <w:rPr>
              <w:rFonts w:cs="Times New Roman" w:ascii="Times New Roman" w:hAnsi="Times New Roman"/>
              <w:sz w:val="24"/>
              <w:szCs w:val="24"/>
              <w:shd w:fill="FFFFFF" w:val="clear"/>
            </w:rPr>
            <w:t>organizacijos Viešųjų pirkimų komisijos 2025-03-</w:t>
          </w:r>
          <w:r>
            <w:rPr>
              <w:rFonts w:cs="Times New Roman" w:ascii="Times New Roman" w:hAnsi="Times New Roman"/>
              <w:sz w:val="24"/>
              <w:szCs w:val="24"/>
              <w:shd w:fill="FFFFFF" w:val="clear"/>
            </w:rPr>
            <w:t>14</w:t>
          </w:r>
          <w:r>
            <w:rPr>
              <w:rFonts w:cs="Times New Roman" w:ascii="Times New Roman" w:hAnsi="Times New Roman"/>
              <w:sz w:val="24"/>
              <w:szCs w:val="24"/>
              <w:shd w:fill="FFFFFF" w:val="clear"/>
            </w:rPr>
            <w:t xml:space="preserve"> pro</w:t>
          </w:r>
          <w:r>
            <w:rPr>
              <w:rFonts w:cs="Times New Roman" w:ascii="Times New Roman" w:hAnsi="Times New Roman"/>
              <w:sz w:val="24"/>
              <w:szCs w:val="24"/>
            </w:rPr>
            <w:t xml:space="preserve">tokolu </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textAlignment w:val="baseline"/>
            <w:rPr>
              <w:rFonts w:ascii="Times New Roman" w:hAnsi="Times New Roman" w:cs="Times New Roman"/>
              <w:b/>
              <w:bCs/>
              <w:smallCaps/>
              <w:sz w:val="24"/>
              <w:szCs w:val="24"/>
            </w:rPr>
          </w:pPr>
          <w:r>
            <w:rPr>
              <w:rFonts w:cs="Times New Roman" w:ascii="Times New Roman" w:hAnsi="Times New Roman"/>
              <w:b/>
              <w:bCs/>
              <w:sz w:val="24"/>
              <w:szCs w:val="24"/>
            </w:rPr>
            <w:t>TARPTAUTINIO VIEŠOJO PIRKIMO „</w:t>
          </w:r>
          <w:r>
            <w:rPr>
              <w:rStyle w:val="Strong"/>
              <w:rFonts w:cs="Times New Roman" w:ascii="Times New Roman" w:hAnsi="Times New Roman"/>
              <w:smallCaps/>
              <w:sz w:val="28"/>
              <w:szCs w:val="28"/>
            </w:rPr>
            <w:t>Visuomenės sveikatos stiprinimo paslaugų informacinių technologijų sprendimo tobulinimo paslaugų pirkimas</w:t>
          </w:r>
          <w:r>
            <w:rPr>
              <w:rFonts w:cs="Times New Roman" w:ascii="Times New Roman" w:hAnsi="Times New Roman"/>
              <w:b/>
              <w:bCs/>
              <w:smallCaps/>
              <w:sz w:val="28"/>
              <w:szCs w:val="28"/>
            </w:rPr>
            <w:t>“</w:t>
          </w:r>
          <w:r>
            <w:rPr>
              <w:rFonts w:cs="Times New Roman" w:ascii="Times New Roman" w:hAnsi="Times New Roman"/>
              <w:b/>
              <w:bCs/>
              <w:smallCaps/>
              <w:sz w:val="24"/>
              <w:szCs w:val="24"/>
            </w:rPr>
            <w:t xml:space="preserve"> </w:t>
          </w:r>
        </w:p>
        <w:p>
          <w:pPr>
            <w:pStyle w:val="Normal"/>
            <w:spacing w:lineRule="auto" w:line="240" w:before="0" w:after="120"/>
            <w:contextualSpacing/>
            <w:jc w:val="center"/>
            <w:rPr>
              <w:rFonts w:ascii="Times New Roman" w:hAnsi="Times New Roman" w:cs="Times New Roman"/>
              <w:b/>
              <w:bCs/>
              <w:sz w:val="28"/>
              <w:szCs w:val="28"/>
              <w:lang w:val="en-GB"/>
            </w:rPr>
          </w:pPr>
          <w:r>
            <w:rPr>
              <w:rFonts w:cs="Times New Roman" w:ascii="Times New Roman" w:hAnsi="Times New Roman"/>
              <w:b/>
              <w:bCs/>
              <w:sz w:val="28"/>
              <w:szCs w:val="28"/>
            </w:rPr>
            <w:t xml:space="preserve">ATVIRO KONKURSO SPECIALIOSIOS SĄLYGOS </w:t>
          </w:r>
        </w:p>
        <w:p>
          <w:pPr>
            <w:pStyle w:val="Normal"/>
            <w:spacing w:lineRule="atLeast" w:line="20" w:before="0" w:after="120"/>
            <w:contextualSpacing/>
            <w:jc w:val="center"/>
            <w:rPr>
              <w:rFonts w:ascii="Times New Roman" w:hAnsi="Times New Roman" w:cs="Times New Roman"/>
              <w:b/>
              <w:bCs/>
              <w:color w:val="0070C0"/>
              <w:sz w:val="24"/>
              <w:szCs w:val="24"/>
            </w:rPr>
          </w:pPr>
          <w:r>
            <w:rPr>
              <w:rFonts w:cs="Times New Roman" w:ascii="Times New Roman" w:hAnsi="Times New Roman"/>
              <w:b/>
              <w:bCs/>
              <w:sz w:val="24"/>
              <w:szCs w:val="24"/>
            </w:rPr>
            <w:t>Versija Nr. 1</w:t>
          </w:r>
        </w:p>
        <w:p>
          <w:pPr>
            <w:pStyle w:val="Normal"/>
            <w:spacing w:lineRule="atLeast" w:line="20" w:before="0" w:after="12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TOCHeading"/>
            <w:spacing w:lineRule="atLeast" w:line="20" w:before="0" w:after="120"/>
            <w:ind w:hanging="432" w:left="432"/>
            <w:contextualSpacing/>
            <w:rPr>
              <w:rFonts w:ascii="Times New Roman" w:hAnsi="Times New Roman" w:cs="Times New Roman"/>
            </w:rPr>
          </w:pPr>
          <w:r>
            <w:rPr>
              <w:rFonts w:cs="Times New Roman" w:ascii="Times New Roman" w:hAnsi="Times New Roman"/>
            </w:rPr>
            <w:t>TURINYS</w:t>
          </w:r>
        </w:p>
        <w:p>
          <w:pPr>
            <w:pStyle w:val="TOC1"/>
            <w:tabs>
              <w:tab w:val="left" w:pos="142" w:leader="none"/>
              <w:tab w:val="left" w:pos="720" w:leader="none"/>
              <w:tab w:val="right" w:pos="9962" w:leader="dot"/>
            </w:tabs>
            <w:rPr>
              <w:kern w:val="2"/>
              <w:sz w:val="24"/>
              <w:szCs w:val="24"/>
              <w14:ligatures w14:val="standardContextual"/>
            </w:rPr>
          </w:pPr>
          <w:r>
            <w:fldChar w:fldCharType="begin"/>
          </w:r>
          <w:r>
            <w:rPr>
              <w:webHidden/>
              <w:rStyle w:val="IndexLink"/>
              <w:vanish w:val="false"/>
              <w:rFonts w:cs="Times New Roman" w:ascii="Times New Roman" w:hAnsi="Times New Roman"/>
            </w:rPr>
            <w:instrText xml:space="preserve"> TOC \z \o "1-3" \u \h</w:instrText>
          </w:r>
          <w:r>
            <w:rPr>
              <w:webHidden/>
              <w:rStyle w:val="IndexLink"/>
              <w:vanish w:val="false"/>
              <w:rFonts w:cs="Times New Roman" w:ascii="Times New Roman" w:hAnsi="Times New Roman"/>
            </w:rPr>
            <w:fldChar w:fldCharType="separate"/>
          </w:r>
          <w:hyperlink w:anchor="_Toc185177401">
            <w:r>
              <w:rPr>
                <w:webHidden/>
                <w:rStyle w:val="IndexLink"/>
                <w:rFonts w:cs="Times New Roman" w:ascii="Times New Roman" w:hAnsi="Times New Roman"/>
                <w:vanish w:val="false"/>
              </w:rPr>
              <w:t>1.</w:t>
            </w:r>
            <w:r>
              <w:rPr>
                <w:rStyle w:val="IndexLink"/>
                <w:kern w:val="2"/>
                <w:sz w:val="24"/>
                <w:szCs w:val="24"/>
                <w14:ligatures w14:val="standardContextual"/>
              </w:rPr>
              <w:tab/>
            </w:r>
            <w:r>
              <w:rPr>
                <w:rStyle w:val="IndexLink"/>
                <w:rFonts w:cs="Times New Roman" w:ascii="Times New Roman" w:hAnsi="Times New Roman"/>
              </w:rPr>
              <w:t>Bendra informacija</w:t>
            </w:r>
            <w:r>
              <w:rPr>
                <w:webHidden/>
              </w:rPr>
              <w:fldChar w:fldCharType="begin"/>
            </w:r>
            <w:r>
              <w:rPr>
                <w:webHidden/>
              </w:rPr>
              <w:instrText xml:space="preserve">PAGEREF _Toc185177401 \h</w:instrText>
            </w:r>
            <w:r>
              <w:rPr>
                <w:webHidden/>
              </w:rPr>
              <w:fldChar w:fldCharType="separate"/>
            </w:r>
            <w:r>
              <w:rPr>
                <w:rStyle w:val="IndexLink"/>
                <w:vanish w:val="false"/>
              </w:rPr>
              <w:tab/>
              <w:t>2</w:t>
            </w:r>
            <w:r>
              <w:rPr>
                <w:webHidden/>
              </w:rPr>
              <w:fldChar w:fldCharType="end"/>
            </w:r>
          </w:hyperlink>
        </w:p>
        <w:p>
          <w:pPr>
            <w:pStyle w:val="TOC1"/>
            <w:rPr>
              <w:kern w:val="2"/>
              <w:sz w:val="24"/>
              <w:szCs w:val="24"/>
              <w14:ligatures w14:val="standardContextual"/>
            </w:rPr>
          </w:pPr>
          <w:hyperlink w:anchor="_Toc185177402">
            <w:r>
              <w:rPr>
                <w:webHidden/>
                <w:rStyle w:val="IndexLink"/>
                <w:rFonts w:cs="Times New Roman" w:ascii="Times New Roman" w:hAnsi="Times New Roman"/>
                <w:vanish w:val="false"/>
              </w:rPr>
              <w:t>2. Pirkimo objektas</w:t>
            </w:r>
            <w:r>
              <w:rPr>
                <w:webHidden/>
              </w:rPr>
              <w:fldChar w:fldCharType="begin"/>
            </w:r>
            <w:r>
              <w:rPr>
                <w:webHidden/>
              </w:rPr>
              <w:instrText xml:space="preserve">PAGEREF _Toc185177402 \h</w:instrText>
            </w:r>
            <w:r>
              <w:rPr>
                <w:webHidden/>
              </w:rPr>
              <w:fldChar w:fldCharType="separate"/>
            </w:r>
            <w:r>
              <w:rPr>
                <w:rStyle w:val="IndexLink"/>
                <w:vanish w:val="false"/>
              </w:rPr>
              <w:tab/>
              <w:t>2</w:t>
            </w:r>
            <w:r>
              <w:rPr>
                <w:webHidden/>
              </w:rPr>
              <w:fldChar w:fldCharType="end"/>
            </w:r>
          </w:hyperlink>
        </w:p>
        <w:p>
          <w:pPr>
            <w:pStyle w:val="TOC1"/>
            <w:rPr>
              <w:kern w:val="2"/>
              <w:sz w:val="24"/>
              <w:szCs w:val="24"/>
              <w14:ligatures w14:val="standardContextual"/>
            </w:rPr>
          </w:pPr>
          <w:hyperlink w:anchor="_Toc185177403">
            <w:r>
              <w:rPr>
                <w:webHidden/>
                <w:rStyle w:val="IndexLink"/>
                <w:rFonts w:cs="Times New Roman" w:ascii="Times New Roman" w:hAnsi="Times New Roman"/>
                <w:vanish w:val="false"/>
              </w:rPr>
              <w:t>3. Susitikimai su tiekėjais ir objekto apžiūra</w:t>
            </w:r>
            <w:r>
              <w:rPr>
                <w:webHidden/>
              </w:rPr>
              <w:fldChar w:fldCharType="begin"/>
            </w:r>
            <w:r>
              <w:rPr>
                <w:webHidden/>
              </w:rPr>
              <w:instrText xml:space="preserve">PAGEREF _Toc185177403 \h</w:instrText>
            </w:r>
            <w:r>
              <w:rPr>
                <w:webHidden/>
              </w:rPr>
              <w:fldChar w:fldCharType="separate"/>
            </w:r>
            <w:r>
              <w:rPr>
                <w:rStyle w:val="IndexLink"/>
                <w:vanish w:val="false"/>
              </w:rPr>
              <w:tab/>
              <w:t>3</w:t>
            </w:r>
            <w:r>
              <w:rPr>
                <w:webHidden/>
              </w:rPr>
              <w:fldChar w:fldCharType="end"/>
            </w:r>
          </w:hyperlink>
        </w:p>
        <w:p>
          <w:pPr>
            <w:pStyle w:val="TOC1"/>
            <w:rPr>
              <w:kern w:val="2"/>
              <w:sz w:val="24"/>
              <w:szCs w:val="24"/>
              <w14:ligatures w14:val="standardContextual"/>
            </w:rPr>
          </w:pPr>
          <w:hyperlink w:anchor="_Toc185177404">
            <w:r>
              <w:rPr>
                <w:webHidden/>
                <w:rStyle w:val="IndexLink"/>
                <w:rFonts w:cs="Times New Roman" w:ascii="Times New Roman" w:hAnsi="Times New Roman"/>
                <w:vanish w:val="false"/>
              </w:rPr>
              <w:t>4. Tiekėjų pašalinimo pagrindai ir kvalifikacijos reikalavimai</w:t>
            </w:r>
            <w:r>
              <w:rPr>
                <w:webHidden/>
              </w:rPr>
              <w:fldChar w:fldCharType="begin"/>
            </w:r>
            <w:r>
              <w:rPr>
                <w:webHidden/>
              </w:rPr>
              <w:instrText xml:space="preserve">PAGEREF _Toc185177404 \h</w:instrText>
            </w:r>
            <w:r>
              <w:rPr>
                <w:webHidden/>
              </w:rPr>
              <w:fldChar w:fldCharType="separate"/>
            </w:r>
            <w:r>
              <w:rPr>
                <w:rStyle w:val="IndexLink"/>
                <w:vanish w:val="false"/>
              </w:rPr>
              <w:tab/>
              <w:t>3</w:t>
            </w:r>
            <w:r>
              <w:rPr>
                <w:webHidden/>
              </w:rPr>
              <w:fldChar w:fldCharType="end"/>
            </w:r>
          </w:hyperlink>
        </w:p>
        <w:p>
          <w:pPr>
            <w:pStyle w:val="TOC1"/>
            <w:rPr>
              <w:kern w:val="2"/>
              <w:sz w:val="24"/>
              <w:szCs w:val="24"/>
              <w14:ligatures w14:val="standardContextual"/>
            </w:rPr>
          </w:pPr>
          <w:hyperlink w:anchor="_Toc185177405">
            <w:r>
              <w:rPr>
                <w:webHidden/>
                <w:rStyle w:val="IndexLink"/>
                <w:rFonts w:cs="Times New Roman" w:ascii="Times New Roman" w:hAnsi="Times New Roman"/>
                <w:vanish w:val="false"/>
              </w:rPr>
              <w:t>5.Reikalavimai, susiję su nacionaliniu saugumu</w:t>
            </w:r>
            <w:r>
              <w:rPr>
                <w:webHidden/>
              </w:rPr>
              <w:fldChar w:fldCharType="begin"/>
            </w:r>
            <w:r>
              <w:rPr>
                <w:webHidden/>
              </w:rPr>
              <w:instrText xml:space="preserve">PAGEREF _Toc185177405 \h</w:instrText>
            </w:r>
            <w:r>
              <w:rPr>
                <w:webHidden/>
              </w:rPr>
              <w:fldChar w:fldCharType="separate"/>
            </w:r>
            <w:r>
              <w:rPr>
                <w:rStyle w:val="IndexLink"/>
                <w:vanish w:val="false"/>
              </w:rPr>
              <w:tab/>
              <w:t>4</w:t>
            </w:r>
            <w:r>
              <w:rPr>
                <w:webHidden/>
              </w:rPr>
              <w:fldChar w:fldCharType="end"/>
            </w:r>
          </w:hyperlink>
        </w:p>
        <w:p>
          <w:pPr>
            <w:pStyle w:val="TOC1"/>
            <w:rPr>
              <w:kern w:val="2"/>
              <w:sz w:val="24"/>
              <w:szCs w:val="24"/>
              <w14:ligatures w14:val="standardContextual"/>
            </w:rPr>
          </w:pPr>
          <w:hyperlink w:anchor="_Toc185177406">
            <w:r>
              <w:rPr>
                <w:webHidden/>
                <w:rStyle w:val="IndexLink"/>
                <w:rFonts w:cs="Times New Roman" w:ascii="Times New Roman" w:hAnsi="Times New Roman"/>
                <w:vanish w:val="false"/>
              </w:rPr>
              <w:t>6. Specialieji reikalavimai pasiūlymų rengimui ir pateikimui</w:t>
            </w:r>
            <w:r>
              <w:rPr>
                <w:webHidden/>
              </w:rPr>
              <w:fldChar w:fldCharType="begin"/>
            </w:r>
            <w:r>
              <w:rPr>
                <w:webHidden/>
              </w:rPr>
              <w:instrText xml:space="preserve">PAGEREF _Toc185177406 \h</w:instrText>
            </w:r>
            <w:r>
              <w:rPr>
                <w:webHidden/>
              </w:rPr>
              <w:fldChar w:fldCharType="separate"/>
            </w:r>
            <w:r>
              <w:rPr>
                <w:rStyle w:val="IndexLink"/>
                <w:vanish w:val="false"/>
              </w:rPr>
              <w:tab/>
              <w:t>5</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7">
            <w:r>
              <w:rPr>
                <w:webHidden/>
                <w:rStyle w:val="IndexLink"/>
                <w:rFonts w:eastAsia="Calibri" w:cs="Times New Roman" w:ascii="Times New Roman" w:hAnsi="Times New Roman"/>
                <w:vanish w:val="false"/>
              </w:rPr>
              <w:t>7.</w:t>
            </w:r>
            <w:r>
              <w:rPr>
                <w:rStyle w:val="IndexLink"/>
                <w:kern w:val="2"/>
                <w:sz w:val="24"/>
                <w:szCs w:val="24"/>
                <w14:ligatures w14:val="standardContextual"/>
              </w:rPr>
              <w:tab/>
            </w:r>
            <w:r>
              <w:rPr>
                <w:rStyle w:val="IndexLink"/>
                <w:rFonts w:cs="Times New Roman" w:ascii="Times New Roman" w:hAnsi="Times New Roman"/>
              </w:rPr>
              <w:t>Pasiūlymo galiojimo užtikrinimas</w:t>
            </w:r>
            <w:r>
              <w:rPr>
                <w:webHidden/>
              </w:rPr>
              <w:fldChar w:fldCharType="begin"/>
            </w:r>
            <w:r>
              <w:rPr>
                <w:webHidden/>
              </w:rPr>
              <w:instrText xml:space="preserve">PAGEREF _Toc185177407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8">
            <w:r>
              <w:rPr>
                <w:webHidden/>
                <w:rStyle w:val="IndexLink"/>
                <w:rFonts w:eastAsia="Calibri" w:cs="Times New Roman" w:ascii="Times New Roman" w:hAnsi="Times New Roman"/>
                <w:vanish w:val="false"/>
              </w:rPr>
              <w:t>8.</w:t>
            </w:r>
            <w:r>
              <w:rPr>
                <w:rStyle w:val="IndexLink"/>
                <w:kern w:val="2"/>
                <w:sz w:val="24"/>
                <w:szCs w:val="24"/>
                <w14:ligatures w14:val="standardContextual"/>
              </w:rPr>
              <w:tab/>
            </w:r>
            <w:r>
              <w:rPr>
                <w:rStyle w:val="IndexLink"/>
                <w:rFonts w:cs="Times New Roman" w:ascii="Times New Roman" w:hAnsi="Times New Roman"/>
              </w:rPr>
              <w:t>Elektroninis aukcionas</w:t>
            </w:r>
            <w:r>
              <w:rPr>
                <w:webHidden/>
              </w:rPr>
              <w:fldChar w:fldCharType="begin"/>
            </w:r>
            <w:r>
              <w:rPr>
                <w:webHidden/>
              </w:rPr>
              <w:instrText xml:space="preserve">PAGEREF _Toc185177408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9">
            <w:r>
              <w:rPr>
                <w:webHidden/>
                <w:rStyle w:val="IndexLink"/>
                <w:rFonts w:eastAsia="Calibri" w:cs="Times New Roman" w:ascii="Times New Roman" w:hAnsi="Times New Roman"/>
                <w:vanish w:val="false"/>
              </w:rPr>
              <w:t>9.</w:t>
            </w:r>
            <w:r>
              <w:rPr>
                <w:rStyle w:val="IndexLink"/>
                <w:kern w:val="2"/>
                <w:sz w:val="24"/>
                <w:szCs w:val="24"/>
                <w14:ligatures w14:val="standardContextual"/>
              </w:rPr>
              <w:tab/>
            </w:r>
            <w:r>
              <w:rPr>
                <w:rStyle w:val="IndexLink"/>
                <w:rFonts w:cs="Times New Roman" w:ascii="Times New Roman" w:hAnsi="Times New Roman"/>
              </w:rPr>
              <w:t>Pasiūlymų vertinimas</w:t>
            </w:r>
            <w:r>
              <w:rPr>
                <w:webHidden/>
              </w:rPr>
              <w:fldChar w:fldCharType="begin"/>
            </w:r>
            <w:r>
              <w:rPr>
                <w:webHidden/>
              </w:rPr>
              <w:instrText xml:space="preserve">PAGEREF _Toc185177409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10">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Sutarties sudarymas</w:t>
            </w:r>
            <w:r>
              <w:rPr>
                <w:webHidden/>
              </w:rPr>
              <w:fldChar w:fldCharType="begin"/>
            </w:r>
            <w:r>
              <w:rPr>
                <w:webHidden/>
              </w:rPr>
              <w:instrText xml:space="preserve">PAGEREF _Toc185177410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11">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Kitos sąlygos</w:t>
            </w:r>
            <w:r>
              <w:rPr>
                <w:webHidden/>
              </w:rPr>
              <w:fldChar w:fldCharType="begin"/>
            </w:r>
            <w:r>
              <w:rPr>
                <w:webHidden/>
              </w:rPr>
              <w:instrText xml:space="preserve">PAGEREF _Toc185177411 \h</w:instrText>
            </w:r>
            <w:r>
              <w:rPr>
                <w:webHidden/>
              </w:rPr>
              <w:fldChar w:fldCharType="separate"/>
            </w:r>
            <w:r>
              <w:rPr>
                <w:rStyle w:val="IndexLink"/>
                <w:vanish w:val="false"/>
              </w:rPr>
              <w:tab/>
              <w:t>6</w:t>
            </w:r>
            <w:r>
              <w:rPr>
                <w:webHidden/>
              </w:rPr>
              <w:fldChar w:fldCharType="end"/>
            </w:r>
          </w:hyperlink>
        </w:p>
        <w:p>
          <w:pPr>
            <w:pStyle w:val="TOC1"/>
            <w:rPr>
              <w:kern w:val="2"/>
              <w:sz w:val="24"/>
              <w:szCs w:val="24"/>
              <w14:ligatures w14:val="standardContextual"/>
            </w:rPr>
          </w:pPr>
          <w:hyperlink w:anchor="_Toc185177412">
            <w:r>
              <w:rPr>
                <w:webHidden/>
                <w:rStyle w:val="IndexLink"/>
                <w:rFonts w:cs="Times New Roman" w:ascii="Times New Roman" w:hAnsi="Times New Roman"/>
                <w:vanish w:val="false"/>
              </w:rPr>
              <w:t>Pirkimo sąlygų 1 priedas „Terminai“</w:t>
            </w:r>
            <w:r>
              <w:rPr>
                <w:webHidden/>
              </w:rPr>
              <w:fldChar w:fldCharType="begin"/>
            </w:r>
            <w:r>
              <w:rPr>
                <w:webHidden/>
              </w:rPr>
              <w:instrText xml:space="preserve">PAGEREF _Toc185177412 \h</w:instrText>
            </w:r>
            <w:r>
              <w:rPr>
                <w:webHidden/>
              </w:rPr>
              <w:fldChar w:fldCharType="separate"/>
            </w:r>
            <w:r>
              <w:rPr>
                <w:rStyle w:val="IndexLink"/>
                <w:vanish w:val="false"/>
              </w:rPr>
              <w:tab/>
              <w:t>22</w:t>
            </w:r>
            <w:r>
              <w:rPr>
                <w:webHidden/>
              </w:rPr>
              <w:fldChar w:fldCharType="end"/>
            </w:r>
          </w:hyperlink>
        </w:p>
        <w:p>
          <w:pPr>
            <w:pStyle w:val="TOC2"/>
            <w:rPr>
              <w:kern w:val="2"/>
              <w:sz w:val="24"/>
              <w:szCs w:val="24"/>
              <w14:ligatures w14:val="standardContextual"/>
            </w:rPr>
          </w:pPr>
          <w:hyperlink w:anchor="_Toc185177413">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_Toc185177413 \h</w:instrText>
            </w:r>
            <w:r>
              <w:rPr>
                <w:webHidden/>
              </w:rPr>
              <w:fldChar w:fldCharType="separate"/>
            </w:r>
            <w:r>
              <w:rPr>
                <w:rStyle w:val="IndexLink"/>
                <w:vanish w:val="false"/>
              </w:rPr>
              <w:tab/>
              <w:t>26</w:t>
            </w:r>
            <w:r>
              <w:rPr>
                <w:webHidden/>
              </w:rPr>
              <w:fldChar w:fldCharType="end"/>
            </w:r>
          </w:hyperlink>
        </w:p>
        <w:p>
          <w:pPr>
            <w:pStyle w:val="TOC2"/>
            <w:rPr>
              <w:kern w:val="2"/>
              <w:sz w:val="24"/>
              <w:szCs w:val="24"/>
              <w14:ligatures w14:val="standardContextual"/>
            </w:rPr>
          </w:pPr>
          <w:hyperlink w:anchor="_Toc185177414">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_Toc185177414 \h</w:instrText>
            </w:r>
            <w:r>
              <w:rPr>
                <w:webHidden/>
              </w:rPr>
              <w:fldChar w:fldCharType="separate"/>
            </w:r>
            <w:r>
              <w:rPr>
                <w:rStyle w:val="IndexLink"/>
                <w:vanish w:val="false"/>
              </w:rPr>
              <w:tab/>
              <w:t>27</w:t>
            </w:r>
            <w:r>
              <w:rPr>
                <w:webHidden/>
              </w:rPr>
              <w:fldChar w:fldCharType="end"/>
            </w:r>
          </w:hyperlink>
        </w:p>
        <w:p>
          <w:pPr>
            <w:pStyle w:val="TOC2"/>
            <w:rPr>
              <w:kern w:val="2"/>
              <w:sz w:val="24"/>
              <w:szCs w:val="24"/>
              <w14:ligatures w14:val="standardContextual"/>
            </w:rPr>
          </w:pPr>
          <w:hyperlink w:anchor="_Toc185177415">
            <w:r>
              <w:rPr>
                <w:webHidden/>
                <w:rStyle w:val="IndexLink"/>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_Toc185177415 \h</w:instrText>
            </w:r>
            <w:r>
              <w:rPr>
                <w:webHidden/>
              </w:rPr>
              <w:fldChar w:fldCharType="separate"/>
            </w:r>
            <w:r>
              <w:rPr>
                <w:rStyle w:val="IndexLink"/>
                <w:vanish w:val="false"/>
              </w:rPr>
              <w:tab/>
              <w:t>39</w:t>
            </w:r>
            <w:r>
              <w:rPr>
                <w:webHidden/>
              </w:rPr>
              <w:fldChar w:fldCharType="end"/>
            </w:r>
          </w:hyperlink>
        </w:p>
        <w:p>
          <w:pPr>
            <w:pStyle w:val="TOC2"/>
            <w:rPr>
              <w:kern w:val="2"/>
              <w:sz w:val="24"/>
              <w:szCs w:val="24"/>
              <w14:ligatures w14:val="standardContextual"/>
            </w:rPr>
          </w:pPr>
          <w:hyperlink w:anchor="_Toc185177416">
            <w:r>
              <w:rPr>
                <w:webHidden/>
                <w:rStyle w:val="IndexLink"/>
                <w:rFonts w:eastAsia="Calibri" w:cs="Times New Roman" w:ascii="Times New Roman" w:hAnsi="Times New Roman"/>
                <w:vanish w:val="false"/>
              </w:rPr>
              <w:t>Pirkimo sąlygų 5 priedas „EBVPD“</w:t>
            </w:r>
            <w:r>
              <w:rPr>
                <w:webHidden/>
              </w:rPr>
              <w:fldChar w:fldCharType="begin"/>
            </w:r>
            <w:r>
              <w:rPr>
                <w:webHidden/>
              </w:rPr>
              <w:instrText xml:space="preserve">PAGEREF _Toc185177416 \h</w:instrText>
            </w:r>
            <w:r>
              <w:rPr>
                <w:webHidden/>
              </w:rPr>
              <w:fldChar w:fldCharType="separate"/>
            </w:r>
            <w:r>
              <w:rPr>
                <w:rStyle w:val="IndexLink"/>
                <w:vanish w:val="false"/>
              </w:rPr>
              <w:tab/>
              <w:t>42</w:t>
            </w:r>
            <w:r>
              <w:rPr>
                <w:webHidden/>
              </w:rPr>
              <w:fldChar w:fldCharType="end"/>
            </w:r>
          </w:hyperlink>
        </w:p>
        <w:p>
          <w:pPr>
            <w:pStyle w:val="TOC2"/>
            <w:rPr>
              <w:kern w:val="2"/>
              <w:sz w:val="24"/>
              <w:szCs w:val="24"/>
              <w14:ligatures w14:val="standardContextual"/>
            </w:rPr>
          </w:pPr>
          <w:hyperlink w:anchor="_Toc185177417">
            <w:r>
              <w:rPr>
                <w:webHidden/>
                <w:rStyle w:val="IndexLink"/>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_Toc185177417 \h</w:instrText>
            </w:r>
            <w:r>
              <w:rPr>
                <w:webHidden/>
              </w:rPr>
              <w:fldChar w:fldCharType="separate"/>
            </w:r>
            <w:r>
              <w:rPr>
                <w:rStyle w:val="IndexLink"/>
                <w:vanish w:val="false"/>
              </w:rPr>
              <w:tab/>
              <w:t>43</w:t>
            </w:r>
            <w:r>
              <w:rPr>
                <w:webHidden/>
              </w:rPr>
              <w:fldChar w:fldCharType="end"/>
            </w:r>
          </w:hyperlink>
        </w:p>
        <w:p>
          <w:pPr>
            <w:pStyle w:val="TOC2"/>
            <w:rPr>
              <w:kern w:val="2"/>
              <w:sz w:val="24"/>
              <w:szCs w:val="24"/>
              <w14:ligatures w14:val="standardContextual"/>
            </w:rPr>
          </w:pPr>
          <w:hyperlink w:anchor="_Toc185177418">
            <w:r>
              <w:rPr>
                <w:webHidden/>
                <w:rStyle w:val="IndexLink"/>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_Toc185177418 \h</w:instrText>
            </w:r>
            <w:r>
              <w:rPr>
                <w:webHidden/>
              </w:rPr>
              <w:fldChar w:fldCharType="separate"/>
            </w:r>
            <w:r>
              <w:rPr>
                <w:rStyle w:val="IndexLink"/>
                <w:vanish w:val="false"/>
              </w:rPr>
              <w:tab/>
              <w:t>44</w:t>
            </w:r>
            <w:r>
              <w:rPr>
                <w:webHidden/>
              </w:rPr>
              <w:fldChar w:fldCharType="end"/>
            </w:r>
          </w:hyperlink>
        </w:p>
        <w:p>
          <w:pPr>
            <w:pStyle w:val="TOC2"/>
            <w:rPr>
              <w:kern w:val="2"/>
              <w:sz w:val="24"/>
              <w:szCs w:val="24"/>
              <w14:ligatures w14:val="standardContextual"/>
            </w:rPr>
          </w:pPr>
          <w:hyperlink w:anchor="_Toc185177419">
            <w:r>
              <w:rPr>
                <w:webHidden/>
                <w:rStyle w:val="IndexLink"/>
                <w:rFonts w:cs="Times New Roman" w:ascii="Times New Roman" w:hAnsi="Times New Roman"/>
                <w:vanish w:val="false"/>
              </w:rPr>
              <w:t>Pirkimo sąlygų 8 priedas „Tiekėjo deklaracija dėl atitikties Reglamento nuostatoms“</w:t>
            </w:r>
            <w:r>
              <w:rPr>
                <w:webHidden/>
              </w:rPr>
              <w:fldChar w:fldCharType="begin"/>
            </w:r>
            <w:r>
              <w:rPr>
                <w:webHidden/>
              </w:rPr>
              <w:instrText xml:space="preserve">PAGEREF _Toc185177419 \h</w:instrText>
            </w:r>
            <w:r>
              <w:rPr>
                <w:webHidden/>
              </w:rPr>
              <w:fldChar w:fldCharType="separate"/>
            </w:r>
            <w:r>
              <w:rPr>
                <w:rStyle w:val="IndexLink"/>
                <w:vanish w:val="false"/>
              </w:rPr>
              <w:tab/>
              <w:t>47</w:t>
            </w:r>
            <w:r>
              <w:rPr>
                <w:webHidden/>
              </w:rPr>
              <w:fldChar w:fldCharType="end"/>
            </w:r>
          </w:hyperlink>
        </w:p>
        <w:p>
          <w:pPr>
            <w:pStyle w:val="TOC2"/>
            <w:rPr>
              <w:kern w:val="2"/>
              <w:sz w:val="24"/>
              <w:szCs w:val="24"/>
              <w14:ligatures w14:val="standardContextual"/>
            </w:rPr>
          </w:pPr>
          <w:hyperlink w:anchor="_Toc185177420">
            <w:r>
              <w:rPr>
                <w:webHidden/>
                <w:rStyle w:val="IndexLink"/>
                <w:rFonts w:cs="Times New Roman" w:ascii="Times New Roman" w:hAnsi="Times New Roman"/>
                <w:vanish w:val="false"/>
              </w:rPr>
              <w:t>Pirkimo sąlygų 9 priedas „Siūlomų specialistų sąrašas“</w:t>
            </w:r>
            <w:r>
              <w:rPr>
                <w:webHidden/>
              </w:rPr>
              <w:fldChar w:fldCharType="begin"/>
            </w:r>
            <w:r>
              <w:rPr>
                <w:webHidden/>
              </w:rPr>
              <w:instrText xml:space="preserve">PAGEREF _Toc185177420 \h</w:instrText>
            </w:r>
            <w:r>
              <w:rPr>
                <w:webHidden/>
              </w:rPr>
              <w:fldChar w:fldCharType="separate"/>
            </w:r>
            <w:r>
              <w:rPr>
                <w:rStyle w:val="IndexLink"/>
                <w:vanish w:val="false"/>
              </w:rPr>
              <w:tab/>
              <w:t>48</w:t>
            </w:r>
            <w:r>
              <w:rPr>
                <w:webHidden/>
              </w:rPr>
              <w:fldChar w:fldCharType="end"/>
            </w:r>
          </w:hyperlink>
        </w:p>
        <w:p>
          <w:pPr>
            <w:pStyle w:val="TOC2"/>
            <w:rPr>
              <w:kern w:val="2"/>
              <w:sz w:val="24"/>
              <w:szCs w:val="24"/>
              <w14:ligatures w14:val="standardContextual"/>
            </w:rPr>
          </w:pPr>
          <w:hyperlink w:anchor="_Toc185177421">
            <w:r>
              <w:rPr>
                <w:webHidden/>
                <w:rStyle w:val="IndexLink"/>
                <w:rFonts w:cs="Times New Roman" w:ascii="Times New Roman" w:hAnsi="Times New Roman"/>
                <w:vanish w:val="false"/>
              </w:rPr>
              <w:t>Pirkimo sąlygų 10 priedas „Sutarties projektas“</w:t>
            </w:r>
            <w:r>
              <w:rPr>
                <w:webHidden/>
              </w:rPr>
              <w:fldChar w:fldCharType="begin"/>
            </w:r>
            <w:r>
              <w:rPr>
                <w:webHidden/>
              </w:rPr>
              <w:instrText xml:space="preserve">PAGEREF _Toc185177421 \h</w:instrText>
            </w:r>
            <w:r>
              <w:rPr>
                <w:webHidden/>
              </w:rPr>
              <w:fldChar w:fldCharType="separate"/>
            </w:r>
            <w:r>
              <w:rPr>
                <w:rStyle w:val="IndexLink"/>
                <w:vanish w:val="false"/>
              </w:rPr>
              <w:tab/>
              <w:t>48</w:t>
            </w:r>
            <w:r>
              <w:rPr>
                <w:webHidden/>
              </w:rPr>
              <w:fldChar w:fldCharType="end"/>
            </w:r>
          </w:hyperlink>
        </w:p>
        <w:p>
          <w:pPr>
            <w:pStyle w:val="TOC2"/>
            <w:rPr>
              <w:kern w:val="2"/>
              <w:sz w:val="24"/>
              <w:szCs w:val="24"/>
              <w14:ligatures w14:val="standardContextual"/>
            </w:rPr>
          </w:pPr>
          <w:hyperlink w:anchor="_Toc185177422">
            <w:r>
              <w:rPr>
                <w:webHidden/>
                <w:rStyle w:val="IndexLink"/>
                <w:rFonts w:cs="Times New Roman" w:ascii="Times New Roman" w:hAnsi="Times New Roman"/>
                <w:vanish w:val="false"/>
              </w:rPr>
              <w:t>Pirkimo sąlygų 11 priedas „Pažyma apie siūlomų specialistų darbinę (profesinę) patirtį“</w:t>
            </w:r>
            <w:r>
              <w:rPr>
                <w:webHidden/>
              </w:rPr>
              <w:fldChar w:fldCharType="begin"/>
            </w:r>
            <w:r>
              <w:rPr>
                <w:webHidden/>
              </w:rPr>
              <w:instrText xml:space="preserve">PAGEREF _Toc185177422 \h</w:instrText>
            </w:r>
            <w:r>
              <w:rPr>
                <w:webHidden/>
              </w:rPr>
              <w:fldChar w:fldCharType="separate"/>
            </w:r>
            <w:r>
              <w:rPr>
                <w:rStyle w:val="IndexLink"/>
                <w:vanish w:val="false"/>
              </w:rPr>
              <w:tab/>
              <w:t>50</w:t>
            </w:r>
            <w:r>
              <w:rPr>
                <w:webHidden/>
              </w:rPr>
              <w:fldChar w:fldCharType="end"/>
            </w:r>
          </w:hyperlink>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rPr>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lineRule="atLeast" w:line="20" w:before="0" w:after="120"/>
        <w:ind w:hanging="567" w:left="567"/>
        <w:contextualSpacing/>
        <w:rPr>
          <w:rFonts w:ascii="Times New Roman" w:hAnsi="Times New Roman" w:cs="Times New Roman"/>
        </w:rPr>
      </w:pPr>
      <w:bookmarkStart w:id="0" w:name="_Toc185177401"/>
      <w:bookmarkStart w:id="1" w:name="_Toc335201954"/>
      <w:bookmarkStart w:id="2" w:name="_Toc147739116"/>
      <w:bookmarkEnd w:id="1"/>
      <w:bookmarkEnd w:id="2"/>
      <w:r>
        <w:rPr>
          <w:rFonts w:cs="Times New Roman" w:ascii="Times New Roman" w:hAnsi="Times New Roman"/>
        </w:rPr>
        <w:t>Bendra informacija</w:t>
      </w:r>
      <w:bookmarkEnd w:id="0"/>
    </w:p>
    <w:p>
      <w:pPr>
        <w:pStyle w:val="ListParagraph"/>
        <w:numPr>
          <w:ilvl w:val="1"/>
          <w:numId w:val="1"/>
        </w:numPr>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Perkančioji organizacija – Higienos institutas</w:t>
      </w:r>
      <w:r>
        <w:rPr>
          <w:rFonts w:eastAsia="Calibri" w:cs="Times New Roman" w:ascii="Times New Roman" w:hAnsi="Times New Roman"/>
          <w:sz w:val="24"/>
          <w:szCs w:val="24"/>
        </w:rPr>
        <w:t xml:space="preserve">, juridinio asmens kodas 111958286, adresas Studentų g. 45A, Vilnius. </w:t>
      </w:r>
      <w:r>
        <w:rPr>
          <w:rFonts w:eastAsia="Calibri" w:cs="Times New Roman" w:ascii="Times New Roman" w:hAnsi="Times New Roman" w:eastAsiaTheme="minorHAnsi"/>
          <w:sz w:val="24"/>
          <w:szCs w:val="24"/>
          <w:lang w:eastAsia="en-US"/>
        </w:rPr>
        <w:t>Perkančioji organizacija nėra PVM mokėtoja</w:t>
      </w:r>
      <w:r>
        <w:rPr>
          <w:rFonts w:eastAsia="Calibri" w:cs="Times New Roman" w:ascii="Times New Roman" w:hAnsi="Times New Roman"/>
          <w:sz w:val="24"/>
          <w:szCs w:val="24"/>
        </w:rPr>
        <w:t>.</w:t>
      </w:r>
    </w:p>
    <w:p>
      <w:pPr>
        <w:pStyle w:val="ListParagraph"/>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color w:themeColor="text1" w:val="000000"/>
          <w:sz w:val="24"/>
          <w:szCs w:val="24"/>
        </w:rPr>
        <w:t xml:space="preserve">1.2. Pirkimas neatliekamas naudojantis centralizuotų pirkimų katalogu, nes </w:t>
      </w:r>
      <w:r>
        <w:rPr>
          <w:rFonts w:cs="Times New Roman" w:ascii="Times New Roman" w:hAnsi="Times New Roman"/>
          <w:sz w:val="24"/>
          <w:szCs w:val="24"/>
        </w:rPr>
        <w:t>kataloge nėra Perkančiosios poreikius atitinkančių paslaugų.</w:t>
      </w:r>
    </w:p>
    <w:p>
      <w:pPr>
        <w:pStyle w:val="Normal"/>
        <w:spacing w:lineRule="auto" w:line="240" w:before="0" w:after="0"/>
        <w:ind w:firstLine="567"/>
        <w:jc w:val="both"/>
        <w:rPr>
          <w:rFonts w:ascii="Times New Roman" w:hAnsi="Times New Roman" w:cs="Times New Roman"/>
          <w:color w:val="FF0000"/>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567" w:leader="none"/>
          <w:tab w:val="left" w:pos="993" w:leader="none"/>
          <w:tab w:val="left" w:pos="127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Atliekamas žaliasis pirkimas.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4.4.3 ir 4.4.4.1 papunkčiais:</w:t>
      </w:r>
    </w:p>
    <w:p>
      <w:pPr>
        <w:pStyle w:val="ListParagraph"/>
        <w:numPr>
          <w:ilvl w:val="2"/>
          <w:numId w:val="11"/>
        </w:numPr>
        <w:tabs>
          <w:tab w:val="clear" w:pos="1296"/>
          <w:tab w:val="left" w:pos="1134" w:leader="none"/>
          <w:tab w:val="left" w:pos="1276" w:leader="none"/>
          <w:tab w:val="left" w:pos="171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pPr>
        <w:pStyle w:val="NoSpacing"/>
        <w:numPr>
          <w:ilvl w:val="2"/>
          <w:numId w:val="11"/>
        </w:numPr>
        <w:ind w:firstLine="568" w:left="0"/>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Style w:val="FootnoteReference"/>
          <w:rFonts w:ascii="Times New Roman" w:hAnsi="Times New Roman"/>
          <w:sz w:val="24"/>
          <w:szCs w:val="24"/>
          <w:vertAlign w:val="superscript"/>
        </w:rPr>
        <w:footnoteReference w:id="2"/>
      </w:r>
      <w:r>
        <w:rPr>
          <w:rFonts w:ascii="Times New Roman" w:hAnsi="Times New Roman"/>
          <w:sz w:val="24"/>
          <w:szCs w:val="24"/>
        </w:rPr>
        <w:t>.</w:t>
      </w:r>
    </w:p>
    <w:p>
      <w:pPr>
        <w:pStyle w:val="ListParagraph"/>
        <w:widowControl/>
        <w:numPr>
          <w:ilvl w:val="1"/>
          <w:numId w:val="6"/>
        </w:numPr>
        <w:tabs>
          <w:tab w:val="clear" w:pos="1296"/>
          <w:tab w:val="left" w:pos="993" w:leader="none"/>
        </w:tabs>
        <w:bidi w:val="0"/>
        <w:spacing w:lineRule="auto" w:line="240" w:before="0" w:after="0"/>
        <w:ind w:firstLine="540" w:left="0" w:right="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lang w:eastAsia="en-US"/>
        </w:rPr>
        <w:t>Pirkime</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color w:val="7030A0"/>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6"/>
        </w:numPr>
        <w:tabs>
          <w:tab w:val="clear" w:pos="1296"/>
          <w:tab w:val="left" w:pos="851" w:leader="none"/>
          <w:tab w:val="left" w:pos="993" w:leader="none"/>
        </w:tabs>
        <w:spacing w:lineRule="auto" w:line="240" w:before="0" w:after="0"/>
        <w:ind w:firstLine="207" w:left="720"/>
        <w:contextualSpacing/>
        <w:jc w:val="both"/>
        <w:rPr>
          <w:rFonts w:ascii="Times New Roman" w:hAnsi="Times New Roman" w:cs="Times New Roman"/>
          <w:sz w:val="24"/>
          <w:szCs w:val="24"/>
        </w:rPr>
      </w:pPr>
      <w:r>
        <w:rPr>
          <w:rFonts w:cs="Times New Roman" w:ascii="Times New Roman" w:hAnsi="Times New Roman"/>
          <w:color w:val="7030A0"/>
          <w:sz w:val="24"/>
          <w:szCs w:val="24"/>
        </w:rPr>
        <w:t xml:space="preserve"> </w:t>
      </w:r>
      <w:r>
        <w:rPr>
          <w:rFonts w:eastAsia="Arial" w:cs="Times New Roman" w:ascii="Times New Roman" w:hAnsi="Times New Roman"/>
          <w:color w:val="333333"/>
          <w:sz w:val="24"/>
          <w:szCs w:val="24"/>
        </w:rPr>
        <w:t>Bendrosios pirkimo sąlygos yra neatskiriama šių pirkimo sąlygų dalis.</w:t>
      </w:r>
    </w:p>
    <w:p>
      <w:pPr>
        <w:pStyle w:val="Heading1"/>
        <w:spacing w:lineRule="atLeast" w:line="20" w:before="360" w:after="120"/>
        <w:contextualSpacing/>
        <w:rPr>
          <w:rFonts w:ascii="Times New Roman" w:hAnsi="Times New Roman" w:cs="Times New Roman"/>
        </w:rPr>
      </w:pPr>
      <w:bookmarkStart w:id="3" w:name="_Ref39426332"/>
      <w:bookmarkStart w:id="4" w:name="_Ref39426338"/>
      <w:bookmarkStart w:id="5" w:name="_Toc185177402"/>
      <w:bookmarkStart w:id="6" w:name="_Toc335201954_Copy_1"/>
      <w:bookmarkEnd w:id="6"/>
      <w:r>
        <w:rPr>
          <w:rFonts w:cs="Times New Roman" w:ascii="Times New Roman" w:hAnsi="Times New Roman"/>
        </w:rPr>
        <w:t>2. Pirkimo objektas</w:t>
      </w:r>
      <w:bookmarkEnd w:id="3"/>
      <w:bookmarkEnd w:id="4"/>
      <w:bookmarkEnd w:id="5"/>
    </w:p>
    <w:p>
      <w:pPr>
        <w:pStyle w:val="NoSpacing"/>
        <w:numPr>
          <w:ilvl w:val="1"/>
          <w:numId w:val="4"/>
        </w:numPr>
        <w:spacing w:before="0" w:after="120"/>
        <w:ind w:firstLine="709" w:left="0"/>
        <w:contextualSpacing/>
        <w:jc w:val="both"/>
        <w:rPr>
          <w:rFonts w:ascii="Times New Roman" w:hAnsi="Times New Roman" w:cs="Times New Roman"/>
          <w:color w:val="FF0000"/>
          <w:sz w:val="24"/>
          <w:szCs w:val="24"/>
        </w:rPr>
      </w:pPr>
      <w:r>
        <w:rPr>
          <w:rFonts w:eastAsia="Calibri" w:cs="Times New Roman" w:ascii="Times New Roman" w:hAnsi="Times New Roman"/>
          <w:sz w:val="24"/>
          <w:szCs w:val="24"/>
        </w:rPr>
        <w:t xml:space="preserve">Perkančioji organizacija, numato įsigyti </w:t>
      </w:r>
      <w:r>
        <w:rPr>
          <w:rFonts w:eastAsia="Calibri" w:cs="Times New Roman" w:ascii="Times New Roman" w:hAnsi="Times New Roman"/>
          <w:sz w:val="24"/>
          <w:szCs w:val="24"/>
        </w:rPr>
        <w:t xml:space="preserve">visuomenės sveikatos stiprinimo paslaugų informacinių technologijų sprendimo tobulinimo </w:t>
      </w:r>
      <w:r>
        <w:rPr>
          <w:rFonts w:eastAsia="Calibri" w:cs="Times New Roman" w:ascii="Times New Roman" w:hAnsi="Times New Roman"/>
          <w:sz w:val="24"/>
          <w:szCs w:val="24"/>
        </w:rPr>
        <w:t xml:space="preserve">paslaugas. </w:t>
      </w:r>
      <w:r>
        <w:rPr>
          <w:rFonts w:cs="Times New Roman" w:ascii="Times New Roman" w:hAnsi="Times New Roman"/>
          <w:sz w:val="24"/>
          <w:szCs w:val="24"/>
        </w:rPr>
        <w:t>Reikalavimai pirkimo objektui nustatyti specialiųjų pirkimo sąlygų 2</w:t>
      </w:r>
      <w:r>
        <w:rPr>
          <w:rFonts w:cs="Times New Roman" w:ascii="Times New Roman" w:hAnsi="Times New Roman"/>
          <w:color w:val="00B050"/>
          <w:sz w:val="24"/>
          <w:szCs w:val="24"/>
        </w:rPr>
        <w:t xml:space="preserve"> </w:t>
      </w:r>
      <w:r>
        <w:rPr>
          <w:rFonts w:cs="Times New Roman" w:ascii="Times New Roman" w:hAnsi="Times New Roman"/>
          <w:sz w:val="24"/>
          <w:szCs w:val="24"/>
        </w:rPr>
        <w:t>priede.</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xml:space="preserve">2.2.Pirkimo objektas </w:t>
      </w:r>
      <w:r>
        <w:rPr>
          <w:rFonts w:cs="Times New Roman" w:ascii="Times New Roman" w:hAnsi="Times New Roman"/>
          <w:sz w:val="24"/>
          <w:szCs w:val="24"/>
        </w:rPr>
        <w:t>ne</w:t>
      </w:r>
      <w:r>
        <w:rPr>
          <w:rFonts w:cs="Times New Roman" w:ascii="Times New Roman" w:hAnsi="Times New Roman"/>
          <w:sz w:val="24"/>
          <w:szCs w:val="24"/>
        </w:rPr>
        <w:t xml:space="preserve">skaidomas į  dalis, kurio apimtis ir dalykas, reikalavimai ir techninė specifikacija apibrėžti </w:t>
      </w:r>
      <w:bookmarkStart w:id="7" w:name="_Hlk91152632"/>
      <w:r>
        <w:rPr>
          <w:rFonts w:cs="Times New Roman" w:ascii="Times New Roman" w:hAnsi="Times New Roman"/>
          <w:sz w:val="24"/>
          <w:szCs w:val="24"/>
        </w:rPr>
        <w:t>pirkimo sąlygų 2 priede</w:t>
      </w:r>
      <w:bookmarkEnd w:id="7"/>
      <w:r>
        <w:rPr>
          <w:rFonts w:cs="Times New Roman" w:ascii="Times New Roman" w:hAnsi="Times New Roman"/>
          <w:sz w:val="24"/>
          <w:szCs w:val="24"/>
        </w:rPr>
        <w:t xml:space="preserve">. </w:t>
      </w:r>
      <w:r>
        <w:rPr>
          <w:rFonts w:eastAsia="Calibri" w:cs="Times New Roman" w:ascii="Times New Roman" w:hAnsi="Times New Roman"/>
          <w:sz w:val="24"/>
          <w:szCs w:val="24"/>
          <w:lang w:eastAsia="en-US"/>
        </w:rPr>
        <w:t>Perkamos kompleksiškai veikiančios paslaugos, kuriose procesai ir komponentai glaudžiai tarpusavyje susiję, papildo vienas kitą ir naudoja vienas kito rezultatus, todėl skaidymas dalimis ir jų suderinamumas taptų sudėtingas techniniu požiūriu ir nepagrįstai padidintų kaštus. Skaidant pirkimą į dalis ir sutartis pasirašant su skirtingais tiekėjais susidarytų atsakomybių „pilkosios zonos“, kuomet už vientisą paslaugų veikimą nebūtų pilnai atsakingas nei vienas tiekėjas.</w:t>
      </w:r>
      <w:r>
        <w:rPr>
          <w:rFonts w:cs="Times New Roman" w:ascii="Times New Roman" w:hAnsi="Times New Roman"/>
          <w:sz w:val="24"/>
          <w:szCs w:val="24"/>
        </w:rPr>
        <w:t>:</w:t>
      </w:r>
    </w:p>
    <w:p>
      <w:pPr>
        <w:pStyle w:val="Normal"/>
        <w:tabs>
          <w:tab w:val="clear" w:pos="1296"/>
          <w:tab w:val="left" w:pos="1276" w:leader="none"/>
        </w:tabs>
        <w:spacing w:lineRule="auto" w:line="240" w:before="0" w:after="0"/>
        <w:ind w:firstLine="567"/>
        <w:contextualSpacing/>
        <w:rPr>
          <w:rFonts w:ascii="Times New Roman" w:hAnsi="Times New Roman" w:cs="Times New Roman"/>
          <w:sz w:val="24"/>
          <w:szCs w:val="24"/>
        </w:rPr>
      </w:pPr>
      <w:r>
        <w:rPr>
          <w:rFonts w:cs="Times New Roman" w:ascii="Times New Roman" w:hAnsi="Times New Roman"/>
          <w:b/>
          <w:bCs/>
          <w:sz w:val="24"/>
          <w:szCs w:val="24"/>
        </w:rPr>
        <w:t xml:space="preserve">   </w:t>
      </w: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Heading1"/>
        <w:spacing w:lineRule="atLeast" w:line="20" w:before="360" w:after="120"/>
        <w:contextualSpacing/>
        <w:rPr>
          <w:rFonts w:ascii="Times New Roman" w:hAnsi="Times New Roman" w:cs="Times New Roman"/>
        </w:rPr>
      </w:pPr>
      <w:bookmarkStart w:id="8" w:name="_Toc185177403"/>
      <w:r>
        <w:rPr>
          <w:rFonts w:cs="Times New Roman" w:ascii="Times New Roman" w:hAnsi="Times New Roman"/>
        </w:rPr>
        <w:t xml:space="preserve">3. </w:t>
      </w:r>
      <w:bookmarkStart w:id="9" w:name="_Ref39740354"/>
      <w:bookmarkStart w:id="10" w:name="_Ref39427921"/>
      <w:bookmarkStart w:id="11" w:name="_Ref39427927"/>
      <w:r>
        <w:rPr>
          <w:rFonts w:cs="Times New Roman" w:ascii="Times New Roman" w:hAnsi="Times New Roman"/>
        </w:rPr>
        <w:t>Susitikimai su tiekėjais</w:t>
      </w:r>
      <w:bookmarkEnd w:id="10"/>
      <w:bookmarkEnd w:id="11"/>
      <w:r>
        <w:rPr>
          <w:rFonts w:cs="Times New Roman" w:ascii="Times New Roman" w:hAnsi="Times New Roman"/>
        </w:rPr>
        <w:t xml:space="preserve"> ir objekto apžiūra</w:t>
      </w:r>
      <w:bookmarkEnd w:id="8"/>
      <w:bookmarkEnd w:id="9"/>
    </w:p>
    <w:p>
      <w:pPr>
        <w:pStyle w:val="ListParagraph"/>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color w:val="FF0000"/>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ListParagraph"/>
        <w:spacing w:lineRule="auto" w:line="240" w:before="0" w:after="0"/>
        <w:ind w:left="567"/>
        <w:contextualSpacing/>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3.2. P</w:t>
      </w:r>
      <w:r>
        <w:rPr>
          <w:rFonts w:cs="Times New Roman" w:ascii="Times New Roman" w:hAnsi="Times New Roman"/>
          <w:sz w:val="24"/>
          <w:szCs w:val="24"/>
        </w:rPr>
        <w:t>erkančioji organizacija nerengs objekto apžiūros.</w:t>
      </w:r>
    </w:p>
    <w:p>
      <w:pPr>
        <w:pStyle w:val="Heading1"/>
        <w:spacing w:lineRule="atLeast" w:line="20" w:before="360" w:after="120"/>
        <w:contextualSpacing/>
        <w:rPr>
          <w:rFonts w:ascii="Times New Roman" w:hAnsi="Times New Roman" w:cs="Times New Roman"/>
        </w:rPr>
      </w:pPr>
      <w:bookmarkStart w:id="12" w:name="_Toc185177404"/>
      <w:bookmarkStart w:id="13" w:name="_Ref39473754"/>
      <w:bookmarkStart w:id="14" w:name="_Ref39473761"/>
      <w:bookmarkStart w:id="15" w:name="_Ref39474188"/>
      <w:r>
        <w:rPr>
          <w:rFonts w:cs="Times New Roman" w:ascii="Times New Roman" w:hAnsi="Times New Roman"/>
        </w:rPr>
        <w:t>4. Tiekėjų pašalinimo pagrindai</w:t>
      </w:r>
      <w:bookmarkEnd w:id="13"/>
      <w:bookmarkEnd w:id="14"/>
      <w:bookmarkEnd w:id="15"/>
      <w:r>
        <w:rPr>
          <w:rFonts w:cs="Times New Roman" w:ascii="Times New Roman" w:hAnsi="Times New Roman"/>
        </w:rPr>
        <w:t xml:space="preserve"> ir kvalifikacijos reikalavimai</w:t>
      </w:r>
      <w:bookmarkEnd w:id="12"/>
    </w:p>
    <w:p>
      <w:pPr>
        <w:pStyle w:val="ListParagraph"/>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6" w:name="_Hlk41039660"/>
      <w:r>
        <w:rPr>
          <w:rFonts w:cs="Times New Roman" w:ascii="Times New Roman" w:hAnsi="Times New Roman"/>
          <w:sz w:val="24"/>
          <w:szCs w:val="24"/>
        </w:rPr>
        <w:t xml:space="preserve"> subtiekėjų (jei taikoma), ūkio subjektų, kurių pajėgumais tiekėjas remiasi, </w:t>
      </w:r>
      <w:bookmarkEnd w:id="16"/>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3</w:t>
      </w:r>
      <w:r>
        <w:rPr>
          <w:rFonts w:cs="Times New Roman" w:ascii="Times New Roman" w:hAnsi="Times New Roman"/>
          <w:color w:val="00B050"/>
          <w:sz w:val="24"/>
          <w:szCs w:val="24"/>
        </w:rPr>
        <w:t xml:space="preserve">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Heading1"/>
        <w:tabs>
          <w:tab w:val="clear" w:pos="1296"/>
          <w:tab w:val="left" w:pos="567" w:leader="none"/>
        </w:tabs>
        <w:spacing w:before="360" w:after="0"/>
        <w:contextualSpacing/>
        <w:jc w:val="both"/>
        <w:rPr>
          <w:rFonts w:ascii="Times New Roman" w:hAnsi="Times New Roman" w:cs="Times New Roman"/>
        </w:rPr>
      </w:pPr>
      <w:bookmarkStart w:id="17" w:name="_Toc185177405"/>
      <w:r>
        <w:rPr>
          <w:rFonts w:cs="Times New Roman" w:ascii="Times New Roman" w:hAnsi="Times New Roman"/>
        </w:rPr>
        <w:t>5.Reikalavimai, susiję su nacionaliniu saugumu</w:t>
      </w:r>
      <w:bookmarkEnd w:id="17"/>
      <w:r>
        <w:rPr>
          <w:rFonts w:cs="Times New Roman" w:ascii="Times New Roman" w:hAnsi="Times New Roman"/>
        </w:rPr>
        <w:t xml:space="preserve"> </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rPr>
        <w:t>5.1</w:t>
      </w:r>
      <w:r>
        <w:rPr>
          <w:rFonts w:cs="Times New Roman" w:ascii="Times New Roman" w:hAnsi="Times New Roman"/>
          <w:color w:themeColor="text1" w:val="000000"/>
          <w:sz w:val="24"/>
          <w:szCs w:val="24"/>
        </w:rPr>
        <w:t xml:space="preserve">. Pirkimui taikomos Reglamento nuostatos. Kartu su pasiūlymu tiekėjas turi pateikti užpildytą deklaraciją dėl (ne)atitikties Reglamento nuostatoms, kuri pateikta specialiųjų pirkimo sąlygų </w:t>
      </w:r>
      <w:r>
        <w:rPr>
          <w:rFonts w:cs="Times New Roman" w:ascii="Times New Roman" w:hAnsi="Times New Roman"/>
          <w:sz w:val="24"/>
          <w:szCs w:val="24"/>
        </w:rPr>
        <w:t>8</w:t>
      </w:r>
      <w:r>
        <w:rPr>
          <w:rFonts w:cs="Times New Roman" w:ascii="Times New Roman" w:hAnsi="Times New Roman"/>
          <w:color w:themeColor="text1" w:val="000000"/>
          <w:sz w:val="24"/>
          <w:szCs w:val="24"/>
        </w:rPr>
        <w:t xml:space="preserve"> priede. Kilus abejonių dėl tiekėjo (ne)atitikties Reglamento nuostatoms, perkančioji organizacija iš galimo laimėtojo prašys pateikti dokumentus, įrodančius deklaracijoje pateiktų duomenų teisingumą.</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color w:themeColor="text1" w:val="000000"/>
          <w:sz w:val="24"/>
          <w:szCs w:val="24"/>
        </w:rPr>
        <w:t>5.3.</w:t>
      </w:r>
      <w:r>
        <w:rPr>
          <w:rFonts w:cs="Times New Roman" w:ascii="Times New Roman" w:hAnsi="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5.4. Kilus abejonių dėl tiekėjo (ne) atitikties Reglamento nuostatoms, Perkančioji organizacija iš galimo laimėtojo prašys pateikti dokumentus, įrodančius deklaracijoje pateiktų duomenų teisingumą. </w:t>
      </w:r>
      <w:r>
        <w:rPr>
          <w:rFonts w:eastAsia="Arial Unicode MS" w:cs="Times New Roman" w:ascii="Times New Roman" w:hAnsi="Times New Roman"/>
          <w:sz w:val="24"/>
          <w:szCs w:val="24"/>
        </w:rPr>
        <w:t>Tiekėjas, dalyvaujantis pirkime bus šalinamas, jeigu:</w:t>
      </w:r>
    </w:p>
    <w:tbl>
      <w:tblPr>
        <w:tblStyle w:val="SmartTextTable1"/>
        <w:tblW w:w="974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70"/>
        <w:gridCol w:w="3712"/>
        <w:gridCol w:w="5464"/>
      </w:tblGrid>
      <w:tr>
        <w:trPr/>
        <w:tc>
          <w:tcPr>
            <w:tcW w:w="570" w:type="dxa"/>
            <w:tcBorders/>
            <w:vAlign w:val="center"/>
          </w:tcPr>
          <w:p>
            <w:pPr>
              <w:pStyle w:val="Normal"/>
              <w:widowControl/>
              <w:suppressAutoHyphens w:val="true"/>
              <w:spacing w:lineRule="auto" w:line="240" w:before="0" w:after="0"/>
              <w:jc w:val="center"/>
              <w:rPr>
                <w:rFonts w:ascii="Times New Roman" w:hAnsi="Times New Roman" w:eastAsia="Arial Unicode MS"/>
                <w:b/>
                <w:bCs/>
                <w:sz w:val="24"/>
                <w:szCs w:val="24"/>
              </w:rPr>
            </w:pPr>
            <w:r>
              <w:rPr>
                <w:rFonts w:eastAsia="Arial Unicode MS" w:cs="Times New Roman" w:ascii="Times New Roman" w:hAnsi="Times New Roman"/>
                <w:b/>
                <w:bCs/>
                <w:kern w:val="0"/>
                <w:sz w:val="24"/>
                <w:szCs w:val="24"/>
                <w:lang w:val="lt-LT" w:eastAsia="en-US" w:bidi="ar-SA"/>
              </w:rPr>
              <w:t>Eil. Nr.</w:t>
            </w:r>
          </w:p>
        </w:tc>
        <w:tc>
          <w:tcPr>
            <w:tcW w:w="3712" w:type="dxa"/>
            <w:tcBorders/>
            <w:vAlign w:val="center"/>
          </w:tcPr>
          <w:p>
            <w:pPr>
              <w:pStyle w:val="Normal"/>
              <w:widowControl/>
              <w:suppressAutoHyphens w:val="true"/>
              <w:spacing w:lineRule="auto" w:line="240" w:before="0" w:after="0"/>
              <w:jc w:val="center"/>
              <w:rPr>
                <w:rFonts w:ascii="Times New Roman" w:hAnsi="Times New Roman" w:eastAsia="Arial Unicode MS"/>
                <w:b/>
                <w:bCs/>
                <w:sz w:val="24"/>
                <w:szCs w:val="24"/>
              </w:rPr>
            </w:pPr>
            <w:r>
              <w:rPr>
                <w:rFonts w:eastAsia="Arial Unicode MS" w:cs="Times New Roman" w:ascii="Times New Roman" w:hAnsi="Times New Roman"/>
                <w:b/>
                <w:bCs/>
                <w:kern w:val="0"/>
                <w:sz w:val="24"/>
                <w:szCs w:val="24"/>
                <w:lang w:val="lt-LT" w:eastAsia="en-US" w:bidi="ar-SA"/>
              </w:rPr>
              <w:t>Reikalavimai</w:t>
            </w:r>
          </w:p>
        </w:tc>
        <w:tc>
          <w:tcPr>
            <w:tcW w:w="5464" w:type="dxa"/>
            <w:tcBorders/>
            <w:vAlign w:val="center"/>
          </w:tcPr>
          <w:p>
            <w:pPr>
              <w:pStyle w:val="Normal"/>
              <w:widowControl/>
              <w:suppressAutoHyphens w:val="true"/>
              <w:spacing w:lineRule="auto" w:line="240" w:before="0" w:after="0"/>
              <w:jc w:val="center"/>
              <w:rPr>
                <w:rFonts w:ascii="Times New Roman" w:hAnsi="Times New Roman" w:eastAsia="Arial Unicode MS"/>
                <w:b/>
                <w:bCs/>
                <w:sz w:val="24"/>
                <w:szCs w:val="24"/>
              </w:rPr>
            </w:pPr>
            <w:r>
              <w:rPr>
                <w:rFonts w:eastAsia="Arial Unicode MS" w:cs="Times New Roman" w:ascii="Times New Roman" w:hAnsi="Times New Roman"/>
                <w:b/>
                <w:bCs/>
                <w:kern w:val="0"/>
                <w:sz w:val="24"/>
                <w:szCs w:val="24"/>
                <w:lang w:val="lt-LT" w:eastAsia="en-US" w:bidi="ar-SA"/>
              </w:rPr>
              <w:t>Reikalavimą patvirtinantys dokumentai</w:t>
            </w:r>
          </w:p>
        </w:tc>
      </w:tr>
      <w:tr>
        <w:trPr/>
        <w:tc>
          <w:tcPr>
            <w:tcW w:w="570" w:type="dxa"/>
            <w:tcBorders/>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1.</w:t>
            </w:r>
          </w:p>
        </w:tc>
        <w:tc>
          <w:tcPr>
            <w:tcW w:w="3712" w:type="dxa"/>
            <w:tcBorders/>
          </w:tcPr>
          <w:p>
            <w:pPr>
              <w:pStyle w:val="Normal"/>
              <w:widowControl/>
              <w:suppressAutoHyphens w:val="true"/>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Tiekėjas yra Rusijos pilietis</w:t>
            </w:r>
            <w:r>
              <w:rPr>
                <w:rFonts w:eastAsia="Arial Unicode MS" w:cs="Times New Roman" w:ascii="Times New Roman" w:hAnsi="Times New Roman"/>
                <w:spacing w:val="2"/>
                <w:kern w:val="0"/>
                <w:sz w:val="24"/>
                <w:szCs w:val="24"/>
                <w:shd w:fill="FFFFFF" w:val="clear"/>
                <w:lang w:val="lt-LT" w:eastAsia="en-US" w:bidi="ar-SA"/>
              </w:rPr>
              <w:t xml:space="preserve"> fizinis ar juridinis asmuo, subjektas ar organizacija, įsisteigusi Rusijoje</w:t>
            </w:r>
          </w:p>
        </w:tc>
        <w:tc>
          <w:tcPr>
            <w:tcW w:w="5464" w:type="dxa"/>
            <w:vMerge w:val="restart"/>
            <w:tcBorders/>
          </w:tcPr>
          <w:p>
            <w:pPr>
              <w:pStyle w:val="Normal"/>
              <w:widowControl/>
              <w:suppressAutoHyphens w:val="true"/>
              <w:spacing w:lineRule="auto" w:line="240" w:before="0" w:after="0"/>
              <w:ind w:firstLine="39"/>
              <w:jc w:val="both"/>
              <w:rPr>
                <w:rFonts w:ascii="Times New Roman" w:hAnsi="Times New Roman" w:eastAsia="Times New Roman"/>
                <w:sz w:val="24"/>
                <w:szCs w:val="24"/>
              </w:rPr>
            </w:pPr>
            <w:r>
              <w:rPr>
                <w:rFonts w:eastAsia="Times New Roman" w:cs="Times New Roman" w:ascii="Times New Roman" w:hAnsi="Times New Roman"/>
                <w:color w:val="000000"/>
                <w:kern w:val="0"/>
                <w:sz w:val="24"/>
                <w:szCs w:val="24"/>
                <w:lang w:val="lt-LT" w:eastAsia="en-US" w:bidi="ar-SA"/>
              </w:rPr>
              <w:t xml:space="preserve">1) </w:t>
            </w:r>
            <w:r>
              <w:rPr>
                <w:rFonts w:eastAsia="Times New Roman" w:cs="Times New Roman" w:ascii="Times New Roman" w:hAnsi="Times New Roman"/>
                <w:kern w:val="0"/>
                <w:sz w:val="24"/>
                <w:szCs w:val="24"/>
                <w:lang w:val="lt-LT" w:eastAsia="en-US" w:bidi="ar-SA"/>
              </w:rPr>
              <w:t xml:space="preserve">jei tiekėjas, jo subtiekėjas, ūkio subjektas, kurio pajėgumais remiasi ar juos kontroliuojantis asmuo yra </w:t>
            </w:r>
            <w:r>
              <w:rPr>
                <w:rFonts w:eastAsia="Times New Roman" w:cs="Times New Roman" w:ascii="Times New Roman" w:hAnsi="Times New Roman"/>
                <w:b/>
                <w:bCs/>
                <w:kern w:val="0"/>
                <w:sz w:val="24"/>
                <w:szCs w:val="24"/>
                <w:lang w:val="lt-LT" w:eastAsia="en-US" w:bidi="ar-SA"/>
              </w:rPr>
              <w:t>juridinis asmuo</w:t>
            </w:r>
            <w:r>
              <w:rPr>
                <w:rFonts w:eastAsia="Times New Roman" w:cs="Times New Roman" w:ascii="Times New Roman" w:hAnsi="Times New Roman"/>
                <w:kern w:val="0"/>
                <w:sz w:val="24"/>
                <w:szCs w:val="24"/>
                <w:lang w:val="lt-LT" w:eastAsia="en-US" w:bidi="ar-SA"/>
              </w:rPr>
              <w:t>,</w:t>
            </w:r>
            <w:r>
              <w:rPr>
                <w:rFonts w:eastAsia="Calibri" w:cs="Times New Roman" w:ascii="Times New Roman" w:hAnsi="Times New Roman"/>
                <w:kern w:val="0"/>
                <w:sz w:val="24"/>
                <w:szCs w:val="24"/>
                <w:lang w:val="lt-LT" w:eastAsia="en-US" w:bidi="ar-SA"/>
              </w:rPr>
              <w:t xml:space="preserve"> </w:t>
            </w:r>
            <w:r>
              <w:rPr>
                <w:rFonts w:eastAsia="Times New Roman" w:cs="Times New Roman" w:ascii="Times New Roman" w:hAnsi="Times New Roman"/>
                <w:kern w:val="0"/>
                <w:sz w:val="24"/>
                <w:szCs w:val="24"/>
                <w:lang w:val="lt-LT" w:eastAsia="en-US" w:bidi="ar-SA"/>
              </w:rPr>
              <w:t xml:space="preserve">pateikiama juridinio asmens vadovo patvirtinta juridinio asmens steigimo dokumentų kopija, Juridinių asmenų registro išplėstinis išrašas su istorija, </w:t>
            </w:r>
            <w:r>
              <w:rPr>
                <w:rFonts w:eastAsia="Calibri" w:cs="Times New Roman" w:ascii="Times New Roman" w:hAnsi="Times New Roman"/>
                <w:kern w:val="0"/>
                <w:sz w:val="24"/>
                <w:szCs w:val="24"/>
                <w:lang w:val="lt-LT" w:eastAsia="en-US" w:bidi="ar-SA"/>
              </w:rPr>
              <w:t>Juridinių asmenų dalyvių informacinės sistemos išrašas</w:t>
            </w:r>
            <w:r>
              <w:rPr>
                <w:rFonts w:eastAsia="Times New Roman" w:cs="Times New Roman" w:ascii="Times New Roman" w:hAnsi="Times New Roman"/>
                <w:kern w:val="0"/>
                <w:sz w:val="24"/>
                <w:szCs w:val="24"/>
                <w:lang w:val="lt-LT" w:eastAsia="en-US" w:bidi="ar-SA"/>
              </w:rPr>
              <w:t xml:space="preserve"> arba atitinkami valstybės narės ar trečiosios šalies dokumentai ar kiti perkančiajai organizacijai priimtini dokumentai.</w:t>
            </w:r>
          </w:p>
          <w:p>
            <w:pPr>
              <w:pStyle w:val="Normal"/>
              <w:widowControl/>
              <w:suppressAutoHyphens w:val="true"/>
              <w:spacing w:lineRule="auto" w:line="240" w:before="0" w:after="0"/>
              <w:ind w:firstLine="39"/>
              <w:jc w:val="both"/>
              <w:rPr>
                <w:rFonts w:ascii="Times New Roman" w:hAnsi="Times New Roman" w:eastAsia="Arial Unicode MS"/>
                <w:i/>
                <w:i/>
                <w:sz w:val="24"/>
                <w:szCs w:val="24"/>
              </w:rPr>
            </w:pPr>
            <w:r>
              <w:rPr>
                <w:rFonts w:eastAsia="Times New Roman" w:cs="Times New Roman" w:ascii="Times New Roman" w:hAnsi="Times New Roman"/>
                <w:color w:val="000000"/>
                <w:kern w:val="0"/>
                <w:sz w:val="24"/>
                <w:szCs w:val="24"/>
                <w:lang w:val="lt-LT" w:eastAsia="en-US" w:bidi="ar-SA"/>
              </w:rPr>
              <w:t xml:space="preserve">2) jei tiekėjas, jo subtiekėjas, ūkio subjektas, kurio pajėgumais remiasi ar juos kontroliuojantis asmuo </w:t>
            </w:r>
            <w:r>
              <w:rPr>
                <w:rFonts w:eastAsia="Times New Roman" w:cs="Times New Roman" w:ascii="Times New Roman" w:hAnsi="Times New Roman"/>
                <w:b/>
                <w:bCs/>
                <w:color w:val="000000"/>
                <w:kern w:val="0"/>
                <w:sz w:val="24"/>
                <w:szCs w:val="24"/>
                <w:lang w:val="lt-LT" w:eastAsia="en-US" w:bidi="ar-SA"/>
              </w:rPr>
              <w:t>fizinis asmuo</w:t>
            </w:r>
            <w:r>
              <w:rPr>
                <w:rFonts w:eastAsia="Times New Roman" w:cs="Times New Roman" w:ascii="Times New Roman" w:hAnsi="Times New Roman"/>
                <w:color w:val="000000"/>
                <w:kern w:val="0"/>
                <w:sz w:val="24"/>
                <w:szCs w:val="24"/>
                <w:lang w:val="lt-LT" w:eastAsia="en-US" w:bidi="ar-SA"/>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trPr/>
        <w:tc>
          <w:tcPr>
            <w:tcW w:w="570" w:type="dxa"/>
            <w:tcBorders/>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2.</w:t>
            </w:r>
          </w:p>
        </w:tc>
        <w:tc>
          <w:tcPr>
            <w:tcW w:w="3712" w:type="dxa"/>
            <w:tcBorders/>
          </w:tcPr>
          <w:p>
            <w:pPr>
              <w:pStyle w:val="Normal"/>
              <w:widowControl/>
              <w:suppressAutoHyphens w:val="true"/>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spacing w:val="2"/>
                <w:kern w:val="0"/>
                <w:sz w:val="24"/>
                <w:szCs w:val="24"/>
                <w:shd w:fill="FFFFFF" w:val="clear"/>
                <w:lang w:val="lt-LT" w:eastAsia="en-US" w:bidi="ar-SA"/>
              </w:rPr>
              <w:t>Tiekėjas yra juridinis asmuo, subjektas ar organizacija, kuriuose daugiau kaip 50 % nuosavybės teisių tiesiogiai ar netiesiogiai priklauso šios dalies 1 punkte nurodytam subjektui</w:t>
            </w:r>
            <w:r>
              <w:rPr>
                <w:rFonts w:eastAsia="Arial Unicode MS" w:cs="Times New Roman" w:ascii="Times New Roman" w:hAnsi="Times New Roman"/>
                <w:kern w:val="0"/>
                <w:sz w:val="24"/>
                <w:szCs w:val="24"/>
                <w:lang w:val="lt-LT" w:eastAsia="en-US" w:bidi="ar-SA"/>
              </w:rPr>
              <w:t>.</w:t>
            </w:r>
          </w:p>
        </w:tc>
        <w:tc>
          <w:tcPr>
            <w:tcW w:w="5464" w:type="dxa"/>
            <w:vMerge w:val="continue"/>
            <w:tcBorders/>
            <w:vAlign w:val="center"/>
          </w:tcPr>
          <w:p>
            <w:pPr>
              <w:pStyle w:val="Normal"/>
              <w:widowControl/>
              <w:suppressAutoHyphens w:val="true"/>
              <w:spacing w:lineRule="auto" w:line="240" w:before="0" w:after="0"/>
              <w:jc w:val="left"/>
              <w:rPr>
                <w:rFonts w:ascii="Times New Roman" w:hAnsi="Times New Roman" w:eastAsia="Arial Unicode MS"/>
                <w:sz w:val="24"/>
                <w:szCs w:val="24"/>
              </w:rPr>
            </w:pPr>
            <w:r>
              <w:rPr>
                <w:rFonts w:eastAsia="Arial Unicode MS" w:ascii="Times New Roman" w:hAnsi="Times New Roman"/>
                <w:sz w:val="24"/>
                <w:szCs w:val="24"/>
              </w:rPr>
            </w:r>
          </w:p>
        </w:tc>
      </w:tr>
      <w:tr>
        <w:trPr/>
        <w:tc>
          <w:tcPr>
            <w:tcW w:w="570" w:type="dxa"/>
            <w:tcBorders/>
          </w:tcPr>
          <w:p>
            <w:pPr>
              <w:pStyle w:val="Normal"/>
              <w:widowControl/>
              <w:suppressAutoHyphens w:val="true"/>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3.</w:t>
            </w:r>
          </w:p>
        </w:tc>
        <w:tc>
          <w:tcPr>
            <w:tcW w:w="3712" w:type="dxa"/>
            <w:tcBorders/>
          </w:tcPr>
          <w:p>
            <w:pPr>
              <w:pStyle w:val="Normal"/>
              <w:widowControl/>
              <w:suppressAutoHyphens w:val="true"/>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kern w:val="0"/>
                <w:sz w:val="24"/>
                <w:szCs w:val="24"/>
                <w:shd w:fill="FFFFFF" w:val="clear"/>
                <w:lang w:val="lt-LT" w:eastAsia="en-US" w:bidi="ar-SA"/>
              </w:rPr>
              <w:t>Tiekėjas yra fizinis ar juridinis asmuo, subjektas ar organizacija, veikiantis šios lentelės 1 arba 2 punkte nurodyto subjekto vardu ar jo nurodymu.</w:t>
            </w:r>
          </w:p>
        </w:tc>
        <w:tc>
          <w:tcPr>
            <w:tcW w:w="5464" w:type="dxa"/>
            <w:vMerge w:val="continue"/>
            <w:tcBorders/>
            <w:vAlign w:val="center"/>
          </w:tcPr>
          <w:p>
            <w:pPr>
              <w:pStyle w:val="Normal"/>
              <w:widowControl/>
              <w:suppressAutoHyphens w:val="true"/>
              <w:spacing w:lineRule="auto" w:line="240" w:before="0" w:after="0"/>
              <w:jc w:val="left"/>
              <w:rPr>
                <w:rFonts w:ascii="Times New Roman" w:hAnsi="Times New Roman" w:eastAsia="Arial Unicode MS"/>
                <w:sz w:val="24"/>
                <w:szCs w:val="24"/>
              </w:rPr>
            </w:pPr>
            <w:r>
              <w:rPr>
                <w:rFonts w:eastAsia="Arial Unicode MS" w:ascii="Times New Roman" w:hAnsi="Times New Roman"/>
                <w:sz w:val="24"/>
                <w:szCs w:val="24"/>
              </w:rPr>
            </w:r>
          </w:p>
        </w:tc>
      </w:tr>
    </w:tbl>
    <w:p>
      <w:pPr>
        <w:pStyle w:val="ListParagraph"/>
        <w:spacing w:lineRule="auto" w:line="240" w:before="0" w:after="0"/>
        <w:ind w:firstLine="567" w:left="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sz w:val="24"/>
          <w:szCs w:val="24"/>
        </w:rPr>
      </w:pPr>
      <w:r>
        <w:rPr/>
        <w:t xml:space="preserve">5.6. </w:t>
      </w:r>
      <w:r>
        <w:rPr>
          <w:rFonts w:cs="Times New Roman" w:ascii="Times New Roman" w:hAnsi="Times New Roman"/>
          <w:sz w:val="24"/>
          <w:szCs w:val="24"/>
        </w:rPr>
        <w:t xml:space="preserve">Perkančioji organizacija laiko, kad </w:t>
      </w:r>
      <w:r>
        <w:rPr>
          <w:rFonts w:cs="Times New Roman" w:ascii="Times New Roman" w:hAnsi="Times New Roman"/>
          <w:color w:val="000000"/>
          <w:sz w:val="24"/>
          <w:szCs w:val="24"/>
          <w:shd w:fill="FFFFFF" w:val="clear"/>
        </w:rPr>
        <w:t>pirkimo objektas kelia grėsmę nacionaliniam saugumui</w:t>
      </w:r>
      <w:r>
        <w:rPr>
          <w:rFonts w:cs="Times New Roman" w:ascii="Times New Roman" w:hAnsi="Times New Roman"/>
          <w:sz w:val="24"/>
          <w:szCs w:val="24"/>
        </w:rPr>
        <w:t xml:space="preserve">, jei jis atitinka VPĮ 37 straipsnio 9 dalies 1 ir (ar) 2 punkte numatytas sąlygas. </w:t>
      </w:r>
      <w:r>
        <w:rPr>
          <w:rFonts w:eastAsia="Times New Roman" w:cs="Times New Roman" w:ascii="Times New Roman" w:hAnsi="Times New Roman"/>
          <w:color w:themeColor="text1" w:val="000000"/>
          <w:sz w:val="24"/>
          <w:szCs w:val="24"/>
          <w:lang w:eastAsia="en-US"/>
        </w:rPr>
        <w:t>Tiekėjai kartu su pasiūlymu turi pateikti Viešųjų pirkimų tarnybos nustatytos formos atitikties deklaraciją</w:t>
      </w:r>
      <w:r>
        <w:rPr>
          <w:rStyle w:val="FootnoteReference"/>
          <w:rFonts w:eastAsia="Times New Roman" w:cs="Times New Roman" w:ascii="Times New Roman" w:hAnsi="Times New Roman"/>
          <w:color w:themeColor="text1" w:val="000000"/>
          <w:sz w:val="24"/>
          <w:szCs w:val="24"/>
          <w:lang w:eastAsia="en-US"/>
        </w:rPr>
        <w:footnoteReference w:id="3"/>
      </w:r>
      <w:r>
        <w:rPr>
          <w:rFonts w:eastAsia="Times New Roman" w:cs="Times New Roman" w:ascii="Times New Roman" w:hAnsi="Times New Roman"/>
          <w:color w:themeColor="text1" w:val="000000"/>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pPr>
        <w:pStyle w:val="Normal"/>
        <w:spacing w:lineRule="auto" w:line="240" w:before="0" w:after="0"/>
        <w:jc w:val="both"/>
        <w:rPr>
          <w:rFonts w:ascii="Times New Roman" w:hAnsi="Times New Roman" w:cs="Times New Roman"/>
          <w:i/>
          <w:i/>
          <w:iCs/>
          <w:color w:val="7030A0"/>
          <w:sz w:val="24"/>
          <w:szCs w:val="24"/>
        </w:rPr>
      </w:pPr>
      <w:r>
        <w:rPr>
          <w:rFonts w:cs="Times New Roman" w:ascii="Times New Roman" w:hAnsi="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cs="Times New Roman" w:ascii="Times New Roman" w:hAnsi="Times New Roman"/>
          <w:i/>
          <w:iCs/>
          <w:color w:val="7030A0"/>
          <w:sz w:val="24"/>
          <w:szCs w:val="24"/>
        </w:rPr>
        <w:t>.</w:t>
      </w:r>
    </w:p>
    <w:p>
      <w:pPr>
        <w:pStyle w:val="Heading1"/>
        <w:spacing w:lineRule="atLeast" w:line="20" w:before="360" w:after="120"/>
        <w:contextualSpacing/>
        <w:rPr>
          <w:rFonts w:ascii="Times New Roman" w:hAnsi="Times New Roman" w:cs="Times New Roman"/>
        </w:rPr>
      </w:pPr>
      <w:bookmarkStart w:id="18" w:name="_Ref39666794"/>
      <w:bookmarkStart w:id="19" w:name="_Ref39666796"/>
      <w:bookmarkStart w:id="20" w:name="_Toc185177406"/>
      <w:r>
        <w:rPr>
          <w:rFonts w:cs="Times New Roman" w:ascii="Times New Roman" w:hAnsi="Times New Roman"/>
        </w:rPr>
        <w:t>6. Specialieji reikalavimai pasiūlymų rengimui ir pateikimui</w:t>
      </w:r>
      <w:bookmarkEnd w:id="18"/>
      <w:bookmarkEnd w:id="19"/>
      <w:bookmarkEnd w:id="20"/>
    </w:p>
    <w:p>
      <w:pPr>
        <w:pStyle w:val="Normal"/>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pasirašytas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ir pasirašytas EBVPD</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 xml:space="preserve"> (specialiųjų pirkimo sąlygų 5</w:t>
      </w:r>
      <w:r>
        <w:rPr>
          <w:rFonts w:cs="Times New Roman" w:ascii="Times New Roman" w:hAnsi="Times New Roman"/>
          <w:color w:val="00B050"/>
          <w:sz w:val="24"/>
          <w:szCs w:val="24"/>
        </w:rPr>
        <w:t xml:space="preserve"> </w:t>
      </w:r>
      <w:r>
        <w:rPr>
          <w:rFonts w:cs="Times New Roman" w:ascii="Times New Roman" w:hAnsi="Times New Roman"/>
          <w:sz w:val="24"/>
          <w:szCs w:val="24"/>
        </w:rPr>
        <w:t>priedas).;</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7"/>
        </w:numPr>
        <w:tabs>
          <w:tab w:val="clear" w:pos="1296"/>
          <w:tab w:val="left" w:pos="1276" w:leader="none"/>
        </w:tabs>
        <w:spacing w:lineRule="auto" w:line="240" w:before="0" w:after="0"/>
        <w:ind w:hanging="1431" w:left="2127"/>
        <w:contextualSpacing/>
        <w:jc w:val="both"/>
        <w:rPr>
          <w:rFonts w:ascii="Times New Roman" w:hAnsi="Times New Roman" w:cs="Times New Roman"/>
          <w:sz w:val="24"/>
          <w:szCs w:val="24"/>
          <w:u w:val="single"/>
        </w:rPr>
      </w:pPr>
      <w:r>
        <w:rPr>
          <w:rFonts w:cs="Times New Roman" w:ascii="Times New Roman" w:hAnsi="Times New Roman"/>
          <w:sz w:val="24"/>
          <w:szCs w:val="24"/>
        </w:rPr>
        <w:t>pasiūlymo galiojimą užtikrinantis dokumentas (jeigu reikalaujama);</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imes New Roman" w:ascii="Times New Roman" w:hAnsi="Times New Roman"/>
          <w:i/>
          <w:iCs/>
          <w:color w:val="FF0000"/>
          <w:sz w:val="24"/>
          <w:szCs w:val="24"/>
        </w:rPr>
        <w:t xml:space="preserve"> </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deklaracijos dėl atitikties nacionalinio saugumo reikalavimams, susijusiems su Reglamento nuostatomis (8 priedas) ir </w:t>
      </w:r>
      <w:r>
        <w:rPr>
          <w:rFonts w:eastAsia="Times New Roman" w:cs="Times New Roman" w:ascii="Times New Roman" w:hAnsi="Times New Roman"/>
          <w:color w:themeColor="text1" w:val="000000"/>
          <w:sz w:val="24"/>
          <w:szCs w:val="24"/>
          <w:lang w:eastAsia="en-US"/>
        </w:rPr>
        <w:t>Viešųjų pirkimų tarnybos nustatytos formos atitikties deklaraciją</w:t>
      </w:r>
      <w:r>
        <w:rPr>
          <w:rFonts w:cs="Times New Roman" w:ascii="Times New Roman" w:hAnsi="Times New Roman"/>
          <w:sz w:val="24"/>
          <w:szCs w:val="24"/>
        </w:rPr>
        <w:t>;</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specialistų sąrašas, kuriame nurodoma: kokiai specialisto pozicijai yra siūlomas specialistas, kokiu pagrindu dirba (bendradarbiauja) kartu su Tiekėju (esama/ numatoma darbo sutartis ar subtiekimo susitarimas) (9 priedas);</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pažyma apie siūlomų  specialistų, kurių kvalifikacija bus vertinama, suteikiant ekonominio naudingumo balus, patirtį (11 priedas). </w:t>
      </w:r>
      <w:r>
        <w:rPr>
          <w:rFonts w:cs="Times New Roman" w:ascii="Times New Roman" w:hAnsi="Times New Roman"/>
          <w:b/>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pPr>
        <w:pStyle w:val="ListParagraph"/>
        <w:numPr>
          <w:ilvl w:val="2"/>
          <w:numId w:val="7"/>
        </w:numPr>
        <w:tabs>
          <w:tab w:val="clear" w:pos="1296"/>
          <w:tab w:val="left" w:pos="156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pPr>
        <w:pStyle w:val="Normal"/>
        <w:spacing w:lineRule="auto" w:line="240" w:before="0" w:after="0"/>
        <w:ind w:firstLine="709"/>
        <w:jc w:val="both"/>
        <w:rPr>
          <w:rFonts w:ascii="Times New Roman" w:hAnsi="Times New Roman" w:cs="Times New Roman"/>
          <w:sz w:val="24"/>
          <w:szCs w:val="24"/>
          <w:u w:val="single"/>
        </w:rPr>
      </w:pPr>
      <w:r>
        <w:rPr>
          <w:rFonts w:eastAsia="Calibri" w:cs="Times New Roman" w:ascii="Times New Roman" w:hAnsi="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spacing w:lineRule="auto" w:line="240" w:before="0" w:after="0"/>
        <w:ind w:firstLine="851"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9"/>
        </w:numPr>
        <w:tabs>
          <w:tab w:val="clear" w:pos="1296"/>
          <w:tab w:val="left" w:pos="1418" w:leader="none"/>
        </w:tabs>
        <w:spacing w:lineRule="auto" w:line="240" w:before="0" w:after="0"/>
        <w:ind w:firstLine="851"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8"/>
        </w:numPr>
        <w:spacing w:lineRule="auto" w:line="240"/>
        <w:ind w:firstLine="709" w:left="0"/>
        <w:jc w:val="both"/>
        <w:rPr>
          <w:rFonts w:ascii="Times New Roman" w:hAnsi="Times New Roman" w:cs="Times New Roman"/>
          <w:sz w:val="24"/>
          <w:szCs w:val="24"/>
        </w:rPr>
      </w:pPr>
      <w:r>
        <w:rPr>
          <w:rFonts w:cs="Times New Roman" w:ascii="Times New Roman" w:hAnsi="Times New Roman"/>
          <w:sz w:val="24"/>
          <w:szCs w:val="24"/>
        </w:rPr>
        <w:t>Pasiūlymas turi būti parengtas lietuvių kalba</w:t>
      </w:r>
      <w:r>
        <w:rPr>
          <w:rFonts w:cs="Times New Roman" w:ascii="Times New Roman" w:hAnsi="Times New Roman"/>
          <w:color w:val="00B050"/>
          <w:sz w:val="24"/>
          <w:szCs w:val="24"/>
        </w:rPr>
        <w:t xml:space="preserve">.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8"/>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pPr>
        <w:pStyle w:val="ListParagraph"/>
        <w:numPr>
          <w:ilvl w:val="1"/>
          <w:numId w:val="8"/>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8"/>
        </w:numPr>
        <w:tabs>
          <w:tab w:val="clear" w:pos="1296"/>
          <w:tab w:val="left" w:pos="709" w:leader="none"/>
        </w:tabs>
        <w:rPr>
          <w:rFonts w:ascii="Times New Roman" w:hAnsi="Times New Roman" w:cs="Times New Roman"/>
        </w:rPr>
      </w:pPr>
      <w:bookmarkStart w:id="21" w:name="_Ref39430768"/>
      <w:bookmarkStart w:id="22" w:name="_Ref39430779"/>
      <w:bookmarkStart w:id="23" w:name="_Toc185177407"/>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Pr>
          <w:rFonts w:cs="Times New Roman" w:ascii="Times New Roman" w:hAnsi="Times New Roman"/>
        </w:rPr>
        <w:t>Pasiūlymo galiojimo užtikrinimas</w:t>
      </w:r>
      <w:bookmarkEnd w:id="21"/>
      <w:bookmarkEnd w:id="22"/>
      <w:bookmarkEnd w:id="23"/>
    </w:p>
    <w:p>
      <w:pPr>
        <w:pStyle w:val="ListParagraph"/>
        <w:spacing w:lineRule="auto" w:line="240" w:before="0" w:after="0"/>
        <w:ind w:firstLine="709" w:left="-142"/>
        <w:contextualSpacing/>
        <w:jc w:val="both"/>
        <w:rPr>
          <w:rFonts w:ascii="Times New Roman" w:hAnsi="Times New Roman" w:cs="Times New Roman"/>
          <w:sz w:val="24"/>
          <w:szCs w:val="24"/>
        </w:rPr>
      </w:pPr>
      <w:r>
        <w:rPr>
          <w:rFonts w:cs="Times New Roman" w:ascii="Times New Roman" w:hAnsi="Times New Roman"/>
        </w:rPr>
        <w:t>7.1</w:t>
      </w:r>
      <w:r>
        <w:rPr>
          <w:rFonts w:cs="Times New Roman" w:ascii="Times New Roman" w:hAnsi="Times New Roman"/>
          <w:sz w:val="24"/>
          <w:szCs w:val="24"/>
        </w:rPr>
        <w:t>. P</w:t>
      </w:r>
      <w:r>
        <w:rPr>
          <w:rFonts w:eastAsia="Calibri" w:cs="Times New Roman" w:ascii="Times New Roman" w:hAnsi="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8"/>
        </w:numPr>
        <w:tabs>
          <w:tab w:val="clear" w:pos="1296"/>
          <w:tab w:val="left" w:pos="709" w:leader="none"/>
        </w:tabs>
        <w:spacing w:lineRule="atLeast" w:line="20" w:before="360" w:after="120"/>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5177408"/>
      <w:r>
        <w:rPr>
          <w:rFonts w:cs="Times New Roman" w:ascii="Times New Roman" w:hAnsi="Times New Roman"/>
        </w:rPr>
        <w:t>Elektroninis aukcionas</w:t>
      </w:r>
      <w:bookmarkEnd w:id="29"/>
      <w:bookmarkEnd w:id="30"/>
      <w:bookmarkEnd w:id="31"/>
      <w:bookmarkEnd w:id="32"/>
      <w:bookmarkEnd w:id="33"/>
    </w:p>
    <w:p>
      <w:pPr>
        <w:pStyle w:val="Normal"/>
        <w:spacing w:lineRule="auto" w:line="240" w:before="0" w:after="0"/>
        <w:ind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8"/>
        </w:numPr>
        <w:tabs>
          <w:tab w:val="clear" w:pos="1296"/>
          <w:tab w:val="left" w:pos="709" w:leader="none"/>
        </w:tabs>
        <w:spacing w:lineRule="atLeast" w:line="20" w:before="360" w:after="120"/>
        <w:contextualSpacing/>
        <w:rPr>
          <w:rFonts w:ascii="Times New Roman" w:hAnsi="Times New Roman" w:cs="Times New Roman"/>
        </w:rPr>
      </w:pPr>
      <w:bookmarkStart w:id="34" w:name="_Ref39667303"/>
      <w:bookmarkStart w:id="35" w:name="_Ref39667308"/>
      <w:bookmarkStart w:id="36" w:name="_Toc185177409"/>
      <w:bookmarkStart w:id="37" w:name="_Ref39485250"/>
      <w:bookmarkStart w:id="38" w:name="_Ref39485258"/>
      <w:r>
        <w:rPr>
          <w:rFonts w:cs="Times New Roman" w:ascii="Times New Roman" w:hAnsi="Times New Roman"/>
        </w:rPr>
        <w:t>Pasiūlymų vertinimas</w:t>
      </w:r>
      <w:bookmarkEnd w:id="34"/>
      <w:bookmarkEnd w:id="35"/>
      <w:bookmarkEnd w:id="36"/>
      <w:bookmarkEnd w:id="37"/>
      <w:bookmarkEnd w:id="38"/>
    </w:p>
    <w:p>
      <w:pPr>
        <w:pStyle w:val="Normal"/>
        <w:spacing w:lineRule="auto" w:line="240" w:before="0" w:after="0"/>
        <w:ind w:firstLine="710"/>
        <w:jc w:val="both"/>
        <w:rPr>
          <w:rFonts w:ascii="Times New Roman" w:hAnsi="Times New Roman" w:eastAsia="Calibri" w:cs="Times New Roman"/>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 </w:t>
      </w:r>
    </w:p>
    <w:p>
      <w:pPr>
        <w:pStyle w:val="ListParagraph"/>
        <w:spacing w:lineRule="atLeast" w:line="20" w:before="0" w:after="0"/>
        <w:ind w:firstLine="567" w:left="0"/>
        <w:contextualSpacing/>
        <w:jc w:val="both"/>
        <w:rPr>
          <w:rFonts w:ascii="Times New Roman" w:hAnsi="Times New Roman" w:eastAsia="Calibri" w:cs="Times New Roman" w:eastAsiaTheme="minorHAnsi"/>
          <w:bCs/>
          <w:iCs/>
          <w:sz w:val="24"/>
          <w:szCs w:val="24"/>
        </w:rPr>
      </w:pPr>
      <w:r>
        <w:rPr>
          <w:rFonts w:cs="Times New Roman" w:ascii="Times New Roman" w:hAnsi="Times New Roman"/>
          <w:color w:themeColor="text1" w:val="000000"/>
          <w:sz w:val="24"/>
          <w:szCs w:val="24"/>
        </w:rPr>
        <w:t xml:space="preserve">9.2. Laimėjusiu pasiūlymu galės būti pripažintas tik 1 (vienas) ekonomiškai naudingiausias pasiūlymas, esantis pasiūlymų eilės pirmojoje vietoje. </w:t>
      </w:r>
    </w:p>
    <w:p>
      <w:pPr>
        <w:pStyle w:val="NoSpacing"/>
        <w:numPr>
          <w:ilvl w:val="1"/>
          <w:numId w:val="12"/>
        </w:numPr>
        <w:spacing w:lineRule="atLeast" w:line="20" w:before="0" w:after="0"/>
        <w:ind w:firstLine="709" w:left="0"/>
        <w:contextualSpacing/>
        <w:jc w:val="both"/>
        <w:rPr>
          <w:rFonts w:ascii="Times New Roman" w:hAnsi="Times New Roman" w:eastAsia="Calibri" w:cs="Times New Roman" w:eastAsiaTheme="minorHAnsi"/>
          <w:bCs/>
          <w:i/>
          <w:i/>
          <w:iCs/>
          <w:color w:val="7030A0"/>
          <w:sz w:val="24"/>
          <w:szCs w:val="24"/>
        </w:rPr>
      </w:pPr>
      <w:r>
        <w:rPr>
          <w:rStyle w:val="Cf01"/>
          <w:rFonts w:cs="Times New Roman" w:ascii="Times New Roman" w:hAnsi="Times New Roman"/>
          <w:sz w:val="24"/>
          <w:szCs w:val="24"/>
        </w:rPr>
        <w:t>Perkančioji organizacija atmes tiekėjo pasiūlymą, jeigu kartu su pasiūlymu nebus pateikti šie pirkimo sąlygose reikalaujami pateikti dokumentai: pasiūlymo forma (6 priedas).</w:t>
      </w:r>
    </w:p>
    <w:p>
      <w:pPr>
        <w:pStyle w:val="Heading1"/>
        <w:numPr>
          <w:ilvl w:val="0"/>
          <w:numId w:val="12"/>
        </w:numPr>
        <w:tabs>
          <w:tab w:val="clear" w:pos="1296"/>
          <w:tab w:val="left" w:pos="567" w:leader="none"/>
        </w:tabs>
        <w:spacing w:lineRule="atLeast" w:line="20" w:before="360" w:after="120"/>
        <w:contextualSpacing/>
        <w:rPr>
          <w:rFonts w:ascii="Times New Roman" w:hAnsi="Times New Roman" w:cs="Times New Roman"/>
        </w:rPr>
      </w:pPr>
      <w:bookmarkStart w:id="39" w:name="_Ref39425999"/>
      <w:bookmarkStart w:id="40" w:name="_Ref39426005"/>
      <w:bookmarkStart w:id="41" w:name="_Toc185177410"/>
      <w:r>
        <w:rPr>
          <w:rFonts w:cs="Times New Roman" w:ascii="Times New Roman" w:hAnsi="Times New Roman"/>
        </w:rPr>
        <w:t>Sutarties sudarymas</w:t>
      </w:r>
      <w:bookmarkEnd w:id="39"/>
      <w:bookmarkEnd w:id="40"/>
      <w:bookmarkEnd w:id="41"/>
    </w:p>
    <w:p>
      <w:pPr>
        <w:pStyle w:val="ListParagraph"/>
        <w:spacing w:lineRule="auto" w:line="240" w:before="0" w:after="0"/>
        <w:ind w:firstLine="567"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10.1. 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themeColor="text1" w:val="000000"/>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Sutarties sąlygos pateikiamos 9 Pirkimo sąlygų priede „Sutarties projektas“.</w:t>
      </w:r>
    </w:p>
    <w:p>
      <w:pPr>
        <w:pStyle w:val="Heading1"/>
        <w:numPr>
          <w:ilvl w:val="0"/>
          <w:numId w:val="10"/>
        </w:numPr>
        <w:tabs>
          <w:tab w:val="clear" w:pos="1296"/>
          <w:tab w:val="left" w:pos="567" w:leader="none"/>
        </w:tabs>
        <w:spacing w:lineRule="atLeast" w:line="20" w:before="360" w:after="120"/>
        <w:contextualSpacing/>
        <w:jc w:val="both"/>
        <w:rPr>
          <w:rFonts w:ascii="Times New Roman" w:hAnsi="Times New Roman" w:cs="Times New Roman"/>
          <w:b/>
          <w:bCs/>
        </w:rPr>
      </w:pPr>
      <w:bookmarkStart w:id="42" w:name="_Toc185177411"/>
      <w:bookmarkStart w:id="43" w:name="_Toc147739116_Copy_1"/>
      <w:bookmarkEnd w:id="43"/>
      <w:r>
        <w:rPr>
          <w:rFonts w:cs="Times New Roman" w:ascii="Times New Roman" w:hAnsi="Times New Roman"/>
        </w:rPr>
        <w:t>Kitos sąlygos</w:t>
      </w:r>
      <w:bookmarkEnd w:id="42"/>
    </w:p>
    <w:p>
      <w:pPr>
        <w:pStyle w:val="Normal"/>
        <w:shd w:val="clear" w:color="auto" w:fill="FFFFFF"/>
        <w:spacing w:lineRule="auto" w:line="240" w:before="0" w:after="0"/>
        <w:jc w:val="both"/>
        <w:rPr>
          <w:rFonts w:ascii="Times New Roman" w:hAnsi="Times New Roman" w:eastAsia="Times New Roman" w:cs="Times New Roman"/>
          <w:i/>
          <w:i/>
          <w:iCs/>
        </w:rPr>
      </w:pPr>
      <w:r>
        <w:rPr>
          <w:rFonts w:eastAsia="Times New Roman" w:cs="Times New Roman" w:ascii="Times New Roman" w:hAnsi="Times New Roman"/>
          <w:i/>
          <w:iCs/>
        </w:rPr>
        <w:t>netaikomos</w:t>
      </w:r>
    </w:p>
    <w:p>
      <w:pPr>
        <w:sectPr>
          <w:headerReference w:type="default" r:id="rId3"/>
          <w:footerReference w:type="default" r:id="rId4"/>
          <w:footerReference w:type="first" r:id="rId5"/>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5938"/>
        </w:sect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t>__________</w:t>
      </w:r>
    </w:p>
    <w:p>
      <w:pPr>
        <w:pStyle w:val="Heading1"/>
        <w:jc w:val="right"/>
        <w:rPr>
          <w:rFonts w:ascii="Times New Roman" w:hAnsi="Times New Roman" w:cs="Times New Roman"/>
          <w:sz w:val="21"/>
          <w:szCs w:val="21"/>
        </w:rPr>
      </w:pPr>
      <w:bookmarkStart w:id="44" w:name="_Toc185177412"/>
      <w:r>
        <w:rPr>
          <w:rFonts w:cs="Times New Roman" w:ascii="Times New Roman" w:hAnsi="Times New Roman"/>
          <w:color w:val="0070C0"/>
          <w:sz w:val="21"/>
          <w:szCs w:val="21"/>
        </w:rPr>
        <w:t>Pirkimo sąlygų 1 priedas „Terminai“</w:t>
      </w:r>
      <w:bookmarkEnd w:id="44"/>
    </w:p>
    <w:p>
      <w:pPr>
        <w:pStyle w:val="Normal"/>
        <w:shd w:val="clear" w:color="auto" w:fill="FFFFFF"/>
        <w:spacing w:lineRule="auto" w:line="240" w:before="0" w:after="0"/>
        <w:jc w:val="right"/>
        <w:rPr>
          <w:rFonts w:ascii="Times New Roman" w:hAnsi="Times New Roman" w:eastAsia="Calibri" w:cs="Times New Roman"/>
          <w:color w:val="0070C0"/>
        </w:rPr>
      </w:pPr>
      <w:r>
        <w:rPr>
          <w:rFonts w:eastAsia="Calibri" w:cs="Times New Roman" w:ascii="Times New Roman" w:hAnsi="Times New Roman"/>
          <w:color w:val="0070C0"/>
        </w:rPr>
      </w:r>
    </w:p>
    <w:tbl>
      <w:tblPr>
        <w:tblW w:w="985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09"/>
        <w:gridCol w:w="2495"/>
        <w:gridCol w:w="3145"/>
        <w:gridCol w:w="3304"/>
      </w:tblGrid>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sz w:val="24"/>
                <w:szCs w:val="24"/>
              </w:rPr>
            </w:pPr>
            <w:r>
              <w:rPr>
                <w:rFonts w:cs="Times New Roman" w:ascii="Times New Roman" w:hAnsi="Times New Roman"/>
                <w:b/>
                <w:sz w:val="24"/>
                <w:szCs w:val="24"/>
              </w:rPr>
              <w:t>PASTABOS</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nurodytas skelbime</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Pradedamas ne anksčiau nei </w:t>
            </w:r>
            <w:r>
              <w:rPr>
                <w:rFonts w:cs="Times New Roman" w:ascii="Times New Roman" w:hAnsi="Times New Roman"/>
                <w:color w:themeColor="text1" w:val="000000"/>
                <w:sz w:val="24"/>
                <w:szCs w:val="24"/>
              </w:rPr>
              <w:t>po 30 (trisdešimt) minučių</w:t>
            </w:r>
            <w:r>
              <w:rPr>
                <w:rFonts w:cs="Times New Roman" w:ascii="Times New Roman" w:hAnsi="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 (dešimt)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color w:val="7030A0"/>
                <w:sz w:val="24"/>
                <w:szCs w:val="24"/>
              </w:rPr>
            </w:pPr>
            <w:r>
              <w:rPr>
                <w:rFonts w:cs="Times New Roman" w:ascii="Times New Roman" w:hAnsi="Times New Roman"/>
                <w:iCs/>
                <w:color w:val="7030A0"/>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(šešios)dienų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90 (devyniasdešimt)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themeColor="text1" w:val="000000"/>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netaikoma</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firstLine="386" w:left="-386"/>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val="000000"/>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10 (dešimt) dienų,</w:t>
            </w:r>
            <w:r>
              <w:rPr>
                <w:rFonts w:cs="Times New Roman" w:ascii="Times New Roman" w:hAnsi="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pPr>
              <w:pStyle w:val="Normal"/>
              <w:spacing w:lineRule="auto" w:line="240" w:before="0" w:after="0"/>
              <w:jc w:val="both"/>
              <w:rPr>
                <w:rFonts w:ascii="Times New Roman" w:hAnsi="Times New Roman" w:cs="Times New Roman"/>
                <w:i/>
                <w:i/>
                <w:iCs/>
                <w:color w:val="FF0000"/>
                <w:sz w:val="24"/>
                <w:szCs w:val="24"/>
              </w:rPr>
            </w:pPr>
            <w:r>
              <w:rPr>
                <w:rFonts w:cs="Times New Roman" w:ascii="Times New Roman" w:hAnsi="Times New Roman"/>
                <w:i/>
                <w:iCs/>
                <w:color w:val="FF0000"/>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0"/>
          <w:szCs w:val="20"/>
        </w:rPr>
      </w:pPr>
      <w:r>
        <w:rPr>
          <w:rFonts w:eastAsia="Calibri" w:cs="Times New Roman" w:ascii="Times New Roman" w:hAnsi="Times New Roman"/>
          <w:sz w:val="20"/>
          <w:szCs w:val="20"/>
        </w:rPr>
      </w:r>
      <w:r>
        <w:br w:type="page"/>
      </w:r>
    </w:p>
    <w:p>
      <w:pPr>
        <w:pStyle w:val="Heading2"/>
        <w:spacing w:before="0" w:after="0"/>
        <w:ind w:left="5103"/>
        <w:rPr>
          <w:rFonts w:ascii="Times New Roman" w:hAnsi="Times New Roman" w:eastAsia="Calibri" w:cs="Times New Roman"/>
          <w:color w:val="0070C0"/>
          <w:sz w:val="21"/>
          <w:szCs w:val="21"/>
        </w:rPr>
      </w:pPr>
      <w:bookmarkStart w:id="45" w:name="_Ref38539939"/>
      <w:bookmarkStart w:id="46" w:name="_Ref38541068"/>
      <w:bookmarkStart w:id="47" w:name="_Ref38885053"/>
      <w:bookmarkStart w:id="48" w:name="_Ref38899023"/>
      <w:bookmarkStart w:id="49" w:name="_Toc185177413"/>
      <w:r>
        <w:rPr>
          <w:rFonts w:eastAsia="Calibri" w:cs="Times New Roman" w:ascii="Times New Roman" w:hAnsi="Times New Roman"/>
          <w:color w:val="0070C0"/>
          <w:sz w:val="21"/>
          <w:szCs w:val="21"/>
        </w:rPr>
        <w:t>Pirkimo sąlygų 2 priedas „Techninė specifikacija“</w:t>
      </w:r>
      <w:bookmarkEnd w:id="45"/>
      <w:bookmarkEnd w:id="46"/>
      <w:bookmarkEnd w:id="47"/>
      <w:bookmarkEnd w:id="48"/>
      <w:bookmarkEnd w:id="49"/>
    </w:p>
    <w:p>
      <w:pPr>
        <w:pStyle w:val="Normal"/>
        <w:jc w:val="center"/>
        <w:rPr>
          <w:rFonts w:ascii="Times New Roman" w:hAnsi="Times New Roman" w:cs="Times New Roman"/>
          <w:b/>
          <w:bCs/>
        </w:rPr>
      </w:pPr>
      <w:r>
        <w:rPr>
          <w:rFonts w:cs="Times New Roman" w:ascii="Times New Roman" w:hAnsi="Times New Roman"/>
          <w:b/>
          <w:bCs/>
        </w:rPr>
      </w:r>
    </w:p>
    <w:p>
      <w:pPr>
        <w:pStyle w:val="Subtitle"/>
        <w:jc w:val="center"/>
        <w:rPr>
          <w:rFonts w:ascii="Times New Roman" w:hAnsi="Times New Roman" w:cs="Times New Roman"/>
        </w:rPr>
      </w:pPr>
      <w:r>
        <w:rPr>
          <w:rFonts w:cs="Times New Roman" w:ascii="Times New Roman" w:hAnsi="Times New Roman"/>
        </w:rPr>
        <w:t>TECHNINĖ SPECIFIKACIJA</w:t>
      </w:r>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t>Pateikiama atskiram priede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eastAsia="Calibri" w:cs="Times New Roman"/>
          <w:color w:val="0070C0"/>
          <w:sz w:val="21"/>
          <w:szCs w:val="21"/>
        </w:rPr>
      </w:pPr>
      <w:bookmarkStart w:id="50" w:name="_Ref38285444"/>
      <w:bookmarkStart w:id="51" w:name="_Ref38291496"/>
      <w:bookmarkStart w:id="52" w:name="_Toc185177414"/>
      <w:r>
        <w:rPr>
          <w:rFonts w:eastAsia="Calibri" w:cs="Times New Roman" w:ascii="Times New Roman" w:hAnsi="Times New Roman"/>
          <w:color w:val="0070C0"/>
          <w:sz w:val="21"/>
          <w:szCs w:val="21"/>
        </w:rPr>
        <w:t>Pirkimo sąlygų 3 priedas „Tiekėjų pašalinimo pagrindai“</w:t>
      </w:r>
      <w:bookmarkEnd w:id="50"/>
      <w:bookmarkEnd w:id="51"/>
      <w:bookmarkEnd w:id="52"/>
    </w:p>
    <w:p>
      <w:pPr>
        <w:pStyle w:val="Normal"/>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TIEKĖJŲ PAŠALINIMO PAGRINDAI</w:t>
      </w:r>
    </w:p>
    <w:p>
      <w:pPr>
        <w:pStyle w:val="Normal"/>
        <w:jc w:val="both"/>
        <w:rPr>
          <w:rFonts w:ascii="Times New Roman" w:hAnsi="Times New Roman" w:cs="Times New Roman"/>
          <w:color w:val="7030A0"/>
          <w:sz w:val="24"/>
          <w:szCs w:val="24"/>
        </w:rPr>
      </w:pPr>
      <w:r>
        <w:rPr>
          <w:rFonts w:cs="Times New Roman" w:ascii="Times New Roman" w:hAnsi="Times New Roman"/>
          <w:color w:val="7030A0"/>
          <w:sz w:val="24"/>
          <w:szCs w:val="24"/>
        </w:rPr>
      </w:r>
    </w:p>
    <w:p>
      <w:pPr>
        <w:pStyle w:val="NoSpacing"/>
        <w:numPr>
          <w:ilvl w:val="0"/>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7"/>
        </w:numPr>
        <w:ind w:firstLine="851" w:left="0"/>
        <w:jc w:val="both"/>
        <w:rPr>
          <w:rFonts w:ascii="Times New Roman" w:hAnsi="Times New Roman" w:eastAsia="Verdana" w:cs="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7"/>
        </w:numPr>
        <w:ind w:firstLine="851" w:left="0"/>
        <w:jc w:val="both"/>
        <w:rPr>
          <w:rFonts w:ascii="Times New Roman" w:hAnsi="Times New Roman" w:eastAsia="Verdana" w:cs="Times New Roman"/>
          <w:color w:themeColor="text1" w:val="000000"/>
          <w:sz w:val="24"/>
          <w:szCs w:val="24"/>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7"/>
        </w:numPr>
        <w:ind w:firstLine="851"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7"/>
        </w:numPr>
        <w:ind w:hanging="0"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4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702"/>
        <w:gridCol w:w="3265"/>
        <w:gridCol w:w="1703"/>
        <w:gridCol w:w="4963"/>
        <w:gridCol w:w="13"/>
      </w:tblGrid>
      <w:tr>
        <w:trPr/>
        <w:tc>
          <w:tcPr>
            <w:tcW w:w="702"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straipsnis,  dalis, punktas bei EBVPD formos dalis pildymui</w:t>
            </w:r>
          </w:p>
        </w:tc>
        <w:tc>
          <w:tcPr>
            <w:tcW w:w="49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b/>
                <w:bCs/>
                <w:sz w:val="24"/>
                <w:szCs w:val="24"/>
                <w:lang w:eastAsia="en-US"/>
              </w:rPr>
              <w:t>Privalomi pašalinimo pagrindai pagal VPĮ 46 straipsnio 1 – 4 dalių nuostatas</w:t>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color w:val="7030A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14"/>
              </w:numPr>
              <w:jc w:val="both"/>
              <w:rPr>
                <w:rFonts w:ascii="Times New Roman" w:hAnsi="Times New Roman" w:cs="Times New Roman"/>
                <w:sz w:val="24"/>
                <w:szCs w:val="24"/>
              </w:rPr>
            </w:pPr>
            <w:r>
              <w:rPr>
                <w:rFonts w:cs="Times New Roman" w:ascii="Times New Roman" w:hAnsi="Times New Roman"/>
                <w:sz w:val="24"/>
                <w:szCs w:val="24"/>
              </w:rPr>
              <w:t>išrašo iš teismo sprendimo (jei toks yra)</w:t>
            </w:r>
          </w:p>
          <w:p>
            <w:pPr>
              <w:pStyle w:val="NoSpacing"/>
              <w:numPr>
                <w:ilvl w:val="0"/>
                <w:numId w:val="14"/>
              </w:numPr>
              <w:jc w:val="both"/>
              <w:rPr>
                <w:rFonts w:ascii="Times New Roman" w:hAnsi="Times New Roman" w:cs="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13"/>
              </w:numPr>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6"/>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cs="Times New Roman"/>
                <w:i/>
                <w:i/>
                <w:iCs/>
                <w:color w:themeColor="text1" w:val="00000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7"/>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i/>
                <w:i/>
                <w:iCs/>
                <w:color w:val="7030A0"/>
                <w:sz w:val="24"/>
                <w:szCs w:val="24"/>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bookmarkStart w:id="53" w:name="_Hlk90887843"/>
            <w:bookmarkStart w:id="54" w:name="_Hlk90887843"/>
            <w:bookmarkEnd w:id="54"/>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sz w:val="24"/>
                <w:szCs w:val="24"/>
              </w:rPr>
            </w:pPr>
            <w:hyperlink r:id="rId8">
              <w:r>
                <w:rPr>
                  <w:rStyle w:val="Hyperlink"/>
                  <w:rFonts w:cs="Times New Roman" w:ascii="Times New Roman" w:hAnsi="Times New Roman"/>
                  <w:sz w:val="24"/>
                  <w:szCs w:val="24"/>
                </w:rPr>
                <w:t>https://vpt.lrv.lt/lt/nuorodos/kiti-duomenys/powerbi/melaginga-informacija-pateikusiu-tiekeju-sarasas-3/</w:t>
              </w:r>
            </w:hyperlink>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0">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5" w:name="part_030e6c6c64ba4f96a23474e439d1b80c"/>
            <w:bookmarkEnd w:id="55"/>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1">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2">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3">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2"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bCs/>
                <w:iCs/>
                <w:sz w:val="24"/>
                <w:szCs w:val="24"/>
                <w:lang w:eastAsia="en-US"/>
              </w:rPr>
            </w:pPr>
            <w:hyperlink r:id="rId14">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13" w:type="dxa"/>
            <w:tcBorders/>
            <w:tcMar>
              <w:left w:w="10" w:type="dxa"/>
              <w:right w:w="10" w:type="dxa"/>
            </w:tcMar>
          </w:tcPr>
          <w:p>
            <w:pPr>
              <w:pStyle w:val="Normal"/>
              <w:widowControl/>
              <w:bidi w:val="0"/>
              <w:spacing w:lineRule="auto" w:line="276" w:before="0" w:after="160"/>
              <w:jc w:val="left"/>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eastAsia="Calibri" w:cs="Times New Roman"/>
          <w:color w:val="0070C0"/>
          <w:sz w:val="21"/>
          <w:szCs w:val="21"/>
        </w:rPr>
      </w:pPr>
      <w:bookmarkStart w:id="56" w:name="_Toc185177415"/>
      <w:r>
        <w:rPr>
          <w:rFonts w:eastAsia="Calibri" w:cs="Times New Roman" w:ascii="Times New Roman" w:hAnsi="Times New Roman"/>
          <w:color w:val="0070C0"/>
          <w:sz w:val="21"/>
          <w:szCs w:val="21"/>
        </w:rPr>
        <w:t>Pirkimo sąlygų 4 priedas „Tiekėjų kvalifikacijos reikalavimai ir reikalaujami kokybės bei aplinkos apsaugos vadybos sistemų standartai“</w:t>
      </w:r>
      <w:bookmarkEnd w:id="56"/>
    </w:p>
    <w:p>
      <w:pPr>
        <w:pStyle w:val="Normal"/>
        <w:rPr/>
      </w:pPr>
      <w: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Subtitle"/>
        <w:spacing w:lineRule="auto" w:line="240"/>
        <w:jc w:val="center"/>
        <w:rPr>
          <w:rFonts w:ascii="Times New Roman" w:hAnsi="Times New Roman" w:cs="Times New Roman"/>
          <w:lang w:eastAsia="en-US"/>
        </w:rPr>
      </w:pPr>
      <w:r>
        <w:rPr>
          <w:rFonts w:cs="Times New Roman" w:ascii="Times New Roman" w:hAnsi="Times New Roman"/>
          <w:smallCaps/>
        </w:rPr>
        <w:t xml:space="preserve">TIEKĖJŲ KVALIFIKACIJOS REIKALAVIMAI IR REIKALAVIMAI LAIKYTIS </w:t>
      </w:r>
      <w:r>
        <w:rPr>
          <w:rFonts w:cs="Times New Roman" w:ascii="Times New Roman" w:hAnsi="Times New Roman"/>
          <w:lang w:eastAsia="en-US"/>
        </w:rPr>
        <w:t>KOKYBĖS VADYBOS SISTEMOS IR (ARBA) APLINKOS APSAUGOS VADYBOS SISTEMOS STANDARTŲ</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cs="Times New Roman"/>
          <w:iCs/>
          <w:sz w:val="24"/>
          <w:szCs w:val="24"/>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8"/>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1296"/>
          <w:tab w:val="left" w:pos="709" w:leader="none"/>
          <w:tab w:val="left" w:pos="851" w:leader="none"/>
        </w:tabs>
        <w:spacing w:lineRule="auto" w:line="240" w:before="0" w:after="0"/>
        <w:contextualSpacing/>
        <w:jc w:val="both"/>
        <w:rPr>
          <w:rFonts w:ascii="Times New Roman" w:hAnsi="Times New Roman" w:cs="Times New Roman"/>
          <w:b/>
          <w:i/>
          <w:i/>
          <w:iCs/>
          <w:sz w:val="24"/>
          <w:szCs w:val="24"/>
        </w:rPr>
      </w:pPr>
      <w:r>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825"/>
        <w:gridCol w:w="5389"/>
      </w:tblGrid>
      <w:tr>
        <w:trPr>
          <w:tblHeader w:val="true"/>
          <w:cantSplit w:val="true"/>
        </w:trPr>
        <w:tc>
          <w:tcPr>
            <w:tcW w:w="704" w:type="dxa"/>
            <w:tcBorders/>
            <w:shd w:color="auto" w:fill="DEEAF6" w:themeFill="accent5" w:themeFillTint="33" w:val="clear"/>
            <w:vAlign w:val="center"/>
          </w:tcPr>
          <w:p>
            <w:pPr>
              <w:pStyle w:val="Normal"/>
              <w:widowControl/>
              <w:suppressAutoHyphens w:val="true"/>
              <w:spacing w:lineRule="auto" w:line="240" w:before="0" w:after="0"/>
              <w:jc w:val="center"/>
              <w:rPr>
                <w:rFonts w:eastAsia="Calibri" w:eastAsiaTheme="minorHAnsi"/>
                <w:b/>
                <w:bCs/>
                <w:sz w:val="24"/>
                <w:szCs w:val="24"/>
              </w:rPr>
            </w:pPr>
            <w:r>
              <w:rPr>
                <w:rFonts w:eastAsia="Calibri" w:cs="Times New Roman" w:ascii="Times New Roman" w:hAnsi="Times New Roman" w:eastAsiaTheme="minorHAnsi"/>
                <w:b/>
                <w:bCs/>
                <w:sz w:val="24"/>
                <w:szCs w:val="24"/>
                <w:lang w:bidi="ar-SA"/>
              </w:rPr>
              <w:t>Eil.</w:t>
            </w:r>
          </w:p>
          <w:p>
            <w:pPr>
              <w:pStyle w:val="Normal"/>
              <w:widowControl/>
              <w:suppressAutoHyphens w:val="true"/>
              <w:spacing w:lineRule="auto" w:line="240" w:before="0" w:after="0"/>
              <w:jc w:val="center"/>
              <w:rPr>
                <w:b/>
                <w:bCs/>
                <w:sz w:val="24"/>
                <w:szCs w:val="24"/>
              </w:rPr>
            </w:pPr>
            <w:r>
              <w:rPr>
                <w:rFonts w:eastAsia="Calibri" w:cs="Times New Roman" w:ascii="Times New Roman" w:hAnsi="Times New Roman" w:eastAsiaTheme="minorHAnsi"/>
                <w:b/>
                <w:bCs/>
                <w:sz w:val="24"/>
                <w:szCs w:val="24"/>
                <w:lang w:bidi="ar-SA"/>
              </w:rPr>
              <w:t>Nr.</w:t>
            </w:r>
          </w:p>
        </w:tc>
        <w:tc>
          <w:tcPr>
            <w:tcW w:w="3825" w:type="dxa"/>
            <w:tcBorders/>
            <w:shd w:color="auto" w:fill="DEEAF6" w:themeFill="accent5" w:themeFillTint="33" w:val="clear"/>
            <w:vAlign w:val="center"/>
          </w:tcPr>
          <w:p>
            <w:pPr>
              <w:pStyle w:val="Normal"/>
              <w:widowControl/>
              <w:suppressAutoHyphens w:val="true"/>
              <w:spacing w:lineRule="auto" w:line="240" w:before="0" w:after="0"/>
              <w:jc w:val="center"/>
              <w:rPr>
                <w:rFonts w:eastAsia="Calibri" w:eastAsiaTheme="minorHAnsi"/>
                <w:b/>
                <w:bCs/>
                <w:sz w:val="24"/>
                <w:szCs w:val="24"/>
              </w:rPr>
            </w:pPr>
            <w:r>
              <w:rPr>
                <w:rFonts w:cs="Times New Roman" w:ascii="Times New Roman" w:hAnsi="Times New Roman"/>
                <w:b/>
                <w:bCs/>
                <w:sz w:val="24"/>
                <w:szCs w:val="24"/>
                <w:lang w:bidi="ar-SA"/>
              </w:rPr>
              <w:t>Kvalifikacijos reikalavimas</w:t>
            </w:r>
            <w:r>
              <w:rPr>
                <w:rStyle w:val="FootnoteReference"/>
                <w:rFonts w:cs="Times New Roman" w:ascii="Times New Roman" w:hAnsi="Times New Roman"/>
                <w:b/>
                <w:bCs/>
                <w:sz w:val="24"/>
                <w:szCs w:val="24"/>
                <w:lang w:bidi="ar-SA"/>
              </w:rPr>
              <w:footnoteReference w:id="9"/>
            </w:r>
          </w:p>
        </w:tc>
        <w:tc>
          <w:tcPr>
            <w:tcW w:w="5389" w:type="dxa"/>
            <w:tcBorders/>
            <w:shd w:color="auto" w:fill="DEEAF6" w:themeFill="accent5" w:themeFillTint="33" w:val="clear"/>
            <w:vAlign w:val="center"/>
          </w:tcPr>
          <w:p>
            <w:pPr>
              <w:pStyle w:val="Normal"/>
              <w:widowControl/>
              <w:suppressAutoHyphens w:val="true"/>
              <w:spacing w:lineRule="auto" w:line="240" w:before="0" w:after="0"/>
              <w:jc w:val="center"/>
              <w:rPr>
                <w:b/>
                <w:bCs/>
                <w:sz w:val="24"/>
                <w:szCs w:val="24"/>
              </w:rPr>
            </w:pPr>
            <w:r>
              <w:rPr>
                <w:rFonts w:cs="Times New Roman" w:ascii="Times New Roman" w:hAnsi="Times New Roman"/>
                <w:b/>
                <w:bCs/>
                <w:sz w:val="24"/>
                <w:szCs w:val="24"/>
                <w:lang w:bidi="ar-SA"/>
              </w:rPr>
              <w:t>Atitiktį reikalavimui įrodantys dokumentai</w:t>
            </w:r>
          </w:p>
        </w:tc>
      </w:tr>
      <w:tr>
        <w:trPr/>
        <w:tc>
          <w:tcPr>
            <w:tcW w:w="704" w:type="dxa"/>
            <w:tcBorders/>
          </w:tcPr>
          <w:p>
            <w:pPr>
              <w:pStyle w:val="Normal"/>
              <w:widowControl/>
              <w:tabs>
                <w:tab w:val="clear" w:pos="1296"/>
                <w:tab w:val="left" w:pos="195" w:leader="none"/>
              </w:tabs>
              <w:suppressAutoHyphens w:val="true"/>
              <w:spacing w:lineRule="auto" w:line="240" w:before="0" w:after="0"/>
              <w:ind w:right="6977"/>
              <w:jc w:val="both"/>
              <w:rPr>
                <w:sz w:val="24"/>
                <w:szCs w:val="24"/>
              </w:rPr>
            </w:pPr>
            <w:r>
              <w:rPr>
                <w:rFonts w:cs="Times New Roman" w:ascii="Times New Roman" w:hAnsi="Times New Roman"/>
                <w:sz w:val="24"/>
                <w:szCs w:val="24"/>
                <w:lang w:bidi="ar-SA"/>
              </w:rPr>
              <w:t>2</w:t>
            </w:r>
          </w:p>
        </w:tc>
        <w:tc>
          <w:tcPr>
            <w:tcW w:w="3825" w:type="dxa"/>
            <w:tcBorders/>
          </w:tcPr>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Tiekėjas turi turėti specialistus paslaugoms suteikti. Vienam asmeniui nėra ribojamas skirtingų specialistų pozicijų, kurioms jis siūlomas, skaičius.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Tiekėjas turi pasiūlyti tokį specialistų skaičių, kad galėtų laiku ir kokybiškai suteikti paslaugas pagal techninėje specifikacijoje nurodytas sąlygas.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Perkančioji organizacija bet kuriuo metu iki sutarties pasirašymo turi teisę paprašyti tiekėjo pateikti jo galimybę suteikti perkamas paslaugas įrodančius dokumentus.</w:t>
            </w:r>
          </w:p>
          <w:p>
            <w:pPr>
              <w:pStyle w:val="Normal"/>
              <w:widowControl/>
              <w:suppressAutoHyphens w:val="true"/>
              <w:spacing w:lineRule="auto" w:line="240" w:before="0" w:after="0"/>
              <w:ind w:right="45"/>
              <w:jc w:val="both"/>
              <w:rPr>
                <w:sz w:val="24"/>
                <w:szCs w:val="24"/>
              </w:rPr>
            </w:pPr>
            <w:r>
              <w:rPr>
                <w:sz w:val="24"/>
                <w:szCs w:val="24"/>
              </w:rPr>
            </w:r>
          </w:p>
        </w:tc>
        <w:tc>
          <w:tcPr>
            <w:tcW w:w="5389" w:type="dxa"/>
            <w:tcBorders/>
          </w:tcPr>
          <w:p>
            <w:pPr>
              <w:pStyle w:val="Normal"/>
              <w:widowControl/>
              <w:suppressAutoHyphens w:val="true"/>
              <w:spacing w:lineRule="auto" w:line="240" w:before="0" w:after="0"/>
              <w:ind w:right="45"/>
              <w:jc w:val="both"/>
              <w:rPr>
                <w:iCs/>
                <w:sz w:val="24"/>
                <w:szCs w:val="24"/>
              </w:rPr>
            </w:pPr>
            <w:r>
              <w:rPr>
                <w:rFonts w:cs="Times New Roman" w:ascii="Times New Roman" w:hAnsi="Times New Roman"/>
                <w:iCs/>
                <w:sz w:val="24"/>
                <w:szCs w:val="24"/>
                <w:lang w:bidi="ar-SA"/>
              </w:rPr>
              <w:t>Pateikiama su pasiūlymu: EBVPD</w:t>
            </w:r>
          </w:p>
          <w:p>
            <w:pPr>
              <w:pStyle w:val="Normal"/>
              <w:widowControl/>
              <w:suppressAutoHyphens w:val="true"/>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uppressAutoHyphens w:val="true"/>
              <w:spacing w:lineRule="auto" w:line="240" w:before="0" w:after="0"/>
              <w:ind w:right="45"/>
              <w:jc w:val="both"/>
              <w:rPr>
                <w:sz w:val="24"/>
                <w:szCs w:val="24"/>
              </w:rPr>
            </w:pPr>
            <w:r>
              <w:rPr>
                <w:rFonts w:cs="Times New Roman" w:ascii="Times New Roman" w:hAnsi="Times New Roman"/>
                <w:sz w:val="24"/>
                <w:szCs w:val="24"/>
                <w:lang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uppressAutoHyphens w:val="true"/>
              <w:spacing w:lineRule="auto" w:line="240" w:before="0" w:after="0"/>
              <w:ind w:right="45"/>
              <w:jc w:val="both"/>
              <w:rPr>
                <w:sz w:val="24"/>
                <w:szCs w:val="24"/>
              </w:rPr>
            </w:pPr>
            <w:r>
              <w:rPr>
                <w:rFonts w:cs="Times New Roman" w:ascii="Times New Roman" w:hAnsi="Times New Roman"/>
                <w:sz w:val="24"/>
                <w:szCs w:val="24"/>
                <w:lang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uppressAutoHyphens w:val="true"/>
              <w:spacing w:lineRule="auto" w:line="240" w:before="0" w:after="0"/>
              <w:ind w:right="45"/>
              <w:jc w:val="both"/>
              <w:rPr>
                <w:sz w:val="24"/>
                <w:szCs w:val="24"/>
              </w:rPr>
            </w:pPr>
            <w:r>
              <w:rPr>
                <w:rFonts w:cs="Times New Roman" w:ascii="Times New Roman" w:hAnsi="Times New Roman"/>
                <w:b/>
                <w:i/>
                <w:sz w:val="24"/>
                <w:szCs w:val="24"/>
                <w:lang w:bidi="ar-SA"/>
              </w:rPr>
              <w:t>CVP IS priemonėmis pateikiamos skaitmeninės dokumentų kopijos.</w:t>
            </w:r>
          </w:p>
        </w:tc>
      </w:tr>
      <w:tr>
        <w:trPr/>
        <w:tc>
          <w:tcPr>
            <w:tcW w:w="704" w:type="dxa"/>
            <w:tcBorders/>
          </w:tcPr>
          <w:p>
            <w:pPr>
              <w:pStyle w:val="Normal"/>
              <w:widowControl/>
              <w:suppressAutoHyphens w:val="true"/>
              <w:spacing w:lineRule="auto" w:line="240" w:before="0" w:after="0"/>
              <w:jc w:val="left"/>
              <w:rPr>
                <w:sz w:val="24"/>
                <w:szCs w:val="24"/>
              </w:rPr>
            </w:pPr>
            <w:r>
              <w:rPr>
                <w:rFonts w:cs="Times New Roman" w:ascii="Times New Roman" w:hAnsi="Times New Roman"/>
                <w:sz w:val="24"/>
                <w:szCs w:val="24"/>
                <w:lang w:bidi="ar-SA"/>
              </w:rPr>
              <w:t>2.1.</w:t>
            </w:r>
          </w:p>
        </w:tc>
        <w:tc>
          <w:tcPr>
            <w:tcW w:w="3825" w:type="dxa"/>
            <w:tcBorders/>
          </w:tcPr>
          <w:p>
            <w:pPr>
              <w:pStyle w:val="Normal"/>
              <w:widowControl/>
              <w:suppressAutoHyphens w:val="true"/>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 xml:space="preserve">Informacinių sistemų analitikas </w:t>
            </w:r>
            <w:r>
              <w:rPr>
                <w:rStyle w:val="Normaltextrun"/>
                <w:rFonts w:cs="Times New Roman" w:ascii="Times New Roman" w:hAnsi="Times New Roman"/>
                <w:sz w:val="24"/>
                <w:szCs w:val="24"/>
                <w:lang w:bidi="ar-SA"/>
              </w:rPr>
              <w:t>turi atitikti šiuos reikalavimus: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p>
            <w:pPr>
              <w:pStyle w:val="Normal"/>
              <w:widowControl/>
              <w:suppressAutoHyphens w:val="true"/>
              <w:spacing w:lineRule="auto" w:line="240" w:before="0" w:after="0"/>
              <w:ind w:right="45"/>
              <w:jc w:val="both"/>
              <w:rPr>
                <w:sz w:val="24"/>
                <w:szCs w:val="24"/>
              </w:rPr>
            </w:pPr>
            <w:r>
              <w:rPr>
                <w:sz w:val="24"/>
                <w:szCs w:val="24"/>
              </w:rPr>
            </w:r>
          </w:p>
        </w:tc>
        <w:tc>
          <w:tcPr>
            <w:tcW w:w="5389" w:type="dxa"/>
            <w:tcBorders/>
          </w:tcPr>
          <w:p>
            <w:pPr>
              <w:pStyle w:val="Normal"/>
              <w:widowControl/>
              <w:suppressAutoHyphens w:val="true"/>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uppressAutoHyphens w:val="true"/>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uppressAutoHyphens w:val="true"/>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op w:val="nil"/>
            </w:tcBorders>
          </w:tcPr>
          <w:p>
            <w:pPr>
              <w:pStyle w:val="Normal"/>
              <w:widowControl/>
              <w:suppressAutoHyphens w:val="true"/>
              <w:spacing w:lineRule="auto" w:line="240" w:before="0" w:after="0"/>
              <w:jc w:val="left"/>
              <w:rPr>
                <w:sz w:val="24"/>
                <w:szCs w:val="24"/>
              </w:rPr>
            </w:pPr>
            <w:r>
              <w:rPr>
                <w:sz w:val="24"/>
                <w:szCs w:val="24"/>
              </w:rPr>
              <w:t>2.2.</w:t>
            </w:r>
          </w:p>
        </w:tc>
        <w:tc>
          <w:tcPr>
            <w:tcW w:w="3825" w:type="dxa"/>
            <w:tcBorders>
              <w:top w:val="nil"/>
            </w:tcBorders>
          </w:tcPr>
          <w:p>
            <w:pPr>
              <w:pStyle w:val="Normal"/>
              <w:widowControl/>
              <w:suppressAutoHyphens w:val="true"/>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Informacinių sistemų a</w:t>
            </w:r>
            <w:r>
              <w:rPr>
                <w:rFonts w:cs="Times New Roman" w:ascii="Times New Roman" w:hAnsi="Times New Roman"/>
                <w:b/>
                <w:bCs/>
                <w:color w:val="000000"/>
                <w:sz w:val="24"/>
                <w:szCs w:val="24"/>
                <w:lang w:bidi="ar-SA"/>
              </w:rPr>
              <w:t>rchitektas</w:t>
            </w:r>
            <w:r>
              <w:rPr>
                <w:rFonts w:cs="Times New Roman" w:ascii="Times New Roman" w:hAnsi="Times New Roman"/>
                <w:b/>
                <w:bCs/>
                <w:color w:val="000000"/>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p>
            <w:pPr>
              <w:pStyle w:val="Normal"/>
              <w:widowControl/>
              <w:suppressAutoHyphens w:val="true"/>
              <w:spacing w:lineRule="auto" w:line="240" w:before="0" w:after="0"/>
              <w:ind w:right="45"/>
              <w:jc w:val="both"/>
              <w:rPr>
                <w:sz w:val="24"/>
                <w:szCs w:val="24"/>
              </w:rPr>
            </w:pPr>
            <w:r>
              <w:rPr>
                <w:sz w:val="24"/>
                <w:szCs w:val="24"/>
              </w:rPr>
            </w:r>
          </w:p>
        </w:tc>
        <w:tc>
          <w:tcPr>
            <w:tcW w:w="5389" w:type="dxa"/>
            <w:tcBorders>
              <w:top w:val="nil"/>
            </w:tcBorders>
          </w:tcPr>
          <w:p>
            <w:pPr>
              <w:pStyle w:val="Normal"/>
              <w:widowControl/>
              <w:suppressAutoHyphens w:val="true"/>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uppressAutoHyphens w:val="true"/>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uppressAutoHyphens w:val="true"/>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uppressAutoHyphens w:val="true"/>
              <w:spacing w:lineRule="auto" w:line="240" w:before="0" w:after="0"/>
              <w:jc w:val="left"/>
              <w:rPr>
                <w:sz w:val="24"/>
                <w:szCs w:val="24"/>
              </w:rPr>
            </w:pPr>
            <w:r>
              <w:rPr>
                <w:rFonts w:cs="Times New Roman" w:ascii="Times New Roman" w:hAnsi="Times New Roman"/>
                <w:sz w:val="24"/>
                <w:szCs w:val="24"/>
                <w:lang w:bidi="ar-SA"/>
              </w:rPr>
              <w:t>2.</w:t>
            </w:r>
            <w:r>
              <w:rPr>
                <w:rFonts w:cs="Times New Roman" w:ascii="Times New Roman" w:hAnsi="Times New Roman"/>
                <w:sz w:val="24"/>
                <w:szCs w:val="24"/>
                <w:lang w:bidi="ar-SA"/>
              </w:rPr>
              <w:t>3</w:t>
            </w:r>
            <w:r>
              <w:rPr>
                <w:rFonts w:cs="Times New Roman" w:ascii="Times New Roman" w:hAnsi="Times New Roman"/>
                <w:sz w:val="24"/>
                <w:szCs w:val="24"/>
                <w:lang w:bidi="ar-SA"/>
              </w:rPr>
              <w:t>.</w:t>
            </w:r>
          </w:p>
        </w:tc>
        <w:tc>
          <w:tcPr>
            <w:tcW w:w="3825" w:type="dxa"/>
            <w:tcBorders/>
          </w:tcPr>
          <w:p>
            <w:pPr>
              <w:pStyle w:val="Normal"/>
              <w:widowControl/>
              <w:suppressAutoHyphens w:val="true"/>
              <w:spacing w:lineRule="auto" w:line="240" w:before="0" w:after="0"/>
              <w:jc w:val="left"/>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sz w:val="24"/>
                <w:szCs w:val="24"/>
                <w:shd w:fill="FFFFFF" w:val="clear"/>
                <w:lang w:bidi="ar-SA"/>
              </w:rPr>
              <w:t>Programuotojas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 xml:space="preserve">per pastaruosius 5 metus iki pasiūlymo pateikimo dienos turi 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p>
        </w:tc>
        <w:tc>
          <w:tcPr>
            <w:tcW w:w="5389" w:type="dxa"/>
            <w:tcBorders/>
          </w:tcPr>
          <w:p>
            <w:pPr>
              <w:pStyle w:val="Normal"/>
              <w:widowControl/>
              <w:suppressAutoHyphens w:val="true"/>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uppressAutoHyphens w:val="true"/>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uppressAutoHyphens w:val="true"/>
              <w:spacing w:lineRule="auto" w:line="240" w:before="0" w:after="0"/>
              <w:jc w:val="left"/>
              <w:rPr>
                <w:sz w:val="24"/>
                <w:szCs w:val="24"/>
              </w:rPr>
            </w:pPr>
            <w:r>
              <w:rPr>
                <w:rFonts w:cs="Times New Roman" w:ascii="Times New Roman" w:hAnsi="Times New Roman"/>
                <w:sz w:val="24"/>
                <w:szCs w:val="24"/>
                <w:lang w:bidi="ar-SA"/>
              </w:rPr>
              <w:t>2.</w:t>
            </w:r>
            <w:r>
              <w:rPr>
                <w:rFonts w:cs="Times New Roman" w:ascii="Times New Roman" w:hAnsi="Times New Roman"/>
                <w:sz w:val="24"/>
                <w:szCs w:val="24"/>
                <w:lang w:bidi="ar-SA"/>
              </w:rPr>
              <w:t>4</w:t>
            </w:r>
            <w:r>
              <w:rPr>
                <w:rFonts w:cs="Times New Roman" w:ascii="Times New Roman" w:hAnsi="Times New Roman"/>
                <w:sz w:val="24"/>
                <w:szCs w:val="24"/>
                <w:lang w:bidi="ar-SA"/>
              </w:rPr>
              <w:t>.</w:t>
            </w:r>
          </w:p>
        </w:tc>
        <w:tc>
          <w:tcPr>
            <w:tcW w:w="3825" w:type="dxa"/>
            <w:tcBorders/>
            <w:shd w:color="auto" w:fill="FFFFFF" w:themeFill="background1" w:val="clear"/>
          </w:tcPr>
          <w:p>
            <w:pPr>
              <w:pStyle w:val="Normal"/>
              <w:widowControl/>
              <w:suppressAutoHyphens w:val="true"/>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testavimo</w:t>
            </w:r>
            <w:r>
              <w:rPr>
                <w:rFonts w:cs="Times New Roman" w:ascii="Times New Roman" w:hAnsi="Times New Roman"/>
                <w:b/>
                <w:bCs/>
                <w:color w:val="000000"/>
                <w:sz w:val="24"/>
                <w:szCs w:val="24"/>
                <w:lang w:bidi="ar-SA"/>
              </w:rPr>
              <w:t xml:space="preserve">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w:t>
            </w:r>
            <w:r>
              <w:rPr>
                <w:rFonts w:cs="Times New Roman" w:ascii="Times New Roman" w:hAnsi="Times New Roman"/>
                <w:color w:val="000000"/>
                <w:sz w:val="24"/>
                <w:szCs w:val="24"/>
                <w:lang w:bidi="ar-SA"/>
              </w:rPr>
              <w:t>testavimo</w:t>
            </w:r>
            <w:r>
              <w:rPr>
                <w:rFonts w:cs="Times New Roman" w:ascii="Times New Roman" w:hAnsi="Times New Roman"/>
                <w:sz w:val="24"/>
                <w:szCs w:val="24"/>
                <w:lang w:bidi="ar-SA"/>
              </w:rPr>
              <w:t xml:space="preserve"> paslaugos.</w:t>
            </w:r>
          </w:p>
        </w:tc>
        <w:tc>
          <w:tcPr>
            <w:tcW w:w="5389" w:type="dxa"/>
            <w:tcBorders/>
          </w:tcPr>
          <w:p>
            <w:pPr>
              <w:pStyle w:val="Normal"/>
              <w:widowControl/>
              <w:suppressAutoHyphens w:val="true"/>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uppressAutoHyphens w:val="true"/>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uppressAutoHyphens w:val="true"/>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uppressAutoHyphens w:val="true"/>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uppressAutoHyphens w:val="true"/>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bl>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
    </w:p>
    <w:p>
      <w:pPr>
        <w:pStyle w:val="ListParagraph"/>
        <w:numPr>
          <w:ilvl w:val="0"/>
          <w:numId w:val="2"/>
        </w:numPr>
        <w:tabs>
          <w:tab w:val="clear" w:pos="1296"/>
          <w:tab w:val="left" w:pos="360" w:leader="none"/>
        </w:tabs>
        <w:spacing w:lineRule="atLeast" w:line="20" w:before="0" w:after="0"/>
        <w:ind w:firstLine="360" w:left="0"/>
        <w:contextualSpacing/>
        <w:jc w:val="both"/>
        <w:rPr>
          <w:rFonts w:ascii="Times New Roman" w:hAnsi="Times New Roman" w:eastAsia="Calibri" w:cs="Times New Roman"/>
          <w:iCs/>
          <w:sz w:val="24"/>
          <w:szCs w:val="24"/>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Paragraph"/>
        <w:numPr>
          <w:ilvl w:val="0"/>
          <w:numId w:val="2"/>
        </w:numPr>
        <w:tabs>
          <w:tab w:val="clear" w:pos="1296"/>
          <w:tab w:val="left" w:pos="360" w:leader="none"/>
        </w:tabs>
        <w:spacing w:before="0" w:after="0"/>
        <w:ind w:firstLine="360" w:left="0"/>
        <w:jc w:val="both"/>
        <w:rPr/>
      </w:pPr>
      <w:r>
        <w:rPr/>
        <w:t>Tiekėjas, ūkio subjektas, kurio pajėgumais remiamasi, subtiekėjas ar kvazisubtiekėjas dalyvaujantys Pirkime</w:t>
      </w:r>
      <w:r>
        <w:rPr>
          <w:b/>
          <w:bCs/>
        </w:rPr>
        <w:t xml:space="preserve"> turi atitikti</w:t>
      </w:r>
      <w:r>
        <w:rPr/>
        <w:t xml:space="preserve"> </w:t>
      </w:r>
      <w:r>
        <w:rPr>
          <w:b/>
          <w:bCs/>
        </w:rPr>
        <w:t>kvalifikacijos reikalavimus, susijusius su nacionalinio saugumo reikalavimu</w:t>
      </w:r>
      <w:r>
        <w:rP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pPr>
        <w:pStyle w:val="Paragraph"/>
        <w:tabs>
          <w:tab w:val="clear" w:pos="1296"/>
          <w:tab w:val="left" w:pos="360" w:leader="none"/>
        </w:tabs>
        <w:spacing w:before="0" w:after="0"/>
        <w:ind w:left="709"/>
        <w:jc w:val="both"/>
        <w:rPr/>
      </w:pPr>
      <w:r>
        <w:rPr/>
      </w:r>
    </w:p>
    <w:tbl>
      <w:tblPr>
        <w:tblW w:w="1020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2"/>
        <w:gridCol w:w="2837"/>
        <w:gridCol w:w="4532"/>
        <w:gridCol w:w="2128"/>
      </w:tblGrid>
      <w:tr>
        <w:trPr/>
        <w:tc>
          <w:tcPr>
            <w:tcW w:w="702"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Eil. Nr.</w:t>
            </w:r>
          </w:p>
        </w:tc>
        <w:tc>
          <w:tcPr>
            <w:tcW w:w="2837"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Kvalifikaciniai reikalavimai</w:t>
            </w:r>
          </w:p>
        </w:tc>
        <w:tc>
          <w:tcPr>
            <w:tcW w:w="4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Dokumentai ir informacija, kuriuos turi pateikti teikėjas, siekiantis įrodyti, kad jo kvalifikacija atitinka keliamus reikalavimus</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Subjektas, kuris turi atitikti reikalavimą</w:t>
            </w:r>
          </w:p>
        </w:tc>
      </w:tr>
      <w:tr>
        <w:trPr>
          <w:trHeight w:val="917" w:hRule="atLeast"/>
        </w:trPr>
        <w:tc>
          <w:tcPr>
            <w:tcW w:w="702"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jc w:val="center"/>
              <w:rPr/>
            </w:pPr>
            <w:r>
              <w:rPr>
                <w:rFonts w:ascii="Times New Roman" w:hAnsi="Times New Roman"/>
                <w:bCs/>
                <w:sz w:val="24"/>
                <w:szCs w:val="24"/>
              </w:rPr>
              <w:t>7.</w:t>
            </w:r>
            <w:r>
              <w:rPr>
                <w:rFonts w:ascii="Times New Roman" w:hAnsi="Times New Roman"/>
                <w:bCs/>
                <w:sz w:val="24"/>
                <w:szCs w:val="24"/>
                <w:lang w:val="en-US"/>
              </w:rPr>
              <w:t>1.</w:t>
            </w:r>
          </w:p>
          <w:p>
            <w:pPr>
              <w:pStyle w:val="Normal"/>
              <w:spacing w:lineRule="auto" w:line="240" w:before="0" w:after="160"/>
              <w:jc w:val="center"/>
              <w:rPr>
                <w:rFonts w:ascii="Times New Roman" w:hAnsi="Times New Roman"/>
                <w:bCs/>
                <w:sz w:val="24"/>
                <w:szCs w:val="24"/>
              </w:rPr>
            </w:pPr>
            <w:r>
              <w:rPr>
                <w:rFonts w:ascii="Times New Roman" w:hAnsi="Times New Roman"/>
                <w:bCs/>
                <w:sz w:val="24"/>
                <w:szCs w:val="24"/>
              </w:rPr>
            </w:r>
          </w:p>
        </w:tc>
        <w:tc>
          <w:tcPr>
            <w:tcW w:w="2837" w:type="dxa"/>
            <w:tcBorders>
              <w:top w:val="single" w:sz="4" w:space="0" w:color="000000"/>
              <w:left w:val="single" w:sz="4" w:space="0" w:color="000000"/>
              <w:bottom w:val="single" w:sz="4" w:space="0" w:color="000000"/>
            </w:tcBorders>
            <w:shd w:color="auto" w:fill="auto" w:val="clear"/>
          </w:tcPr>
          <w:p>
            <w:pPr>
              <w:pStyle w:val="Normal"/>
              <w:spacing w:lineRule="auto" w:line="240"/>
              <w:jc w:val="both"/>
              <w:rPr>
                <w:rFonts w:ascii="Times New Roman" w:hAnsi="Times New Roman"/>
                <w:bCs/>
                <w:sz w:val="24"/>
                <w:szCs w:val="24"/>
              </w:rPr>
            </w:pPr>
            <w:r>
              <w:rPr>
                <w:rFonts w:ascii="Times New Roman" w:hAnsi="Times New Roman"/>
                <w:bCs/>
                <w:sz w:val="24"/>
                <w:szCs w:val="24"/>
              </w:rPr>
              <w:t>Tiekėjas yra laikomas neturinčiu interesų, galinčių kelti grėsmę nacionaliniam saugumui.</w:t>
            </w:r>
          </w:p>
          <w:p>
            <w:pPr>
              <w:pStyle w:val="Normal"/>
              <w:spacing w:lineRule="auto" w:line="240" w:before="0" w:after="160"/>
              <w:jc w:val="both"/>
              <w:rPr/>
            </w:pPr>
            <w:r>
              <w:rPr>
                <w:rFonts w:ascii="Times New Roman" w:hAnsi="Times New Roman"/>
                <w:bCs/>
                <w:sz w:val="24"/>
                <w:szCs w:val="24"/>
              </w:rPr>
              <w:t xml:space="preserve">Perkančioji organizacija laiko, kad tiekėjas turi interesų, galinčių kelti grėsmę nacionaliniam saugumui, ir draudžia pirkime dalyvauti </w:t>
            </w:r>
            <w:r>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Pr>
                <w:rFonts w:ascii="Times New Roman Bold" w:hAnsi="Times New Roman Bold"/>
                <w:b/>
                <w:sz w:val="24"/>
                <w:szCs w:val="24"/>
                <w:vertAlign w:val="superscript"/>
              </w:rPr>
              <w:t>1</w:t>
            </w:r>
            <w:r>
              <w:rPr>
                <w:rFonts w:ascii="Times New Roman" w:hAnsi="Times New Roman"/>
                <w:b/>
                <w:sz w:val="24"/>
                <w:szCs w:val="24"/>
                <w:vertAlign w:val="superscript"/>
              </w:rPr>
              <w:t xml:space="preserve"> </w:t>
            </w:r>
            <w:r>
              <w:rPr>
                <w:rFonts w:ascii="Times New Roman Bold" w:hAnsi="Times New Roman Bold"/>
                <w:b/>
                <w:sz w:val="24"/>
                <w:szCs w:val="24"/>
              </w:rPr>
              <w:t>dalyje</w:t>
            </w:r>
            <w:r>
              <w:rPr>
                <w:rFonts w:ascii="Times New Roman" w:hAnsi="Times New Roman"/>
                <w:b/>
                <w:sz w:val="24"/>
                <w:szCs w:val="24"/>
                <w:vertAlign w:val="superscript"/>
              </w:rPr>
              <w:t xml:space="preserve"> </w:t>
            </w:r>
            <w:r>
              <w:rPr>
                <w:rStyle w:val="FootnoteReference"/>
                <w:rFonts w:ascii="Times New Roman" w:hAnsi="Times New Roman"/>
                <w:b/>
                <w:sz w:val="24"/>
                <w:szCs w:val="24"/>
                <w:vertAlign w:val="superscript"/>
              </w:rPr>
              <w:footnoteReference w:id="10"/>
            </w:r>
            <w:r>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Pr>
                <w:rStyle w:val="FootnoteReference"/>
                <w:rFonts w:ascii="Times New Roman" w:hAnsi="Times New Roman"/>
                <w:bCs/>
                <w:sz w:val="24"/>
                <w:szCs w:val="24"/>
                <w:vertAlign w:val="superscript"/>
              </w:rPr>
              <w:footnoteReference w:id="11"/>
            </w:r>
          </w:p>
        </w:tc>
        <w:tc>
          <w:tcPr>
            <w:tcW w:w="4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bCs/>
                <w:iCs/>
                <w:sz w:val="24"/>
                <w:szCs w:val="24"/>
              </w:rPr>
            </w:pPr>
            <w:r>
              <w:rPr>
                <w:rFonts w:ascii="Times New Roman" w:hAnsi="Times New Roman"/>
                <w:bCs/>
                <w:iCs/>
                <w:sz w:val="24"/>
                <w:szCs w:val="24"/>
              </w:rPr>
              <w:t>Vadovaujantis VPĮ 51 straipsnio 12 d., pateikiama:</w:t>
            </w:r>
          </w:p>
          <w:p>
            <w:pPr>
              <w:pStyle w:val="Normal"/>
              <w:spacing w:lineRule="auto" w:line="240"/>
              <w:jc w:val="both"/>
              <w:rPr>
                <w:rFonts w:ascii="Times New Roman" w:hAnsi="Times New Roman"/>
                <w:sz w:val="24"/>
                <w:szCs w:val="24"/>
              </w:rPr>
            </w:pPr>
            <w:r>
              <w:rPr>
                <w:rFonts w:ascii="Times New Roman" w:hAnsi="Times New Roman"/>
                <w:sz w:val="24"/>
                <w:szCs w:val="24"/>
              </w:rPr>
              <w:t>1. Nacionalinio saugumo reikalavimų atitikties deklaracija, patvirtinta Viešųjų pirkimų tarnybos 2022 m. gruodžio 29 d. įsakymu Nr. 1S-233</w:t>
            </w:r>
          </w:p>
          <w:p>
            <w:pPr>
              <w:pStyle w:val="Normal"/>
              <w:spacing w:lineRule="auto" w:line="240"/>
              <w:jc w:val="both"/>
              <w:rPr>
                <w:rFonts w:ascii="Times New Roman" w:hAnsi="Times New Roman"/>
                <w:sz w:val="24"/>
                <w:szCs w:val="24"/>
              </w:rPr>
            </w:pPr>
            <w:r>
              <w:rPr>
                <w:rFonts w:ascii="Times New Roman" w:hAnsi="Times New Roman"/>
                <w:sz w:val="24"/>
                <w:szCs w:val="24"/>
              </w:rPr>
              <w:t>Ekonomiškai naudingiausią pasiūlymą pateikęs tiekėjas (galimas pirkimo laimėtojas) turės pateikti vieną ar kelis šiuos dokumentus (SVARBU: teikiama tiek dokumentų, kiek reikalinga patvirtinti nurodytą informaciją):</w:t>
            </w:r>
          </w:p>
          <w:p>
            <w:pPr>
              <w:pStyle w:val="Normal"/>
              <w:spacing w:lineRule="atLeast" w:line="240"/>
              <w:jc w:val="both"/>
              <w:rPr/>
            </w:pPr>
            <w:r>
              <w:rPr>
                <w:rFonts w:ascii="Times New Roman" w:hAnsi="Times New Roman"/>
                <w:color w:val="000000"/>
                <w:sz w:val="24"/>
                <w:szCs w:val="24"/>
              </w:rPr>
              <w:t xml:space="preserve">1) </w:t>
            </w:r>
            <w:r>
              <w:rPr>
                <w:rFonts w:ascii="Times New Roman" w:hAnsi="Times New Roman"/>
                <w:sz w:val="24"/>
                <w:szCs w:val="24"/>
              </w:rPr>
              <w:t xml:space="preserve">jei tiekėjas, jo subtiekėjas, ūkio subjektas, kurio pajėgumais remiasi ar juos kontroliuojantis asmuo yra </w:t>
            </w:r>
            <w:r>
              <w:rPr>
                <w:rFonts w:ascii="Times New Roman" w:hAnsi="Times New Roman"/>
                <w:b/>
                <w:bCs/>
                <w:sz w:val="24"/>
                <w:szCs w:val="24"/>
              </w:rPr>
              <w:t>juridinis asmuo</w:t>
            </w:r>
            <w:r>
              <w:rPr>
                <w:rFonts w:ascii="Times New Roman" w:hAnsi="Times New Roman"/>
                <w:sz w:val="24"/>
                <w:szCs w:val="24"/>
              </w:rPr>
              <w:t>,</w:t>
            </w:r>
            <w:r>
              <w:rPr>
                <w:szCs w:val="24"/>
              </w:rPr>
              <w:t xml:space="preserve"> </w:t>
            </w:r>
            <w:r>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pPr>
              <w:pStyle w:val="Normal"/>
              <w:spacing w:lineRule="atLeast" w:line="240"/>
              <w:jc w:val="both"/>
              <w:rPr/>
            </w:pPr>
            <w:r>
              <w:rPr>
                <w:rFonts w:ascii="Times New Roman" w:hAnsi="Times New Roman"/>
                <w:color w:val="000000"/>
                <w:sz w:val="24"/>
                <w:szCs w:val="24"/>
              </w:rPr>
              <w:t xml:space="preserve">2) jei tiekėjas, jo subtiekėjas, ūkio subjektas, kurio pajėgumais remiasi ar juos kontroliuojantis asmuo </w:t>
            </w:r>
            <w:r>
              <w:rPr>
                <w:rFonts w:ascii="Times New Roman" w:hAnsi="Times New Roman"/>
                <w:b/>
                <w:bCs/>
                <w:color w:val="000000"/>
                <w:sz w:val="24"/>
                <w:szCs w:val="24"/>
              </w:rPr>
              <w:t>fizinis asmuo</w:t>
            </w:r>
            <w:r>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pPr>
              <w:pStyle w:val="Annotationtext"/>
              <w:jc w:val="both"/>
              <w:rPr/>
            </w:pPr>
            <w:r>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FootnoteReference"/>
                <w:bCs/>
              </w:rPr>
              <w:footnoteReference w:id="12"/>
            </w:r>
          </w:p>
          <w:p>
            <w:pPr>
              <w:pStyle w:val="Normal"/>
              <w:spacing w:lineRule="atLeast" w:line="240" w:before="0" w:after="160"/>
              <w:jc w:val="both"/>
              <w:rPr/>
            </w:pPr>
            <w:r>
              <w:rPr>
                <w:rFonts w:ascii="Times New Roman" w:hAnsi="Times New Roman"/>
                <w:b/>
                <w:sz w:val="24"/>
                <w:szCs w:val="24"/>
              </w:rPr>
              <w:t>Tiekėjas turi atitikti reikalavimus pasiūlymo pateikimo dienai ir išlaikyti reikalavimo / reikalavimų atitikimą visą Sutarties galiojimo laikotarpį.</w:t>
            </w:r>
          </w:p>
        </w:tc>
        <w:tc>
          <w:tcPr>
            <w:tcW w:w="21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bCs/>
                <w:sz w:val="24"/>
                <w:szCs w:val="24"/>
              </w:rPr>
            </w:pPr>
            <w:r>
              <w:rPr>
                <w:rFonts w:ascii="Times New Roman" w:hAnsi="Times New Roman"/>
                <w:bCs/>
                <w:sz w:val="24"/>
                <w:szCs w:val="24"/>
              </w:rPr>
              <w:t>1) tiekėjas (tiekėjų grupės nariai visi);</w:t>
            </w:r>
          </w:p>
          <w:p>
            <w:pPr>
              <w:pStyle w:val="Normal"/>
              <w:spacing w:lineRule="auto" w:line="240"/>
              <w:jc w:val="both"/>
              <w:rPr>
                <w:rFonts w:ascii="Times New Roman" w:hAnsi="Times New Roman"/>
                <w:bCs/>
                <w:sz w:val="24"/>
                <w:szCs w:val="24"/>
              </w:rPr>
            </w:pPr>
            <w:r>
              <w:rPr>
                <w:rFonts w:ascii="Times New Roman" w:hAnsi="Times New Roman"/>
                <w:bCs/>
                <w:sz w:val="24"/>
                <w:szCs w:val="24"/>
              </w:rPr>
              <w:t>2) subtiekėjas (-ai);</w:t>
            </w:r>
          </w:p>
          <w:p>
            <w:pPr>
              <w:pStyle w:val="Normal"/>
              <w:spacing w:lineRule="auto" w:line="240"/>
              <w:jc w:val="both"/>
              <w:rPr>
                <w:rFonts w:ascii="Times New Roman" w:hAnsi="Times New Roman"/>
                <w:bCs/>
                <w:sz w:val="24"/>
                <w:szCs w:val="24"/>
              </w:rPr>
            </w:pPr>
            <w:r>
              <w:rPr>
                <w:rFonts w:ascii="Times New Roman" w:hAnsi="Times New Roman"/>
                <w:bCs/>
                <w:sz w:val="24"/>
                <w:szCs w:val="24"/>
              </w:rPr>
              <w:t>3) ūkio subjektas (-ai), kurio (-ių) pajėgumais remiasi tiekėjas, jeigu tiekėjas įrodys, kad šio ūkio subjekto ištekliai jam bus prieinami;</w:t>
            </w:r>
          </w:p>
          <w:p>
            <w:pPr>
              <w:pStyle w:val="Normal"/>
              <w:spacing w:lineRule="auto" w:line="240" w:before="0" w:after="160"/>
              <w:jc w:val="both"/>
              <w:rPr>
                <w:rFonts w:ascii="Times New Roman" w:hAnsi="Times New Roman"/>
                <w:bCs/>
                <w:sz w:val="24"/>
                <w:szCs w:val="24"/>
              </w:rPr>
            </w:pPr>
            <w:r>
              <w:rPr>
                <w:rFonts w:ascii="Times New Roman" w:hAnsi="Times New Roman"/>
                <w:bCs/>
                <w:sz w:val="24"/>
                <w:szCs w:val="24"/>
              </w:rPr>
              <w:t>4) 1-3 punktuose nurodytą subjektą (-us) kontroliuojantis (-ys) asmuo (-ys).</w:t>
            </w:r>
          </w:p>
        </w:tc>
      </w:tr>
    </w:tbl>
    <w:p>
      <w:pPr>
        <w:pStyle w:val="Normal"/>
        <w:tabs>
          <w:tab w:val="clear" w:pos="1296"/>
          <w:tab w:val="right" w:pos="284"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2"/>
        </w:numPr>
        <w:tabs>
          <w:tab w:val="clear" w:pos="1296"/>
          <w:tab w:val="right" w:pos="284" w:leader="none"/>
          <w:tab w:val="left" w:pos="426"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pPr>
        <w:pStyle w:val="ListParagraph"/>
        <w:numPr>
          <w:ilvl w:val="0"/>
          <w:numId w:val="2"/>
        </w:numPr>
        <w:tabs>
          <w:tab w:val="clear" w:pos="1296"/>
          <w:tab w:val="right" w:pos="284" w:leader="none"/>
          <w:tab w:val="left" w:pos="360"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pPr>
        <w:pStyle w:val="ListParagraph"/>
        <w:numPr>
          <w:ilvl w:val="0"/>
          <w:numId w:val="2"/>
        </w:numPr>
        <w:tabs>
          <w:tab w:val="clear" w:pos="1296"/>
          <w:tab w:val="right" w:pos="284" w:leader="none"/>
          <w:tab w:val="left" w:pos="720"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cs="Times New Roman"/>
          <w:b/>
          <w:bCs/>
          <w:smallCaps/>
          <w:sz w:val="22"/>
          <w:szCs w:val="22"/>
        </w:rPr>
      </w:pPr>
      <w:r>
        <w:rPr>
          <w:rFonts w:eastAsia="Calibri" w:cs="Times New Roman" w:ascii="Times New Roman" w:hAnsi="Times New Roman"/>
          <w:color w:val="0070C0"/>
        </w:rPr>
        <w:t>Pirkimo sąlygų 5 priedas „EBVPD“</w:t>
      </w:r>
    </w:p>
    <w:p>
      <w:pPr>
        <w:pStyle w:val="Subtitle"/>
        <w:jc w:val="center"/>
        <w:rPr>
          <w:rFonts w:ascii="Times New Roman" w:hAnsi="Times New Roman" w:cs="Times New Roman"/>
        </w:rPr>
      </w:pPr>
      <w:r>
        <w:rPr>
          <w:rFonts w:cs="Times New Roman" w:ascii="Times New Roman" w:hAnsi="Times New Roman"/>
        </w:rPr>
      </w:r>
    </w:p>
    <w:p>
      <w:pPr>
        <w:pStyle w:val="Subtitle"/>
        <w:jc w:val="center"/>
        <w:rPr>
          <w:rFonts w:ascii="Times New Roman" w:hAnsi="Times New Roman" w:cs="Times New Roman"/>
          <w:b/>
          <w:bCs/>
          <w:smallCaps/>
        </w:rPr>
      </w:pPr>
      <w:r>
        <w:rPr>
          <w:rFonts w:cs="Times New Roman" w:ascii="Times New Roman" w:hAnsi="Times New Roman"/>
        </w:rPr>
        <w:t>EUROPOS BENDRASIS VIEŠŲJŲ PIRKIMŲ DOKUMENTAS</w:t>
      </w:r>
    </w:p>
    <w:p>
      <w:pPr>
        <w:pStyle w:val="Normal"/>
        <w:jc w:val="both"/>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jc w:val="center"/>
        <w:rPr>
          <w:rFonts w:ascii="Times New Roman" w:hAnsi="Times New Roman" w:cs="Times New Roman"/>
          <w:smallCaps/>
          <w:sz w:val="22"/>
          <w:szCs w:val="22"/>
        </w:rPr>
      </w:pPr>
      <w:r>
        <w:rPr>
          <w:rFonts w:cs="Times New Roman" w:ascii="Times New Roman" w:hAnsi="Times New Roman"/>
          <w:smallCaps/>
          <w:sz w:val="22"/>
          <w:szCs w:val="22"/>
        </w:rPr>
        <w:t>__________</w:t>
      </w:r>
    </w:p>
    <w:p>
      <w:pPr>
        <w:pStyle w:val="Normal"/>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eastAsia="Calibri" w:cs="Times New Roman"/>
          <w:color w:val="0070C0"/>
          <w:sz w:val="21"/>
          <w:szCs w:val="21"/>
        </w:rPr>
      </w:pPr>
      <w:bookmarkStart w:id="57" w:name="_Ref38540913"/>
      <w:bookmarkStart w:id="58" w:name="_Ref38898051"/>
      <w:bookmarkStart w:id="59" w:name="_Ref38901392"/>
      <w:bookmarkStart w:id="60" w:name="_Toc185177417"/>
      <w:r>
        <w:rPr>
          <w:rFonts w:eastAsia="Calibri" w:cs="Times New Roman" w:ascii="Times New Roman" w:hAnsi="Times New Roman"/>
          <w:color w:val="0070C0"/>
          <w:sz w:val="21"/>
          <w:szCs w:val="21"/>
        </w:rPr>
        <w:t>Pirkimo sąlygų 6 priedas „Pasiūlymo forma“</w:t>
      </w:r>
      <w:bookmarkEnd w:id="57"/>
      <w:bookmarkEnd w:id="58"/>
      <w:bookmarkEnd w:id="59"/>
      <w:bookmarkEnd w:id="60"/>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jc w:val="center"/>
        <w:rPr>
          <w:rFonts w:ascii="Times New Roman" w:hAnsi="Times New Roman" w:cs="Times New Roman"/>
          <w:color w:val="7030A0"/>
        </w:rPr>
      </w:pPr>
      <w:r>
        <w:rPr>
          <w:rFonts w:cs="Times New Roman" w:ascii="Times New Roman" w:hAnsi="Times New Roman"/>
        </w:rPr>
        <w:t>__________</w:t>
      </w:r>
    </w:p>
    <w:p>
      <w:pPr>
        <w:pStyle w:val="Normal"/>
        <w:rPr>
          <w:rFonts w:ascii="Times New Roman" w:hAnsi="Times New Roman" w:cs="Times New Roman"/>
          <w:color w:val="7030A0"/>
        </w:rPr>
      </w:pPr>
      <w:r>
        <w:rPr>
          <w:rFonts w:cs="Times New Roman" w:ascii="Times New Roman" w:hAnsi="Times New Roman"/>
          <w:color w:val="7030A0"/>
        </w:rPr>
      </w:r>
      <w:r>
        <w:br w:type="page"/>
      </w:r>
    </w:p>
    <w:p>
      <w:pPr>
        <w:pStyle w:val="Heading2"/>
        <w:spacing w:before="0" w:after="0"/>
        <w:ind w:left="5103"/>
        <w:rPr>
          <w:rFonts w:ascii="Times New Roman" w:hAnsi="Times New Roman" w:eastAsia="Calibri" w:cs="Times New Roman"/>
          <w:color w:val="0070C0"/>
          <w:sz w:val="21"/>
          <w:szCs w:val="21"/>
        </w:rPr>
      </w:pPr>
      <w:bookmarkStart w:id="61" w:name="_Ref39484039"/>
      <w:bookmarkStart w:id="62" w:name="_Ref40278562"/>
      <w:bookmarkStart w:id="63" w:name="_Toc185177418"/>
      <w:r>
        <w:rPr>
          <w:rFonts w:eastAsia="Calibri" w:cs="Times New Roman" w:ascii="Times New Roman" w:hAnsi="Times New Roman"/>
          <w:color w:val="0070C0"/>
          <w:sz w:val="21"/>
          <w:szCs w:val="21"/>
        </w:rPr>
        <w:t>Pirkimo sąlygų 7 priedas „Pasiūlymų vertinimo kriterijai ir sąlygos“</w:t>
      </w:r>
      <w:bookmarkEnd w:id="61"/>
      <w:bookmarkEnd w:id="62"/>
      <w:bookmarkEnd w:id="63"/>
    </w:p>
    <w:p>
      <w:pPr>
        <w:pStyle w:val="Normal"/>
        <w:jc w:val="center"/>
        <w:rPr>
          <w:rFonts w:ascii="Times New Roman" w:hAnsi="Times New Roman" w:cs="Times New Roman"/>
          <w:b/>
          <w:szCs w:val="24"/>
        </w:rPr>
      </w:pPr>
      <w:r>
        <w:rPr>
          <w:rFonts w:cs="Times New Roman" w:ascii="Times New Roman" w:hAnsi="Times New Roman"/>
          <w:b/>
          <w:szCs w:val="24"/>
        </w:rPr>
      </w:r>
    </w:p>
    <w:p>
      <w:pPr>
        <w:pStyle w:val="Subtitle"/>
        <w:spacing w:before="0" w:after="0"/>
        <w:jc w:val="center"/>
        <w:rPr>
          <w:rFonts w:ascii="Times New Roman" w:hAnsi="Times New Roman" w:cs="Times New Roman"/>
        </w:rPr>
      </w:pPr>
      <w:r>
        <w:rPr>
          <w:rFonts w:cs="Times New Roman" w:ascii="Times New Roman" w:hAnsi="Times New Roman"/>
        </w:rPr>
        <w:t>PASIŪLYMŲ VERTINIMO KRITERIJAI ir Sąlygos</w:t>
      </w:r>
    </w:p>
    <w:p>
      <w:pPr>
        <w:pStyle w:val="Normal"/>
        <w:spacing w:before="0" w:after="0"/>
        <w:rPr>
          <w:rFonts w:ascii="Times New Roman" w:hAnsi="Times New Roman" w:cs="Times New Roman"/>
          <w:iCs/>
          <w:sz w:val="24"/>
          <w:szCs w:val="24"/>
        </w:rPr>
      </w:pPr>
      <w:r>
        <w:rPr>
          <w:rFonts w:cs="Times New Roman" w:ascii="Times New Roman" w:hAnsi="Times New Roman"/>
          <w:i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sz w:val="24"/>
          <w:szCs w:val="24"/>
          <w:shd w:fill="FFFF00" w:val="clear"/>
        </w:rPr>
      </w:r>
    </w:p>
    <w:p>
      <w:pPr>
        <w:pStyle w:val="Normal"/>
        <w:numPr>
          <w:ilvl w:val="0"/>
          <w:numId w:val="29"/>
        </w:numPr>
        <w:tabs>
          <w:tab w:val="clear" w:pos="1296"/>
          <w:tab w:val="left" w:pos="709" w:leader="none"/>
        </w:tabs>
        <w:spacing w:lineRule="auto" w:line="240" w:before="0" w:after="0"/>
        <w:ind w:firstLine="360" w:left="0"/>
        <w:jc w:val="both"/>
        <w:rPr>
          <w:rFonts w:ascii="Times New Roman" w:hAnsi="Times New Roman"/>
        </w:rPr>
      </w:pPr>
      <w:r>
        <w:rPr>
          <w:rFonts w:cs="Times New Roman" w:ascii="Times New Roman" w:hAnsi="Times New Roman"/>
          <w:sz w:val="24"/>
          <w:szCs w:val="24"/>
        </w:rPr>
        <w:t xml:space="preserve">Ekonomiškai naudingiausias pasiūlymas išrenkamas pagal kainos ir kokybės (pasirinktas kokybės vertinimo charakteristikos įvertinamos kiekybiškai) santykį. Pasiūlymų vertinimo kriterijai </w:t>
      </w:r>
      <w:r>
        <w:rPr>
          <w:rFonts w:cs="Times New Roman" w:ascii="Times New Roman" w:hAnsi="Times New Roman"/>
          <w:b/>
          <w:bCs/>
          <w:sz w:val="24"/>
          <w:szCs w:val="24"/>
        </w:rPr>
        <w:t>pirkimo objektui:</w:t>
      </w:r>
    </w:p>
    <w:tbl>
      <w:tblPr>
        <w:tblW w:w="9622" w:type="dxa"/>
        <w:jc w:val="center"/>
        <w:tblInd w:w="0" w:type="dxa"/>
        <w:tblLayout w:type="fixed"/>
        <w:tblCellMar>
          <w:top w:w="105" w:type="dxa"/>
          <w:left w:w="105" w:type="dxa"/>
          <w:bottom w:w="105" w:type="dxa"/>
          <w:right w:w="105" w:type="dxa"/>
        </w:tblCellMar>
        <w:tblLook w:firstRow="1" w:noVBand="1" w:lastRow="0" w:firstColumn="1" w:lastColumn="0" w:noHBand="0" w:val="04a0"/>
      </w:tblPr>
      <w:tblGrid>
        <w:gridCol w:w="616"/>
        <w:gridCol w:w="3913"/>
        <w:gridCol w:w="3260"/>
        <w:gridCol w:w="1832"/>
      </w:tblGrid>
      <w:tr>
        <w:trPr>
          <w:trHeight w:val="1429" w:hRule="atLeast"/>
        </w:trPr>
        <w:tc>
          <w:tcPr>
            <w:tcW w:w="616"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bCs/>
                <w:sz w:val="24"/>
                <w:szCs w:val="24"/>
              </w:rPr>
              <w:t>Eil. Nr.</w:t>
            </w:r>
          </w:p>
        </w:tc>
        <w:tc>
          <w:tcPr>
            <w:tcW w:w="3913"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bCs/>
                <w:sz w:val="24"/>
                <w:szCs w:val="24"/>
              </w:rPr>
              <w:t>Vertinimo kriterijai</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rPr>
            </w:pPr>
            <w:r>
              <w:rPr>
                <w:rFonts w:eastAsia="Times New Roman" w:cs="Times New Roman" w:ascii="Times New Roman" w:hAnsi="Times New Roman"/>
                <w:bCs/>
                <w:sz w:val="24"/>
                <w:szCs w:val="24"/>
              </w:rPr>
              <w:t>Kokybės kriterijaus parametrui suteikiami balai</w:t>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bCs/>
                <w:sz w:val="24"/>
                <w:szCs w:val="24"/>
              </w:rPr>
              <w:t>Lyginamasis svoris ekonominio naudingumo įvertinime</w:t>
            </w:r>
          </w:p>
        </w:tc>
      </w:tr>
      <w:tr>
        <w:trPr>
          <w:trHeight w:val="379" w:hRule="atLeast"/>
        </w:trPr>
        <w:tc>
          <w:tcPr>
            <w:tcW w:w="616"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sz w:val="24"/>
                <w:szCs w:val="24"/>
              </w:rPr>
              <w:t>1.</w:t>
            </w:r>
          </w:p>
        </w:tc>
        <w:tc>
          <w:tcPr>
            <w:tcW w:w="3913"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rPr>
            </w:pPr>
            <w:r>
              <w:rPr>
                <w:rFonts w:cs="Times New Roman" w:ascii="Times New Roman" w:hAnsi="Times New Roman"/>
                <w:b/>
                <w:bCs/>
                <w:sz w:val="24"/>
                <w:szCs w:val="24"/>
              </w:rPr>
              <w:t>Pasiūlymo kaina (C)</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sz w:val="24"/>
                <w:szCs w:val="24"/>
              </w:rPr>
              <w:t>X=85</w:t>
            </w:r>
          </w:p>
        </w:tc>
      </w:tr>
      <w:tr>
        <w:trPr>
          <w:trHeight w:val="261" w:hRule="atLeast"/>
        </w:trPr>
        <w:tc>
          <w:tcPr>
            <w:tcW w:w="616"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sz w:val="24"/>
                <w:szCs w:val="24"/>
              </w:rPr>
              <w:t>2.</w:t>
            </w:r>
          </w:p>
        </w:tc>
        <w:tc>
          <w:tcPr>
            <w:tcW w:w="3913"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rPr>
            </w:pPr>
            <w:r>
              <w:rPr>
                <w:rFonts w:cs="Times New Roman" w:ascii="Times New Roman" w:hAnsi="Times New Roman"/>
                <w:b/>
                <w:bCs/>
                <w:sz w:val="24"/>
                <w:szCs w:val="24"/>
              </w:rPr>
              <w:t>Kokybės kriterijus (T)</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hanging="18" w:left="18"/>
              <w:rPr>
                <w:rFonts w:ascii="Times New Roman" w:hAnsi="Times New Roman" w:cs="Times New Roman"/>
                <w:sz w:val="24"/>
                <w:szCs w:val="24"/>
              </w:rPr>
            </w:pPr>
            <w:r>
              <w:rPr>
                <w:rFonts w:cs="Times New Roman" w:ascii="Times New Roman" w:hAnsi="Times New Roman"/>
                <w:sz w:val="24"/>
                <w:szCs w:val="24"/>
              </w:rPr>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ind w:firstLine="262" w:left="-262"/>
              <w:rPr>
                <w:rFonts w:ascii="Times New Roman" w:hAnsi="Times New Roman" w:cs="Times New Roman"/>
                <w:sz w:val="24"/>
                <w:szCs w:val="24"/>
              </w:rPr>
            </w:pPr>
            <w:r>
              <w:rPr>
                <w:rFonts w:cs="Times New Roman" w:ascii="Times New Roman" w:hAnsi="Times New Roman"/>
                <w:sz w:val="24"/>
                <w:szCs w:val="24"/>
              </w:rPr>
            </w:r>
          </w:p>
        </w:tc>
      </w:tr>
      <w:tr>
        <w:trPr>
          <w:trHeight w:val="906" w:hRule="atLeast"/>
        </w:trPr>
        <w:tc>
          <w:tcPr>
            <w:tcW w:w="616"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sz w:val="24"/>
                <w:szCs w:val="24"/>
              </w:rPr>
              <w:t>2.1.</w:t>
            </w:r>
          </w:p>
        </w:tc>
        <w:tc>
          <w:tcPr>
            <w:tcW w:w="3913"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firstLine="261" w:left="-261"/>
              <w:rPr>
                <w:rFonts w:ascii="Times New Roman" w:hAnsi="Times New Roman"/>
              </w:rPr>
            </w:pPr>
            <w:r>
              <w:rPr>
                <w:rFonts w:cs="Times New Roman" w:ascii="Times New Roman" w:hAnsi="Times New Roman"/>
                <w:i/>
                <w:sz w:val="24"/>
                <w:szCs w:val="24"/>
              </w:rPr>
              <w:t xml:space="preserve">Pirmas parametras </w:t>
            </w:r>
            <w:r>
              <w:rPr>
                <w:rFonts w:cs="Times New Roman" w:ascii="Times New Roman" w:hAnsi="Times New Roman"/>
                <w:sz w:val="24"/>
                <w:szCs w:val="24"/>
              </w:rPr>
              <w:t>(P</w:t>
            </w:r>
            <w:r>
              <w:rPr>
                <w:rFonts w:cs="Times New Roman" w:ascii="Times New Roman" w:hAnsi="Times New Roman"/>
                <w:sz w:val="24"/>
                <w:szCs w:val="24"/>
                <w:vertAlign w:val="subscript"/>
              </w:rPr>
              <w:t>1</w:t>
            </w:r>
            <w:r>
              <w:rPr>
                <w:rFonts w:cs="Times New Roman" w:ascii="Times New Roman" w:hAnsi="Times New Roman"/>
                <w:sz w:val="24"/>
                <w:szCs w:val="24"/>
              </w:rPr>
              <w:t>)</w:t>
            </w:r>
          </w:p>
          <w:p>
            <w:pPr>
              <w:pStyle w:val="Normal"/>
              <w:spacing w:lineRule="auto" w:line="240" w:before="0" w:after="0"/>
              <w:rPr>
                <w:rFonts w:ascii="Times New Roman" w:hAnsi="Times New Roman"/>
              </w:rPr>
            </w:pPr>
            <w:r>
              <w:rPr>
                <w:rFonts w:cs="Times New Roman" w:ascii="Times New Roman" w:hAnsi="Times New Roman"/>
                <w:sz w:val="24"/>
                <w:szCs w:val="24"/>
              </w:rPr>
              <w:t>Siūlomų specialistų kvalifikaciją patvirtinantys sertifikatai</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hanging="18" w:left="18"/>
              <w:rPr>
                <w:rFonts w:ascii="Times New Roman" w:hAnsi="Times New Roman"/>
              </w:rPr>
            </w:pPr>
            <w:r>
              <w:rPr>
                <w:rFonts w:cs="Times New Roman" w:ascii="Times New Roman" w:hAnsi="Times New Roman"/>
                <w:sz w:val="24"/>
                <w:szCs w:val="24"/>
              </w:rPr>
              <w:t>Maksimalus balų skaičius: 5 balai</w:t>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ind w:firstLine="262" w:left="-262"/>
              <w:rPr>
                <w:rFonts w:ascii="Times New Roman" w:hAnsi="Times New Roman"/>
              </w:rPr>
            </w:pPr>
            <w:r>
              <w:rPr>
                <w:rFonts w:cs="Times New Roman" w:ascii="Times New Roman" w:hAnsi="Times New Roman"/>
                <w:sz w:val="24"/>
                <w:szCs w:val="24"/>
              </w:rPr>
              <w:t>Y</w:t>
            </w:r>
            <w:r>
              <w:rPr>
                <w:rFonts w:cs="Times New Roman" w:ascii="Times New Roman" w:hAnsi="Times New Roman"/>
                <w:sz w:val="24"/>
                <w:szCs w:val="24"/>
                <w:vertAlign w:val="subscript"/>
              </w:rPr>
              <w:t xml:space="preserve"> </w:t>
            </w:r>
            <w:r>
              <w:rPr>
                <w:rFonts w:cs="Times New Roman" w:ascii="Times New Roman" w:hAnsi="Times New Roman"/>
                <w:sz w:val="24"/>
                <w:szCs w:val="24"/>
              </w:rPr>
              <w:t>=15</w:t>
            </w:r>
          </w:p>
        </w:tc>
      </w:tr>
    </w:tbl>
    <w:p>
      <w:pPr>
        <w:pStyle w:val="ListParagraph"/>
        <w:tabs>
          <w:tab w:val="clear" w:pos="1296"/>
          <w:tab w:val="left" w:pos="284" w:leader="none"/>
          <w:tab w:val="left" w:pos="567" w:leader="none"/>
        </w:tabs>
        <w:spacing w:lineRule="auto" w:line="240" w:before="0" w:after="0"/>
        <w:ind w:left="36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0"/>
        </w:numPr>
        <w:tabs>
          <w:tab w:val="clear" w:pos="1296"/>
          <w:tab w:val="left" w:pos="284" w:leader="none"/>
          <w:tab w:val="left" w:pos="567" w:leader="none"/>
        </w:tabs>
        <w:spacing w:lineRule="auto" w:line="240" w:before="0" w:after="0"/>
        <w:ind w:firstLine="360" w:left="0"/>
        <w:contextualSpacing/>
        <w:jc w:val="both"/>
        <w:rPr>
          <w:rFonts w:ascii="Times New Roman" w:hAnsi="Times New Roman"/>
        </w:rPr>
      </w:pPr>
      <w:r>
        <w:rPr>
          <w:rFonts w:cs="Times New Roman" w:ascii="Times New Roman" w:hAnsi="Times New Roman"/>
          <w:sz w:val="24"/>
          <w:szCs w:val="24"/>
        </w:rPr>
        <w:t>Pasiūlymo ekonominis naudingumas (EN) apskaičiuojamas sudedant tiekėjo Pasiūlymo kainos (C) ir kokybės kriterijaus (T) balus (ekonominio naudingumo balas apvalinimas dviejų skaitmenų po kablelio tikslumu):</w:t>
      </w:r>
    </w:p>
    <w:p>
      <w:pPr>
        <w:pStyle w:val="Normal"/>
        <w:tabs>
          <w:tab w:val="clear" w:pos="1296"/>
          <w:tab w:val="left" w:pos="0" w:leader="none"/>
          <w:tab w:val="left" w:pos="567" w:leader="none"/>
        </w:tabs>
        <w:spacing w:lineRule="auto" w:line="240" w:before="0" w:after="0"/>
        <w:jc w:val="center"/>
        <w:rPr>
          <w:rFonts w:ascii="Times New Roman" w:hAnsi="Times New Roman"/>
        </w:rPr>
      </w:pPr>
      <w:r>
        <w:rPr>
          <w:rFonts w:cs="Times New Roman" w:ascii="Times New Roman" w:hAnsi="Times New Roman"/>
          <w:b/>
          <w:i/>
          <w:sz w:val="24"/>
          <w:szCs w:val="24"/>
        </w:rPr>
        <w:t>EN = C + T</w:t>
      </w:r>
    </w:p>
    <w:p>
      <w:pPr>
        <w:pStyle w:val="Normal"/>
        <w:tabs>
          <w:tab w:val="clear" w:pos="1296"/>
          <w:tab w:val="left" w:pos="0" w:leader="none"/>
          <w:tab w:val="left" w:pos="567"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84" w:leader="none"/>
        </w:tabs>
        <w:spacing w:lineRule="auto" w:line="240" w:before="0" w:after="0"/>
        <w:ind w:firstLine="426"/>
        <w:jc w:val="both"/>
        <w:rPr>
          <w:rFonts w:ascii="Times New Roman" w:hAnsi="Times New Roman"/>
        </w:rPr>
      </w:pPr>
      <w:r>
        <w:rPr>
          <w:rFonts w:cs="Times New Roman" w:ascii="Times New Roman" w:hAnsi="Times New Roman"/>
          <w:sz w:val="24"/>
          <w:szCs w:val="24"/>
        </w:rPr>
        <w:t>3. Kriterijaus „Pasiūlymo kaina“ (C) balai apskaičiuojami mažiausios pasiūlytos pasiūlymo kainos (C</w:t>
      </w:r>
      <w:r>
        <w:rPr>
          <w:rFonts w:cs="Times New Roman" w:ascii="Times New Roman" w:hAnsi="Times New Roman"/>
          <w:sz w:val="24"/>
          <w:szCs w:val="24"/>
          <w:vertAlign w:val="subscript"/>
        </w:rPr>
        <w:t>min</w:t>
      </w:r>
      <w:r>
        <w:rPr>
          <w:rFonts w:cs="Times New Roman" w:ascii="Times New Roman" w:hAnsi="Times New Roman"/>
          <w:sz w:val="24"/>
          <w:szCs w:val="24"/>
        </w:rPr>
        <w:t>) ir vertinamo pasiūlymo kainos (C</w:t>
      </w:r>
      <w:r>
        <w:rPr>
          <w:rFonts w:cs="Times New Roman" w:ascii="Times New Roman" w:hAnsi="Times New Roman"/>
          <w:sz w:val="24"/>
          <w:szCs w:val="24"/>
          <w:vertAlign w:val="subscript"/>
        </w:rPr>
        <w:t>p</w:t>
      </w:r>
      <w:r>
        <w:rPr>
          <w:rFonts w:cs="Times New Roman" w:ascii="Times New Roman" w:hAnsi="Times New Roman"/>
          <w:sz w:val="24"/>
          <w:szCs w:val="24"/>
        </w:rPr>
        <w:t>) santykį padauginant iš kainos lyginamojo svorio (X) pagal šią formulę:</w:t>
      </w:r>
    </w:p>
    <w:p>
      <w:pPr>
        <w:pStyle w:val="Normal"/>
        <w:tabs>
          <w:tab w:val="clear" w:pos="1296"/>
          <w:tab w:val="left" w:pos="284" w:leader="none"/>
        </w:tabs>
        <w:spacing w:lineRule="auto" w:line="240" w:before="0" w:after="0"/>
        <w:jc w:val="center"/>
        <w:rPr>
          <w:rFonts w:ascii="Times New Roman" w:hAnsi="Times New Roman"/>
        </w:rPr>
      </w:pPr>
      <w:r>
        <w:rPr/>
        <w:drawing>
          <wp:inline distT="0" distB="0" distL="0" distR="0">
            <wp:extent cx="777240" cy="464820"/>
            <wp:effectExtent l="0" t="0" r="0" b="0"/>
            <wp:docPr id="1" name="Paveikslėlis 1 Copy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Copy 1" descr="Shape  Description automatically generated with medium confidence"/>
                    <pic:cNvPicPr>
                      <a:picLocks noChangeAspect="1" noChangeArrowheads="1"/>
                    </pic:cNvPicPr>
                  </pic:nvPicPr>
                  <pic:blipFill>
                    <a:blip r:embed="rId15"/>
                    <a:stretch>
                      <a:fillRect/>
                    </a:stretch>
                  </pic:blipFill>
                  <pic:spPr bwMode="auto">
                    <a:xfrm>
                      <a:off x="0" y="0"/>
                      <a:ext cx="777240" cy="464820"/>
                    </a:xfrm>
                    <a:prstGeom prst="rect">
                      <a:avLst/>
                    </a:prstGeom>
                  </pic:spPr>
                </pic:pic>
              </a:graphicData>
            </a:graphic>
          </wp:inline>
        </w:drawing>
      </w:r>
    </w:p>
    <w:p>
      <w:pPr>
        <w:pStyle w:val="Normal"/>
        <w:tabs>
          <w:tab w:val="clear" w:pos="1296"/>
          <w:tab w:val="left" w:pos="28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142"/>
        <w:jc w:val="both"/>
        <w:rPr>
          <w:rFonts w:ascii="Times New Roman" w:hAnsi="Times New Roman"/>
        </w:rPr>
      </w:pPr>
      <w:r>
        <w:rPr>
          <w:rFonts w:ascii="Times New Roman" w:hAnsi="Times New Roman"/>
          <w:i/>
        </w:rPr>
        <w:t>C</w:t>
      </w:r>
      <w:r>
        <w:rPr>
          <w:rFonts w:ascii="Times New Roman" w:hAnsi="Times New Roman"/>
        </w:rPr>
        <w:t xml:space="preserve"> – Pasiūlymo kaina konkretaus dalyvio pagal nurodytą kriterijų (balais);</w:t>
      </w:r>
    </w:p>
    <w:p>
      <w:pPr>
        <w:pStyle w:val="Normal"/>
        <w:tabs>
          <w:tab w:val="clear" w:pos="1296"/>
          <w:tab w:val="left" w:pos="709" w:leader="none"/>
        </w:tabs>
        <w:spacing w:lineRule="auto" w:line="240" w:before="0" w:after="0"/>
        <w:ind w:firstLine="142"/>
        <w:jc w:val="both"/>
        <w:rPr>
          <w:rFonts w:ascii="Times New Roman" w:hAnsi="Times New Roman"/>
        </w:rPr>
      </w:pPr>
      <w:r>
        <w:rPr>
          <w:rFonts w:ascii="Times New Roman" w:hAnsi="Times New Roman"/>
          <w:i/>
        </w:rPr>
        <w:t>C</w:t>
      </w:r>
      <w:r>
        <w:rPr>
          <w:rFonts w:ascii="Times New Roman" w:hAnsi="Times New Roman"/>
          <w:i/>
          <w:vertAlign w:val="subscript"/>
        </w:rPr>
        <w:t xml:space="preserve">min </w:t>
      </w:r>
      <w:r>
        <w:rPr>
          <w:rFonts w:ascii="Times New Roman" w:hAnsi="Times New Roman"/>
        </w:rPr>
        <w:t>– visų dalyvių pasiūlymų mažiausia Pasiūlymo kaina (eurais);</w:t>
      </w:r>
    </w:p>
    <w:p>
      <w:pPr>
        <w:pStyle w:val="Normal"/>
        <w:spacing w:lineRule="auto" w:line="240" w:before="0" w:after="0"/>
        <w:ind w:firstLine="142"/>
        <w:jc w:val="both"/>
        <w:rPr>
          <w:rFonts w:ascii="Times New Roman" w:hAnsi="Times New Roman"/>
        </w:rPr>
      </w:pPr>
      <w:r>
        <w:rPr>
          <w:rFonts w:ascii="Times New Roman" w:hAnsi="Times New Roman"/>
          <w:i/>
        </w:rPr>
        <w:t>C</w:t>
      </w:r>
      <w:r>
        <w:rPr>
          <w:rFonts w:ascii="Times New Roman" w:hAnsi="Times New Roman"/>
          <w:i/>
          <w:vertAlign w:val="subscript"/>
        </w:rPr>
        <w:t>p</w:t>
      </w:r>
      <w:r>
        <w:rPr>
          <w:rFonts w:ascii="Times New Roman" w:hAnsi="Times New Roman"/>
          <w:i/>
        </w:rPr>
        <w:t xml:space="preserve"> </w:t>
      </w:r>
      <w:r>
        <w:rPr>
          <w:rFonts w:ascii="Times New Roman" w:hAnsi="Times New Roman"/>
        </w:rPr>
        <w:t xml:space="preserve"> – konkretaus dalyvio pasiūlyta Pasiūlymo kaina (eurais);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rPr>
      </w:pPr>
      <w:r>
        <w:rPr>
          <w:rFonts w:ascii="Times New Roman" w:hAnsi="Times New Roman"/>
          <w:i/>
        </w:rPr>
        <w:t>X</w:t>
      </w:r>
      <w:r>
        <w:rPr>
          <w:rFonts w:ascii="Times New Roman" w:hAnsi="Times New Roman"/>
        </w:rPr>
        <w:t xml:space="preserve"> – lyginamojo svorio ekonominio naudingumo įvertinime koeficientas.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sz w:val="24"/>
          <w:szCs w:val="24"/>
        </w:rPr>
      </w:pPr>
      <w:r>
        <w:rPr>
          <w:rFonts w:ascii="Times New Roman" w:hAnsi="Times New Roman"/>
          <w:sz w:val="24"/>
          <w:szCs w:val="24"/>
        </w:rPr>
      </w:r>
    </w:p>
    <w:p>
      <w:pPr>
        <w:pStyle w:val="Skaiiai2lygis"/>
        <w:numPr>
          <w:ilvl w:val="0"/>
          <w:numId w:val="31"/>
        </w:numPr>
        <w:tabs>
          <w:tab w:val="clear" w:pos="1296"/>
          <w:tab w:val="left" w:pos="851" w:leader="none"/>
        </w:tabs>
        <w:ind w:firstLine="567" w:left="0"/>
        <w:rPr>
          <w:rFonts w:ascii="Times New Roman" w:hAnsi="Times New Roman"/>
        </w:rPr>
      </w:pPr>
      <w:r>
        <w:rPr>
          <w:rFonts w:ascii="Times New Roman" w:hAnsi="Times New Roman"/>
          <w:sz w:val="24"/>
          <w:szCs w:val="24"/>
          <w:lang w:val="lt-LT"/>
        </w:rPr>
        <w:t>Kriterijaus</w:t>
      </w:r>
      <w:r>
        <w:rPr>
          <w:rFonts w:ascii="Times New Roman" w:hAnsi="Times New Roman"/>
          <w:b/>
          <w:sz w:val="24"/>
          <w:szCs w:val="24"/>
          <w:lang w:val="lt-LT"/>
        </w:rPr>
        <w:t xml:space="preserve"> „</w:t>
      </w:r>
      <w:r>
        <w:rPr>
          <w:rFonts w:ascii="Times New Roman" w:hAnsi="Times New Roman"/>
          <w:sz w:val="24"/>
          <w:szCs w:val="24"/>
          <w:lang w:val="lt-LT"/>
        </w:rPr>
        <w:t>Kokybės kriterijus“ (T)</w:t>
      </w:r>
      <w:r>
        <w:rPr>
          <w:rFonts w:ascii="Times New Roman" w:hAnsi="Times New Roman"/>
          <w:b/>
          <w:sz w:val="24"/>
          <w:szCs w:val="24"/>
          <w:lang w:val="lt-LT"/>
        </w:rPr>
        <w:t xml:space="preserve"> </w:t>
      </w:r>
      <w:r>
        <w:rPr>
          <w:rFonts w:ascii="Times New Roman" w:hAnsi="Times New Roman"/>
          <w:sz w:val="24"/>
          <w:szCs w:val="24"/>
          <w:lang w:val="lt-LT"/>
        </w:rPr>
        <w:t>balas lygus parametro (P</w:t>
      </w:r>
      <w:r>
        <w:rPr>
          <w:rFonts w:ascii="Times New Roman" w:hAnsi="Times New Roman"/>
          <w:sz w:val="24"/>
          <w:szCs w:val="24"/>
          <w:vertAlign w:val="subscript"/>
          <w:lang w:val="lt-LT"/>
        </w:rPr>
        <w:t>1</w:t>
      </w:r>
      <w:r>
        <w:rPr>
          <w:rFonts w:ascii="Times New Roman" w:hAnsi="Times New Roman"/>
          <w:sz w:val="24"/>
          <w:szCs w:val="24"/>
          <w:lang w:val="lt-LT"/>
        </w:rPr>
        <w:t>) balui.</w:t>
      </w:r>
    </w:p>
    <w:p>
      <w:pPr>
        <w:pStyle w:val="Normal"/>
        <w:tabs>
          <w:tab w:val="clear" w:pos="1296"/>
          <w:tab w:val="left" w:pos="1080" w:leader="none"/>
        </w:tabs>
        <w:spacing w:lineRule="auto" w:line="240" w:before="0" w:after="0"/>
        <w:ind w:firstLine="360"/>
        <w:jc w:val="center"/>
        <w:rPr>
          <w:rFonts w:ascii="Times New Roman" w:hAnsi="Times New Roman"/>
        </w:rPr>
      </w:pPr>
      <w:r>
        <w:rPr>
          <w:rFonts w:cs="Times New Roman" w:ascii="Times New Roman" w:hAnsi="Times New Roman"/>
          <w:b/>
          <w:sz w:val="24"/>
          <w:szCs w:val="24"/>
        </w:rPr>
        <w:t>T= P</w:t>
      </w:r>
      <w:r>
        <w:rPr>
          <w:rFonts w:cs="Times New Roman" w:ascii="Times New Roman" w:hAnsi="Times New Roman"/>
          <w:b/>
          <w:sz w:val="24"/>
          <w:szCs w:val="24"/>
          <w:vertAlign w:val="subscript"/>
        </w:rPr>
        <w:t>1</w:t>
      </w:r>
      <w:r>
        <w:rPr>
          <w:rFonts w:ascii="Times New Roman" w:hAnsi="Times New Roman"/>
          <w:b/>
          <w:sz w:val="24"/>
          <w:szCs w:val="24"/>
        </w:rPr>
        <w:t xml:space="preserve"> </w:t>
      </w:r>
    </w:p>
    <w:p>
      <w:pPr>
        <w:pStyle w:val="Normal"/>
        <w:tabs>
          <w:tab w:val="clear" w:pos="1296"/>
          <w:tab w:val="left" w:pos="28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84" w:leader="none"/>
        </w:tabs>
        <w:spacing w:lineRule="auto" w:line="240" w:before="0" w:after="0"/>
        <w:ind w:firstLine="709"/>
        <w:jc w:val="both"/>
        <w:rPr>
          <w:rFonts w:ascii="Times New Roman" w:hAnsi="Times New Roman"/>
        </w:rPr>
      </w:pPr>
      <w:bookmarkStart w:id="64" w:name="_2et92p0_Copy_1"/>
      <w:bookmarkEnd w:id="64"/>
      <w:r>
        <w:rPr>
          <w:rFonts w:cs="Times New Roman" w:ascii="Times New Roman" w:hAnsi="Times New Roman"/>
          <w:sz w:val="24"/>
          <w:szCs w:val="24"/>
        </w:rPr>
        <w:t>5. Kriterijaus parametro „Siūlomų specialistų kvalifikaciją patvirtinantys sertifikatai“ (P</w:t>
      </w:r>
      <w:r>
        <w:rPr>
          <w:rFonts w:cs="Times New Roman" w:ascii="Times New Roman" w:hAnsi="Times New Roman"/>
          <w:sz w:val="24"/>
          <w:szCs w:val="24"/>
          <w:vertAlign w:val="subscript"/>
        </w:rPr>
        <w:t>1</w:t>
      </w:r>
      <w:r>
        <w:rPr>
          <w:rFonts w:cs="Times New Roman" w:ascii="Times New Roman" w:hAnsi="Times New Roman"/>
          <w:sz w:val="24"/>
          <w:szCs w:val="24"/>
        </w:rPr>
        <w:t>) įvertinimas  apskaičiuojamas kriterijaus įvertinimo sumą (P</w:t>
      </w:r>
      <w:r>
        <w:rPr>
          <w:rFonts w:cs="Times New Roman" w:ascii="Times New Roman" w:hAnsi="Times New Roman"/>
          <w:sz w:val="24"/>
          <w:szCs w:val="24"/>
          <w:vertAlign w:val="subscript"/>
        </w:rPr>
        <w:t>s</w:t>
      </w:r>
      <w:r>
        <w:rPr>
          <w:rFonts w:cs="Times New Roman" w:ascii="Times New Roman" w:hAnsi="Times New Roman"/>
          <w:sz w:val="24"/>
          <w:szCs w:val="24"/>
        </w:rPr>
        <w:t>) padalinant iš maksimalios (didžiausios galimos) šio kriterijaus parametrų reikšmės (P</w:t>
      </w:r>
      <w:r>
        <w:rPr>
          <w:rFonts w:cs="Times New Roman" w:ascii="Times New Roman" w:hAnsi="Times New Roman"/>
          <w:sz w:val="24"/>
          <w:szCs w:val="24"/>
          <w:vertAlign w:val="subscript"/>
        </w:rPr>
        <w:t>max</w:t>
      </w:r>
      <w:r>
        <w:rPr>
          <w:rFonts w:cs="Times New Roman" w:ascii="Times New Roman" w:hAnsi="Times New Roman"/>
          <w:sz w:val="24"/>
          <w:szCs w:val="24"/>
        </w:rPr>
        <w:t>) bei padauginant iš vertinamo kriterijaus lyginamojo svorio ekonominio naudingumo įvertinime (Y</w:t>
      </w:r>
      <w:r>
        <w:rPr>
          <w:rFonts w:cs="Times New Roman" w:ascii="Times New Roman" w:hAnsi="Times New Roman"/>
          <w:sz w:val="24"/>
          <w:szCs w:val="24"/>
          <w:vertAlign w:val="subscript"/>
        </w:rPr>
        <w:t>1</w:t>
      </w:r>
      <w:r>
        <w:rPr>
          <w:rFonts w:cs="Times New Roman" w:ascii="Times New Roman" w:hAnsi="Times New Roman"/>
          <w:sz w:val="24"/>
          <w:szCs w:val="24"/>
        </w:rPr>
        <w:t>) pagal šią formulę:</w:t>
      </w:r>
    </w:p>
    <w:p>
      <w:pPr>
        <w:pStyle w:val="Normal"/>
        <w:tabs>
          <w:tab w:val="clear" w:pos="1296"/>
          <w:tab w:val="left" w:pos="284" w:leader="none"/>
        </w:tabs>
        <w:spacing w:lineRule="auto" w:line="240" w:before="0" w:after="0"/>
        <w:jc w:val="center"/>
        <w:rPr>
          <w:rFonts w:ascii="Times New Roman" w:hAnsi="Times New Roman"/>
        </w:rPr>
      </w:pPr>
      <w:r>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s</m:t>
                  </m:r>
                </m:sub>
              </m:sSub>
            </m:num>
            <m:den>
              <m:sSub>
                <m:e>
                  <m:r>
                    <w:rPr>
                      <w:rFonts w:ascii="Cambria Math" w:hAnsi="Cambria Math"/>
                    </w:rPr>
                    <m:t xml:space="preserve">P</m:t>
                  </m:r>
                </m:e>
                <m:sub>
                  <m:r>
                    <w:rPr>
                      <w:rFonts w:ascii="Cambria Math" w:hAnsi="Cambria Math"/>
                    </w:rPr>
                    <m:t xml:space="preserve">max</m:t>
                  </m:r>
                </m:sub>
              </m:sSub>
            </m:den>
          </m:f>
          <m:r>
            <w:rPr>
              <w:rFonts w:ascii="Cambria Math" w:hAnsi="Cambria Math"/>
            </w:rPr>
            <m:t xml:space="preserve">×</m:t>
          </m:r>
          <m:sSub>
            <m:e>
              <m:r>
                <w:rPr>
                  <w:rFonts w:ascii="Cambria Math" w:hAnsi="Cambria Math"/>
                </w:rPr>
                <m:t xml:space="preserve">Y</m:t>
              </m:r>
            </m:e>
            <m:sub/>
          </m:sSub>
        </m:oMath>
      </m:oMathPara>
    </w:p>
    <w:p>
      <w:pPr>
        <w:pStyle w:val="Normal"/>
        <w:spacing w:lineRule="auto" w:line="240" w:before="0" w:after="0"/>
        <w:ind w:firstLine="142"/>
        <w:jc w:val="both"/>
        <w:rPr>
          <w:rFonts w:ascii="Times New Roman" w:hAnsi="Times New Roman"/>
          <w:sz w:val="22"/>
          <w:szCs w:val="22"/>
        </w:rPr>
      </w:pPr>
      <w:r>
        <w:rPr>
          <w:rFonts w:ascii="Times New Roman" w:hAnsi="Times New Roman"/>
          <w:sz w:val="22"/>
          <w:szCs w:val="22"/>
        </w:rPr>
      </w:r>
    </w:p>
    <w:p>
      <w:pPr>
        <w:pStyle w:val="Normal"/>
        <w:spacing w:lineRule="auto" w:line="240" w:before="0" w:after="0"/>
        <w:ind w:firstLine="142"/>
        <w:jc w:val="both"/>
        <w:rPr>
          <w:rFonts w:ascii="Times New Roman" w:hAnsi="Times New Roman"/>
        </w:rPr>
      </w:pPr>
      <w:r>
        <w:rPr>
          <w:rFonts w:cs="Times New Roman" w:ascii="Times New Roman" w:hAnsi="Times New Roman"/>
        </w:rPr>
        <w:t>P</w:t>
      </w:r>
      <w:r>
        <w:rPr>
          <w:rFonts w:cs="Times New Roman" w:ascii="Times New Roman" w:hAnsi="Times New Roman"/>
          <w:vertAlign w:val="subscript"/>
        </w:rPr>
        <w:t xml:space="preserve">1 </w:t>
      </w:r>
      <w:r>
        <w:rPr>
          <w:rFonts w:ascii="Times New Roman" w:hAnsi="Times New Roman"/>
          <w:iCs/>
        </w:rPr>
        <w:t>–</w:t>
      </w:r>
      <w:r>
        <w:rPr>
          <w:rFonts w:cs="Times New Roman" w:ascii="Times New Roman" w:hAnsi="Times New Roman"/>
          <w:b/>
          <w:bCs/>
          <w:vertAlign w:val="subscript"/>
        </w:rPr>
        <w:t xml:space="preserve"> </w:t>
      </w:r>
      <w:r>
        <w:rPr>
          <w:rFonts w:ascii="Times New Roman" w:hAnsi="Times New Roman"/>
        </w:rPr>
        <w:t>konkretaus dalyvio pasiūlymo įvertinimas pagal nurodytą kriterijų (balais);</w:t>
      </w:r>
    </w:p>
    <w:p>
      <w:pPr>
        <w:pStyle w:val="Normal"/>
        <w:tabs>
          <w:tab w:val="clear" w:pos="1296"/>
          <w:tab w:val="left" w:pos="709" w:leader="none"/>
        </w:tabs>
        <w:spacing w:lineRule="auto" w:line="240" w:before="0" w:after="0"/>
        <w:ind w:firstLine="142"/>
        <w:jc w:val="both"/>
        <w:rPr>
          <w:rFonts w:ascii="Times New Roman" w:hAnsi="Times New Roman"/>
        </w:rPr>
      </w:pPr>
      <w:r>
        <w:rPr>
          <w:rFonts w:ascii="Times New Roman" w:hAnsi="Times New Roman"/>
          <w:iCs/>
        </w:rPr>
        <w:t>P</w:t>
      </w:r>
      <w:r>
        <w:rPr>
          <w:rFonts w:ascii="Times New Roman" w:hAnsi="Times New Roman"/>
          <w:iCs/>
          <w:vertAlign w:val="subscript"/>
        </w:rPr>
        <w:t xml:space="preserve">s  </w:t>
      </w:r>
      <w:r>
        <w:rPr>
          <w:rFonts w:cs="Times New Roman" w:ascii="Times New Roman" w:hAnsi="Times New Roman"/>
          <w:iCs/>
        </w:rPr>
        <w:t xml:space="preserve">– konkretaus dalyvio kriterijaus parametrų </w:t>
      </w:r>
      <w:r>
        <w:rPr>
          <w:rFonts w:cs="Times New Roman" w:ascii="Times New Roman" w:hAnsi="Times New Roman"/>
        </w:rPr>
        <w:t>(R</w:t>
      </w:r>
      <w:r>
        <w:rPr>
          <w:rFonts w:cs="Times New Roman" w:ascii="Times New Roman" w:hAnsi="Times New Roman"/>
          <w:vertAlign w:val="subscript"/>
        </w:rPr>
        <w:t>1</w:t>
      </w:r>
      <w:r>
        <w:rPr>
          <w:rFonts w:cs="Times New Roman" w:ascii="Times New Roman" w:hAnsi="Times New Roman"/>
        </w:rPr>
        <w:t>+R</w:t>
      </w:r>
      <w:r>
        <w:rPr>
          <w:rFonts w:cs="Times New Roman" w:ascii="Times New Roman" w:hAnsi="Times New Roman"/>
          <w:vertAlign w:val="subscript"/>
        </w:rPr>
        <w:t xml:space="preserve">2 </w:t>
      </w:r>
      <w:r>
        <w:rPr>
          <w:rFonts w:cs="Times New Roman" w:ascii="Times New Roman" w:hAnsi="Times New Roman"/>
        </w:rPr>
        <w:t>+ R</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iCs/>
        </w:rPr>
        <w:t>įvertinimo suma;</w:t>
      </w:r>
    </w:p>
    <w:p>
      <w:pPr>
        <w:pStyle w:val="Normal"/>
        <w:spacing w:lineRule="auto" w:line="240" w:before="0" w:after="0"/>
        <w:ind w:firstLine="142"/>
        <w:jc w:val="both"/>
        <w:rPr>
          <w:rFonts w:ascii="Times New Roman" w:hAnsi="Times New Roman"/>
        </w:rPr>
      </w:pPr>
      <w:r>
        <w:rPr>
          <w:rFonts w:cs="Times New Roman" w:ascii="Times New Roman" w:hAnsi="Times New Roman"/>
          <w:iCs/>
        </w:rPr>
        <w:t>P</w:t>
      </w:r>
      <w:r>
        <w:rPr>
          <w:rFonts w:cs="Times New Roman" w:ascii="Times New Roman" w:hAnsi="Times New Roman"/>
          <w:iCs/>
          <w:vertAlign w:val="subscript"/>
        </w:rPr>
        <w:t>max</w:t>
      </w:r>
      <w:r>
        <w:rPr>
          <w:rFonts w:cs="Times New Roman" w:ascii="Times New Roman" w:hAnsi="Times New Roman"/>
          <w:iCs/>
        </w:rPr>
        <w:t xml:space="preserve">  - maksimali (didžiausia galima) parametrų rei</w:t>
      </w:r>
      <w:r>
        <w:rPr>
          <w:rFonts w:cs="Times New Roman" w:ascii="Times New Roman" w:hAnsi="Times New Roman"/>
          <w:iCs/>
          <w:shd w:fill="FFFFFF" w:val="clear"/>
        </w:rPr>
        <w:t>kšmė (5);</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rPr>
      </w:pPr>
      <w:r>
        <w:rPr>
          <w:rFonts w:cs="Times New Roman" w:ascii="Times New Roman" w:hAnsi="Times New Roman"/>
          <w:iCs/>
        </w:rPr>
        <w:t>Y</w:t>
      </w:r>
      <w:r>
        <w:rPr>
          <w:rFonts w:cs="Times New Roman" w:ascii="Times New Roman" w:hAnsi="Times New Roman"/>
        </w:rPr>
        <w:t xml:space="preserve"> – lyginamojo svorio </w:t>
      </w:r>
      <w:r>
        <w:rPr>
          <w:rFonts w:ascii="Times New Roman" w:hAnsi="Times New Roman"/>
        </w:rPr>
        <w:t xml:space="preserve">ekonominio naudingumo įvertinime </w:t>
      </w:r>
      <w:r>
        <w:rPr>
          <w:rFonts w:cs="Times New Roman" w:ascii="Times New Roman" w:hAnsi="Times New Roman"/>
        </w:rPr>
        <w:t>koeficientas.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714" w:leader="none"/>
          <w:tab w:val="left" w:pos="851" w:leader="none"/>
          <w:tab w:val="left" w:pos="1134" w:leader="none"/>
        </w:tabs>
        <w:spacing w:lineRule="auto" w:line="240" w:before="0" w:after="0"/>
        <w:ind w:firstLine="567"/>
        <w:jc w:val="both"/>
        <w:rPr>
          <w:rFonts w:ascii="Times New Roman" w:hAnsi="Times New Roman"/>
        </w:rPr>
      </w:pPr>
      <w:r>
        <w:rPr>
          <w:rFonts w:cs="Times New Roman" w:ascii="Times New Roman" w:hAnsi="Times New Roman"/>
          <w:sz w:val="24"/>
          <w:szCs w:val="24"/>
        </w:rPr>
        <w:t>6. Parametro reikšmė (P</w:t>
      </w:r>
      <w:r>
        <w:rPr>
          <w:rFonts w:cs="Times New Roman" w:ascii="Times New Roman" w:hAnsi="Times New Roman"/>
          <w:sz w:val="24"/>
          <w:szCs w:val="24"/>
          <w:vertAlign w:val="subscript"/>
        </w:rPr>
        <w:t>s</w:t>
      </w:r>
      <w:r>
        <w:rPr>
          <w:rFonts w:cs="Times New Roman" w:ascii="Times New Roman" w:hAnsi="Times New Roman"/>
          <w:sz w:val="24"/>
          <w:szCs w:val="24"/>
        </w:rPr>
        <w:t>) apskaičiuojama sudėjus (R</w:t>
      </w:r>
      <w:r>
        <w:rPr>
          <w:rFonts w:cs="Times New Roman" w:ascii="Times New Roman" w:hAnsi="Times New Roman"/>
          <w:sz w:val="24"/>
          <w:szCs w:val="24"/>
          <w:vertAlign w:val="subscript"/>
        </w:rPr>
        <w:t>1</w:t>
      </w:r>
      <w:r>
        <w:rPr>
          <w:rFonts w:cs="Times New Roman" w:ascii="Times New Roman" w:hAnsi="Times New Roman"/>
          <w:sz w:val="24"/>
          <w:szCs w:val="24"/>
        </w:rPr>
        <w:t>+R</w:t>
      </w:r>
      <w:r>
        <w:rPr>
          <w:rFonts w:cs="Times New Roman" w:ascii="Times New Roman" w:hAnsi="Times New Roman"/>
          <w:sz w:val="24"/>
          <w:szCs w:val="24"/>
          <w:vertAlign w:val="subscript"/>
        </w:rPr>
        <w:t xml:space="preserve">2 </w:t>
      </w:r>
      <w:r>
        <w:rPr>
          <w:rFonts w:cs="Times New Roman" w:ascii="Times New Roman" w:hAnsi="Times New Roman"/>
        </w:rPr>
        <w:t>+</w:t>
      </w:r>
      <w:r>
        <w:rPr>
          <w:rFonts w:cs="Times New Roman" w:ascii="Times New Roman" w:hAnsi="Times New Roman"/>
          <w:sz w:val="24"/>
          <w:szCs w:val="24"/>
        </w:rPr>
        <w:t>R</w:t>
      </w:r>
      <w:r>
        <w:rPr>
          <w:rFonts w:cs="Times New Roman" w:ascii="Times New Roman" w:hAnsi="Times New Roman"/>
          <w:vertAlign w:val="subscript"/>
        </w:rPr>
        <w:t>3</w:t>
      </w:r>
      <w:r>
        <w:rPr>
          <w:rFonts w:cs="Times New Roman" w:ascii="Times New Roman" w:hAnsi="Times New Roman"/>
          <w:sz w:val="24"/>
          <w:szCs w:val="24"/>
        </w:rPr>
        <w:t>) visus už siūlomų specialistų kvalifikaciją patvirtinančius sertifikatus suteiktus balus:</w:t>
      </w:r>
    </w:p>
    <w:p>
      <w:pPr>
        <w:pStyle w:val="ListParagraph"/>
        <w:tabs>
          <w:tab w:val="clear" w:pos="1296"/>
          <w:tab w:val="left" w:pos="1134" w:leader="none"/>
          <w:tab w:val="left" w:pos="1276" w:leader="none"/>
        </w:tabs>
        <w:spacing w:lineRule="auto" w:line="240" w:before="0" w:after="0"/>
        <w:ind w:left="851"/>
        <w:contextualSpacing/>
        <w:jc w:val="center"/>
        <w:rPr>
          <w:rFonts w:ascii="Times New Roman" w:hAnsi="Times New Roman"/>
        </w:rPr>
      </w:pPr>
      <w:r>
        <w:rPr>
          <w:rFonts w:cs="Times New Roman" w:ascii="Times New Roman" w:hAnsi="Times New Roman"/>
          <w:b/>
          <w:sz w:val="24"/>
          <w:szCs w:val="24"/>
        </w:rPr>
        <w:t>P</w:t>
      </w:r>
      <w:r>
        <w:rPr>
          <w:rFonts w:cs="Times New Roman" w:ascii="Times New Roman" w:hAnsi="Times New Roman"/>
          <w:b/>
          <w:sz w:val="24"/>
          <w:szCs w:val="24"/>
          <w:vertAlign w:val="subscript"/>
        </w:rPr>
        <w:t>s</w:t>
      </w:r>
      <w:r>
        <w:rPr>
          <w:rFonts w:cs="Times New Roman" w:ascii="Times New Roman" w:hAnsi="Times New Roman"/>
          <w:b/>
          <w:sz w:val="24"/>
          <w:szCs w:val="24"/>
        </w:rPr>
        <w:t>=R</w:t>
      </w:r>
      <w:r>
        <w:rPr>
          <w:rFonts w:cs="Times New Roman" w:ascii="Times New Roman" w:hAnsi="Times New Roman"/>
          <w:b/>
          <w:sz w:val="24"/>
          <w:szCs w:val="24"/>
          <w:vertAlign w:val="subscript"/>
        </w:rPr>
        <w:t>1</w:t>
      </w:r>
      <w:r>
        <w:rPr>
          <w:rFonts w:cs="Times New Roman" w:ascii="Times New Roman" w:hAnsi="Times New Roman"/>
          <w:b/>
          <w:sz w:val="24"/>
          <w:szCs w:val="24"/>
        </w:rPr>
        <w:t>+R</w:t>
      </w:r>
      <w:r>
        <w:rPr>
          <w:rFonts w:cs="Times New Roman" w:ascii="Times New Roman" w:hAnsi="Times New Roman"/>
          <w:b/>
          <w:sz w:val="24"/>
          <w:szCs w:val="24"/>
          <w:vertAlign w:val="subscript"/>
        </w:rPr>
        <w:t>2</w:t>
      </w:r>
      <w:r>
        <w:rPr>
          <w:rFonts w:cs="Times New Roman" w:ascii="Times New Roman" w:hAnsi="Times New Roman"/>
          <w:b/>
        </w:rPr>
        <w:t xml:space="preserve">+ </w:t>
      </w:r>
      <w:r>
        <w:rPr>
          <w:rFonts w:cs="Times New Roman" w:ascii="Times New Roman" w:hAnsi="Times New Roman"/>
          <w:b/>
          <w:sz w:val="24"/>
          <w:szCs w:val="24"/>
        </w:rPr>
        <w:t>R</w:t>
      </w:r>
      <w:r>
        <w:rPr>
          <w:rFonts w:cs="Times New Roman" w:ascii="Times New Roman" w:hAnsi="Times New Roman"/>
          <w:b/>
          <w:vertAlign w:val="subscript"/>
        </w:rPr>
        <w:t>3</w:t>
      </w:r>
    </w:p>
    <w:p>
      <w:pPr>
        <w:pStyle w:val="ListParagraph"/>
        <w:tabs>
          <w:tab w:val="clear" w:pos="1296"/>
          <w:tab w:val="left" w:pos="1134" w:leader="none"/>
          <w:tab w:val="left" w:pos="1276" w:leader="none"/>
        </w:tabs>
        <w:spacing w:lineRule="auto" w:line="240" w:before="0" w:after="0"/>
        <w:ind w:left="851"/>
        <w:contextualSpacing/>
        <w:jc w:val="center"/>
        <w:rPr>
          <w:rFonts w:ascii="Times New Roman" w:hAnsi="Times New Roman" w:cs="Times New Roman"/>
          <w:b/>
          <w:sz w:val="24"/>
          <w:szCs w:val="24"/>
          <w:vertAlign w:val="subscript"/>
        </w:rPr>
      </w:pPr>
      <w:r>
        <w:rPr>
          <w:rFonts w:cs="Times New Roman" w:ascii="Times New Roman" w:hAnsi="Times New Roman"/>
          <w:b/>
          <w:sz w:val="24"/>
          <w:szCs w:val="24"/>
          <w:vertAlign w:val="subscript"/>
        </w:rPr>
      </w:r>
    </w:p>
    <w:p>
      <w:pPr>
        <w:pStyle w:val="Normal"/>
        <w:tabs>
          <w:tab w:val="clear" w:pos="1296"/>
          <w:tab w:val="left" w:pos="284" w:leader="none"/>
        </w:tabs>
        <w:spacing w:lineRule="auto" w:line="240" w:before="0" w:after="0"/>
        <w:ind w:firstLine="709"/>
        <w:jc w:val="both"/>
        <w:rPr>
          <w:rFonts w:ascii="Times New Roman" w:hAnsi="Times New Roman"/>
        </w:rPr>
      </w:pPr>
      <w:r>
        <w:rPr>
          <w:rFonts w:cs="Times New Roman" w:ascii="Times New Roman" w:hAnsi="Times New Roman"/>
          <w:sz w:val="24"/>
          <w:szCs w:val="24"/>
        </w:rPr>
        <w:t xml:space="preserve">. </w:t>
      </w:r>
    </w:p>
    <w:p>
      <w:pPr>
        <w:pStyle w:val="Normal"/>
        <w:tabs>
          <w:tab w:val="clear" w:pos="1296"/>
          <w:tab w:val="left" w:pos="714" w:leader="none"/>
          <w:tab w:val="left" w:pos="851" w:leader="none"/>
          <w:tab w:val="left" w:pos="1134" w:leader="none"/>
        </w:tabs>
        <w:spacing w:lineRule="auto" w:line="240" w:before="0" w:after="0"/>
        <w:ind w:firstLine="567"/>
        <w:jc w:val="both"/>
        <w:rPr>
          <w:rFonts w:ascii="Times New Roman" w:hAnsi="Times New Roman"/>
        </w:rPr>
      </w:pPr>
      <w:r>
        <w:rPr>
          <w:rFonts w:eastAsia="Calibri" w:cs="Times New Roman" w:ascii="Times New Roman" w:hAnsi="Times New Roman"/>
          <w:sz w:val="24"/>
          <w:szCs w:val="24"/>
        </w:rPr>
        <w:t>11. Visi skaičiavimai atliekami, apvalinant iki dviejų skaičių po kabelio. Jeigu Pirkime tiekėjai surenka vienodą ekonominio naudingumo balą – Pasiūlymų eilėje pirmesnis nurodomas tas tiekėjas, kuris anksčiau pateikė savo pasiūlymą.</w:t>
      </w:r>
    </w:p>
    <w:p>
      <w:pPr>
        <w:pStyle w:val="Normal"/>
        <w:tabs>
          <w:tab w:val="clear" w:pos="1296"/>
          <w:tab w:val="left" w:pos="714" w:leader="none"/>
          <w:tab w:val="left" w:pos="851" w:leader="none"/>
          <w:tab w:val="left" w:pos="1134" w:leader="none"/>
        </w:tabs>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67"/>
        <w:rPr>
          <w:rFonts w:ascii="Times New Roman" w:hAnsi="Times New Roman"/>
        </w:rPr>
      </w:pPr>
      <w:r>
        <w:rPr>
          <w:rFonts w:cs="Times New Roman" w:ascii="Times New Roman" w:hAnsi="Times New Roman"/>
          <w:sz w:val="24"/>
          <w:szCs w:val="24"/>
        </w:rPr>
        <w:t xml:space="preserve">12. </w:t>
      </w:r>
      <w:r>
        <w:rPr>
          <w:rFonts w:cs="Times New Roman" w:ascii="Times New Roman" w:hAnsi="Times New Roman"/>
          <w:b/>
          <w:bCs/>
          <w:sz w:val="24"/>
          <w:szCs w:val="24"/>
        </w:rPr>
        <w:t>Kokybės kriterijaus (T) parametrai ir aprašymas:</w:t>
      </w:r>
    </w:p>
    <w:p>
      <w:pPr>
        <w:pStyle w:val="ListParagraph"/>
        <w:numPr>
          <w:ilvl w:val="1"/>
          <w:numId w:val="32"/>
        </w:numPr>
        <w:tabs>
          <w:tab w:val="clear" w:pos="1296"/>
          <w:tab w:val="left" w:pos="0"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Vertinami specialistai turi būti tie patys, kurie nurodomi grindžiant tiekėjo atitiktį minimaliems kvalifikacijos reikalavimams, ir kurie tiesiogiai teiks paslaugas Perkančiajai organizacijai. </w:t>
      </w:r>
    </w:p>
    <w:p>
      <w:pPr>
        <w:pStyle w:val="ListParagraph"/>
        <w:numPr>
          <w:ilvl w:val="1"/>
          <w:numId w:val="33"/>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Jeigu Pirkimo metu, bus teikiami keli atitinkamų rolių (pozicijų) specialistai – Tiekėjas pasiūlyme turi nurodyti, kurio specialisto patirtis turi būti vertinama (t. y. Perkančioji organizacija vertins ir ekonominio naudingumo balus suteiks tik vieno specialisto / eksperto patirtį atitinkamoje rolėje).</w:t>
      </w:r>
    </w:p>
    <w:p>
      <w:pPr>
        <w:pStyle w:val="ListParagraph"/>
        <w:numPr>
          <w:ilvl w:val="0"/>
          <w:numId w:val="34"/>
        </w:numPr>
        <w:tabs>
          <w:tab w:val="clear" w:pos="1296"/>
          <w:tab w:val="left" w:pos="284" w:leader="none"/>
          <w:tab w:val="left" w:pos="851"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Balų suteikimo tvarka:</w:t>
      </w:r>
      <w:r>
        <w:rPr>
          <w:rFonts w:cs="Times New Roman" w:ascii="Times New Roman" w:hAnsi="Times New Roman"/>
          <w:b/>
          <w:bCs/>
          <w:sz w:val="24"/>
          <w:szCs w:val="24"/>
        </w:rPr>
        <w:t xml:space="preserve"> </w:t>
      </w:r>
    </w:p>
    <w:p>
      <w:pPr>
        <w:pStyle w:val="ListParagraph"/>
        <w:tabs>
          <w:tab w:val="clear" w:pos="1296"/>
          <w:tab w:val="left" w:pos="284" w:leader="none"/>
          <w:tab w:val="left" w:pos="851" w:leader="none"/>
        </w:tabs>
        <w:spacing w:lineRule="auto" w:line="240" w:before="0" w:after="0"/>
        <w:ind w:left="567"/>
        <w:contextualSpacing/>
        <w:jc w:val="both"/>
        <w:rPr>
          <w:rFonts w:ascii="Times New Roman" w:hAnsi="Times New Roman"/>
          <w:b/>
          <w:bCs/>
          <w:szCs w:val="24"/>
        </w:rPr>
      </w:pPr>
      <w:r>
        <w:rPr>
          <w:rFonts w:ascii="Times New Roman" w:hAnsi="Times New Roman"/>
          <w:b/>
          <w:bCs/>
          <w:szCs w:val="24"/>
        </w:rPr>
      </w:r>
    </w:p>
    <w:tbl>
      <w:tblPr>
        <w:tblW w:w="9894"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414"/>
        <w:gridCol w:w="8479"/>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rPr>
            </w:pPr>
            <w:r>
              <w:rPr>
                <w:rFonts w:cs="Times New Roman" w:ascii="Times New Roman" w:hAnsi="Times New Roman"/>
                <w:b/>
                <w:sz w:val="24"/>
                <w:szCs w:val="24"/>
              </w:rPr>
              <w:t>1 parametras. Siūlomų specialistų kvalifikaciją patvirtinantys sertifikatai (P</w:t>
            </w:r>
            <w:r>
              <w:rPr>
                <w:rFonts w:cs="Times New Roman" w:ascii="Times New Roman" w:hAnsi="Times New Roman"/>
                <w:b/>
                <w:sz w:val="24"/>
                <w:szCs w:val="24"/>
                <w:vertAlign w:val="subscript"/>
              </w:rPr>
              <w:t>1</w:t>
            </w:r>
            <w:r>
              <w:rPr>
                <w:rFonts w:cs="Times New Roman" w:ascii="Times New Roman" w:hAnsi="Times New Roman"/>
                <w:b/>
                <w:sz w:val="24"/>
                <w:szCs w:val="24"/>
              </w:rPr>
              <w:t>)</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eastAsia="Times New Roman" w:cs="Times New Roman" w:ascii="Times New Roman" w:hAnsi="Times New Roman"/>
                <w:b/>
                <w:sz w:val="24"/>
                <w:szCs w:val="24"/>
                <w:lang w:val="en-US"/>
              </w:rPr>
              <w:t>Informacini</w:t>
            </w:r>
            <w:r>
              <w:rPr>
                <w:rFonts w:eastAsia="Times New Roman" w:cs="Times New Roman" w:ascii="Times New Roman" w:hAnsi="Times New Roman"/>
                <w:b/>
                <w:sz w:val="24"/>
                <w:szCs w:val="24"/>
                <w:lang w:val="lt-LT"/>
              </w:rPr>
              <w:t>ų sistemų analitiko</w:t>
            </w:r>
            <w:r>
              <w:rPr>
                <w:rFonts w:eastAsia="Times New Roman" w:cs="Times New Roman" w:ascii="Times New Roman" w:hAnsi="Times New Roman"/>
                <w:b/>
                <w:sz w:val="24"/>
                <w:szCs w:val="24"/>
              </w:rPr>
              <w:t xml:space="preserve"> kvalifikacija </w:t>
            </w:r>
            <w:r>
              <w:rPr>
                <w:rFonts w:eastAsia="Times New Roman" w:cs="Times New Roman" w:ascii="Times New Roman" w:hAnsi="Times New Roman"/>
                <w:b/>
                <w:bCs/>
                <w:sz w:val="24"/>
                <w:szCs w:val="24"/>
              </w:rPr>
              <w:t>R</w:t>
            </w:r>
            <w:r>
              <w:rPr>
                <w:rFonts w:eastAsia="Times New Roman" w:cs="Times New Roman" w:ascii="Times New Roman" w:hAnsi="Times New Roman"/>
                <w:b/>
                <w:bCs/>
                <w:sz w:val="24"/>
                <w:szCs w:val="24"/>
                <w:vertAlign w:val="subscript"/>
              </w:rPr>
              <w:t>1</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Neturi tarptautiniu mastu pripažįstamo OCEB (Object Management Group Certified Expert in Business Process Modelling) arba OCUP (OMG Certified UML Professional) Intermediate</w:t>
            </w:r>
            <w:r>
              <w:rPr>
                <w:rFonts w:cs="Times New Roman" w:ascii="Times New Roman" w:hAnsi="Times New Roman"/>
                <w:color w:themeColor="text1" w:val="000000"/>
                <w:sz w:val="24"/>
                <w:szCs w:val="24"/>
                <w:lang w:val="en-US"/>
              </w:rPr>
              <w:t xml:space="preserve"> arba </w:t>
            </w:r>
            <w:r>
              <w:rPr>
                <w:rFonts w:eastAsia="" w:cs="Calibri" w:ascii="Times New Roman" w:hAnsi="Times New Roman" w:cstheme="minorHAnsi" w:eastAsiaTheme="minorEastAsia"/>
                <w:color w:val="000000"/>
                <w:kern w:val="0"/>
                <w:sz w:val="24"/>
                <w:szCs w:val="24"/>
                <w:lang w:val="lt-LT" w:eastAsia="lt-LT" w:bidi="ar-SA"/>
              </w:rPr>
              <w:t>FCBA (ISEB Foundation Certificate in Business Analysis</w:t>
            </w:r>
            <w:r>
              <w:rPr>
                <w:rFonts w:eastAsia="" w:cs="Calibri" w:cstheme="minorHAnsi" w:eastAsiaTheme="minorEastAsia"/>
                <w:color w:val="000000"/>
                <w:kern w:val="0"/>
                <w:sz w:val="21"/>
                <w:szCs w:val="21"/>
                <w:lang w:val="lt-LT" w:eastAsia="lt-LT" w:bidi="ar-SA"/>
              </w:rPr>
              <w:t>)</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sertifikato arba lygiaverčio dokumento</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Turi tarptautiniu mastu pripažįstamą OCEB (Object Management Group Certified Expert in Business Process Modelling) arba OCUP (OMG Certified UML Professional) Intermediate</w:t>
            </w:r>
            <w:r>
              <w:rPr>
                <w:rFonts w:cs="Times New Roman" w:ascii="Times New Roman" w:hAnsi="Times New Roman"/>
                <w:color w:themeColor="text1" w:val="000000"/>
                <w:sz w:val="24"/>
                <w:szCs w:val="24"/>
                <w:lang w:val="en-US"/>
              </w:rPr>
              <w:t xml:space="preserve"> arba </w:t>
            </w:r>
            <w:r>
              <w:rPr>
                <w:rFonts w:eastAsia="" w:cs="Calibri" w:ascii="Times New Roman" w:hAnsi="Times New Roman" w:cstheme="minorHAnsi" w:eastAsiaTheme="minorEastAsia"/>
                <w:color w:val="000000"/>
                <w:kern w:val="0"/>
                <w:sz w:val="24"/>
                <w:szCs w:val="24"/>
                <w:lang w:val="lt-LT" w:eastAsia="lt-LT" w:bidi="ar-SA"/>
              </w:rPr>
              <w:t>FCBA (ISEB Foundation Certificate in Business Analysis</w:t>
            </w:r>
            <w:r>
              <w:rPr>
                <w:rFonts w:eastAsia="" w:cs="Calibri" w:cstheme="minorHAnsi" w:eastAsiaTheme="minorEastAsia"/>
                <w:color w:val="000000"/>
                <w:kern w:val="0"/>
                <w:sz w:val="21"/>
                <w:szCs w:val="21"/>
                <w:lang w:val="lt-LT" w:eastAsia="lt-LT" w:bidi="ar-SA"/>
              </w:rPr>
              <w:t>)</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 xml:space="preserve"> sertifikatą arba </w:t>
            </w:r>
            <w:r>
              <w:rPr>
                <w:rFonts w:cs="Times New Roman" w:ascii="Times New Roman" w:hAnsi="Times New Roman"/>
                <w:sz w:val="24"/>
                <w:szCs w:val="24"/>
              </w:rPr>
              <w:t>lygiavertį dokumentą.</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eastAsia="Times New Roman" w:cs="Times New Roman" w:ascii="Times New Roman" w:hAnsi="Times New Roman"/>
                <w:b/>
                <w:sz w:val="24"/>
                <w:szCs w:val="24"/>
              </w:rPr>
              <w:t>Programuotojo kvalifikacija R</w:t>
            </w:r>
            <w:r>
              <w:rPr>
                <w:rFonts w:eastAsia="Times New Roman" w:cs="Times New Roman" w:ascii="Times New Roman" w:hAnsi="Times New Roman"/>
                <w:b/>
                <w:sz w:val="24"/>
                <w:szCs w:val="24"/>
                <w:vertAlign w:val="subscript"/>
              </w:rPr>
              <w:t>2</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Neturi tarptautiniu mastu pripažįstamo Oracle Certified Professional arba Java Programmer arba Advanced PL/SQL Developer Certified Professional sertifikato arba lygiaverčio sertifikato</w:t>
            </w:r>
            <w:r>
              <w:rPr>
                <w:rFonts w:cs="Times New Roman" w:ascii="Times New Roman" w:hAnsi="Times New Roman"/>
                <w:sz w:val="24"/>
                <w:szCs w:val="24"/>
              </w:rPr>
              <w:t>.</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Turi tarptautiniu mastu pripažįstamą Oracle Certified Professional arba Java Programmer arba Advanced PL/SQL Developer Certified Professional sertifikatą arba lygiavertį sertifikatą</w:t>
            </w:r>
            <w:r>
              <w:rPr>
                <w:rFonts w:cs="Times New Roman" w:ascii="Times New Roman" w:hAnsi="Times New Roman"/>
                <w:sz w:val="24"/>
                <w:szCs w:val="24"/>
              </w:rPr>
              <w:t>.</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Balai</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eastAsia="Times New Roman" w:cs="Times New Roman" w:ascii="Times New Roman" w:hAnsi="Times New Roman"/>
                <w:b/>
                <w:sz w:val="24"/>
                <w:szCs w:val="24"/>
              </w:rPr>
              <w:t>Testavimo eksperto</w:t>
            </w:r>
            <w:r>
              <w:rPr>
                <w:rFonts w:eastAsia="Times New Roman" w:cs="Times New Roman" w:ascii="Times New Roman" w:hAnsi="Times New Roman"/>
                <w:b/>
                <w:sz w:val="24"/>
                <w:szCs w:val="24"/>
              </w:rPr>
              <w:t xml:space="preserve"> kvalifikacija R</w:t>
            </w:r>
            <w:r>
              <w:rPr>
                <w:rFonts w:eastAsia="Times New Roman" w:cs="Times New Roman" w:ascii="Times New Roman" w:hAnsi="Times New Roman"/>
                <w:b/>
                <w:sz w:val="24"/>
                <w:szCs w:val="24"/>
                <w:vertAlign w:val="subscript"/>
              </w:rPr>
              <w:t>3</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0</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Neturi tarptautiniu mastu pripažįstamo ISTQB Certified Tester, ir ISTQB Certified Tester Advanced Level (Test Manager) sertifikato ar lygiavertį sertifikato ....</w:t>
            </w:r>
          </w:p>
        </w:tc>
      </w:tr>
      <w:tr>
        <w:trPr/>
        <w:tc>
          <w:tcPr>
            <w:tcW w:w="1414"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1</w:t>
            </w:r>
          </w:p>
        </w:tc>
        <w:tc>
          <w:tcPr>
            <w:tcW w:w="847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Turi tarptautiniu mastu pripažįstamą ISTQB Certified Tester, ir ISTQB Certified Tester Advanced Level (Test Manager) sertifikatą ar lygiavertį sertifikatą</w:t>
            </w:r>
          </w:p>
        </w:tc>
      </w:tr>
    </w:tbl>
    <w:p>
      <w:pPr>
        <w:pStyle w:val="ListParagraph"/>
        <w:tabs>
          <w:tab w:val="clear" w:pos="1296"/>
          <w:tab w:val="left" w:pos="851" w:leader="none"/>
          <w:tab w:val="left" w:pos="993" w:leader="none"/>
        </w:tabs>
        <w:spacing w:lineRule="auto" w:line="240" w:before="0" w:after="0"/>
        <w:ind w:left="567"/>
        <w:contextualSpacing/>
        <w:jc w:val="both"/>
        <w:rPr>
          <w:rFonts w:ascii="Times New Roman" w:hAnsi="Times New Roman"/>
          <w:b/>
          <w:bCs/>
        </w:rPr>
      </w:pPr>
      <w:r>
        <w:rPr>
          <w:rFonts w:ascii="Times New Roman" w:hAnsi="Times New Roman"/>
          <w:b/>
          <w:bCs/>
        </w:rPr>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rPr>
      </w:pPr>
      <w:r>
        <w:rPr>
          <w:rFonts w:ascii="Times New Roman" w:hAnsi="Times New Roman"/>
        </w:rPr>
      </w:r>
    </w:p>
    <w:p>
      <w:pPr>
        <w:pStyle w:val="Heading2"/>
        <w:spacing w:before="0" w:after="0"/>
        <w:ind w:left="5103"/>
        <w:rPr>
          <w:rFonts w:ascii="Times New Roman" w:hAnsi="Times New Roman" w:cs="Times New Roman"/>
          <w:color w:val="auto"/>
          <w:sz w:val="24"/>
          <w:szCs w:val="24"/>
        </w:rPr>
      </w:pPr>
      <w:bookmarkStart w:id="65" w:name="_Toc182425163"/>
      <w:bookmarkStart w:id="66" w:name="_Toc185177419"/>
      <w:r>
        <w:rPr>
          <w:rFonts w:cs="Times New Roman" w:ascii="Times New Roman" w:hAnsi="Times New Roman"/>
          <w:color w:val="auto"/>
          <w:sz w:val="24"/>
          <w:szCs w:val="24"/>
        </w:rPr>
        <w:t>Pirkimo sąlygų 8 priedas „Tiekėjo deklaracija dėl atitikties Reglamento nuostatoms“</w:t>
      </w:r>
      <w:bookmarkEnd w:id="65"/>
      <w:bookmarkEnd w:id="66"/>
      <w:r>
        <w:rPr>
          <w:rFonts w:cs="Times New Roman" w:ascii="Times New Roman" w:hAnsi="Times New Roman"/>
          <w:color w:val="auto"/>
          <w:sz w:val="24"/>
          <w:szCs w:val="24"/>
        </w:rPr>
        <w:t xml:space="preserve"> </w:t>
      </w:r>
    </w:p>
    <w:p>
      <w:pPr>
        <w:pStyle w:val="Normal"/>
        <w:rPr/>
      </w:pPr>
      <w:r>
        <w:rPr/>
      </w:r>
    </w:p>
    <w:p>
      <w:pPr>
        <w:pStyle w:val="Normal"/>
        <w:spacing w:lineRule="auto" w:line="240" w:before="0" w:after="0"/>
        <w:jc w:val="center"/>
        <w:rPr>
          <w:rFonts w:ascii="Times New Roman" w:hAnsi="Times New Roman" w:eastAsia="Times New Roman" w:cs="Times New Roman"/>
          <w:u w:val="single"/>
        </w:rPr>
      </w:pPr>
      <w:r>
        <w:rPr>
          <w:rFonts w:eastAsia="Times New Roman" w:cs="Times New Roman" w:ascii="Times New Roman" w:hAnsi="Times New Roman"/>
          <w:u w:val="single"/>
        </w:rPr>
        <w:t>___________________________________</w:t>
      </w:r>
    </w:p>
    <w:p>
      <w:pPr>
        <w:pStyle w:val="Normal"/>
        <w:spacing w:lineRule="auto" w:line="240" w:before="0" w:after="0"/>
        <w:jc w:val="center"/>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spacing w:lineRule="auto" w:line="240" w:before="0" w:after="0"/>
        <w:jc w:val="center"/>
        <w:rPr>
          <w:rFonts w:ascii="Times New Roman" w:hAnsi="Times New Roman" w:eastAsia="Times New Roman" w:cs="Times New Roman"/>
          <w:sz w:val="18"/>
          <w:szCs w:val="18"/>
        </w:rPr>
      </w:pPr>
      <w:r>
        <w:rPr>
          <w:rFonts w:eastAsia="Times New Roman" w:cs="Times New Roman" w:ascii="Times New Roman" w:hAnsi="Times New Roman"/>
          <w:sz w:val="18"/>
          <w:szCs w:val="18"/>
        </w:rPr>
        <w:t> </w:t>
      </w:r>
      <w:r>
        <w:rPr>
          <w:rFonts w:eastAsia="Times New Roman" w:cs="Times New Roman" w:ascii="Times New Roman" w:hAnsi="Times New Roman"/>
          <w:sz w:val="18"/>
          <w:szCs w:val="18"/>
        </w:rPr>
        <w:t>(Tiekėjo/subtiekėjo pavadinimas)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w:t>
      </w:r>
    </w:p>
    <w:p>
      <w:pPr>
        <w:pStyle w:val="Normal"/>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t>(Pirkimo vykdytojo pavadinimas)</w:t>
      </w:r>
    </w:p>
    <w:p>
      <w:pPr>
        <w:pStyle w:val="Normal"/>
        <w:spacing w:lineRule="auto" w:line="240" w:before="0" w:after="0"/>
        <w:jc w:val="center"/>
        <w:rPr>
          <w:rFonts w:ascii="Times New Roman" w:hAnsi="Times New Roman" w:eastAsia="Times New Roman" w:cs="Times New Roman"/>
          <w:b/>
          <w:bCs/>
          <w:smallCaps/>
          <w:sz w:val="24"/>
          <w:szCs w:val="24"/>
        </w:rPr>
      </w:pPr>
      <w:r>
        <w:rPr>
          <w:rFonts w:eastAsia="Times New Roman" w:cs="Times New Roman" w:ascii="Times New Roman" w:hAnsi="Times New Roman"/>
          <w:b/>
          <w:bCs/>
          <w:smallCaps/>
          <w:sz w:val="24"/>
          <w:szCs w:val="24"/>
        </w:rPr>
      </w:r>
    </w:p>
    <w:p>
      <w:pPr>
        <w:pStyle w:val="Normal"/>
        <w:spacing w:lineRule="auto" w:line="240" w:before="0" w:after="0"/>
        <w:jc w:val="center"/>
        <w:rPr>
          <w:rFonts w:ascii="Times New Roman" w:hAnsi="Times New Roman" w:eastAsia="Times New Roman" w:cs="Times New Roman"/>
          <w:b/>
          <w:bCs/>
          <w:smallCaps/>
          <w:sz w:val="24"/>
          <w:szCs w:val="24"/>
        </w:rPr>
      </w:pPr>
      <w:r>
        <w:rPr>
          <w:rFonts w:eastAsia="Times New Roman" w:cs="Times New Roman" w:ascii="Times New Roman" w:hAnsi="Times New Roman"/>
          <w:b/>
          <w:bCs/>
          <w:smallCaps/>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mallCaps/>
          <w:sz w:val="24"/>
          <w:szCs w:val="24"/>
        </w:rPr>
        <w:t>TIEKĖJO/ SUBTIEKĖJO DEKLARACIJA</w:t>
      </w:r>
    </w:p>
    <w:p>
      <w:pPr>
        <w:pStyle w:val="Normal"/>
        <w:shd w:val="clear" w:color="auto" w:fill="FFFFFF"/>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 </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__________________</w:t>
      </w:r>
    </w:p>
    <w:p>
      <w:pPr>
        <w:pStyle w:val="Normal"/>
        <w:spacing w:lineRule="auto" w:line="240" w:before="0" w:after="0"/>
        <w:jc w:val="center"/>
        <w:rPr>
          <w:rFonts w:ascii="Times New Roman" w:hAnsi="Times New Roman" w:eastAsia="Times New Roman" w:cs="Times New Roman"/>
          <w:sz w:val="18"/>
          <w:szCs w:val="18"/>
        </w:rPr>
      </w:pPr>
      <w:r>
        <w:rPr>
          <w:rFonts w:eastAsia="Times New Roman" w:cs="Times New Roman" w:ascii="Times New Roman" w:hAnsi="Times New Roman"/>
          <w:sz w:val="18"/>
          <w:szCs w:val="18"/>
        </w:rPr>
        <w:t>(Data)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eastAsia="Times New Roman" w:cs="Arial" w:ascii="Arial" w:hAnsi="Arial"/>
        </w:rPr>
        <w:t xml:space="preserve"> </w:t>
      </w:r>
      <w:r>
        <w:rPr>
          <w:rFonts w:eastAsia="Times New Roman" w:cs="Times New Roman" w:ascii="Times New Roman" w:hAnsi="Times New Roman"/>
          <w:sz w:val="24"/>
          <w:szCs w:val="24"/>
        </w:rPr>
        <w:t>nustatytas ribas t.y.:</w:t>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mano atstovaujamas tiekėjas/subtiekėjas (ir nė vienas iš tiekėjų grupės narių) nėra Rusijos pilietis arba Rusijoje įsisteigęs fizinis ar juridinis asmuo, subjektas ar įstaiga;</w:t>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nei aš, nei mano atstovaujama bendrovė nėra fizinis ar juridinis asmuo, subjektas ar įstaiga, veikianti a) arba b) punkte nurodyto subjekto vardu ar jo nurodymu;</w:t>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a)-c) punktuose išvardyti subjektai nedalyvauja subtiekėjais, tiekėjais ar subjektais, kurių pajėgumais remiasi mano atstovaujamas tiekėjas, tais atvejais kai jiems tenka daugiau kaip 10 % sutarties vertės.</w:t>
      </w:r>
    </w:p>
    <w:p>
      <w:pPr>
        <w:pStyle w:val="Normal"/>
        <w:spacing w:lineRule="auto" w:line="240" w:before="0" w:after="0"/>
        <w:jc w:val="both"/>
        <w:rPr>
          <w:rStyle w:val="Normaltextrun"/>
          <w:rFonts w:ascii="Times New Roman" w:hAnsi="Times New Roman" w:cs="Times New Roman"/>
          <w:sz w:val="24"/>
          <w:szCs w:val="24"/>
          <w:shd w:fill="FFFFFF" w:val="clear"/>
        </w:rPr>
      </w:pPr>
      <w:r>
        <w:rPr>
          <w:rFonts w:eastAsia="Times New Roman" w:cs="Times New Roman" w:ascii="Times New Roman" w:hAnsi="Times New Roman"/>
          <w:sz w:val="24"/>
          <w:szCs w:val="24"/>
        </w:rPr>
        <w:t xml:space="preserve">Patvirtinu, kad tiekėjui/subtiekėjui kuriuos esu pasitelkęs ar pasitelksiu ateityje, </w:t>
      </w:r>
      <w:r>
        <w:rPr>
          <w:rFonts w:cs="Times New Roman" w:ascii="Times New Roman" w:hAnsi="Times New Roman"/>
          <w:sz w:val="24"/>
          <w:szCs w:val="24"/>
        </w:rPr>
        <w:t xml:space="preserve">ūkio subjektams, kurių pajėgumais remiuosi ar (ir) remsiuosi, prekių (ir jų sudedamųjų dalių) gamintojams </w:t>
      </w:r>
      <w:r>
        <w:rPr>
          <w:rFonts w:eastAsia="Times New Roman" w:cs="Times New Roman" w:ascii="Times New Roman" w:hAnsi="Times New Roman"/>
          <w:sz w:val="24"/>
          <w:szCs w:val="24"/>
        </w:rPr>
        <w:t>netaikomos</w:t>
      </w:r>
      <w:r>
        <w:rPr>
          <w:rFonts w:cs="Times New Roman" w:ascii="Times New Roman" w:hAnsi="Times New Roman"/>
          <w:sz w:val="24"/>
          <w:szCs w:val="24"/>
        </w:rPr>
        <w:t xml:space="preserve"> Lietuvos Respublikoje įgyvendinamos tarptautinės sankcijos, kaip tai apibrėžta Lietuvos Respublikos tarptautinių sankcijų įstatyme.</w:t>
      </w:r>
    </w:p>
    <w:p>
      <w:pPr>
        <w:pStyle w:val="Normal"/>
        <w:tabs>
          <w:tab w:val="clear" w:pos="1296"/>
          <w:tab w:val="left" w:pos="284" w:leader="none"/>
          <w:tab w:val="left" w:pos="426" w:leader="none"/>
        </w:tabs>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284" w:leader="none"/>
          <w:tab w:val="left" w:pos="426" w:leader="none"/>
        </w:tabs>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Deklaruojamoms aplinkybėms pasikeitus, įsipareigoju nedelsiant apie tai informuoti Pirkimo vykdytoją. </w:t>
      </w:r>
      <w:r>
        <w:br w:type="page"/>
      </w:r>
    </w:p>
    <w:p>
      <w:pPr>
        <w:pStyle w:val="Heading2"/>
        <w:spacing w:before="0" w:after="0"/>
        <w:ind w:left="5103"/>
        <w:rPr>
          <w:rFonts w:ascii="Times New Roman" w:hAnsi="Times New Roman" w:cs="Times New Roman"/>
          <w:color w:val="0070C0"/>
          <w:sz w:val="21"/>
          <w:szCs w:val="21"/>
        </w:rPr>
      </w:pPr>
      <w:bookmarkStart w:id="67" w:name="_Ref39586171"/>
      <w:bookmarkStart w:id="68" w:name="_Ref39673580"/>
      <w:bookmarkStart w:id="69" w:name="_Ref39674283"/>
      <w:bookmarkStart w:id="70" w:name="_Toc185177420"/>
      <w:r>
        <w:rPr>
          <w:rFonts w:cs="Times New Roman" w:ascii="Times New Roman" w:hAnsi="Times New Roman"/>
          <w:color w:val="0070C0"/>
          <w:sz w:val="21"/>
          <w:szCs w:val="21"/>
        </w:rPr>
        <w:t>Pirkimo sąlygų 9 priedas „Siūlomų specialistų sąrašas“</w:t>
      </w:r>
      <w:bookmarkEnd w:id="67"/>
      <w:bookmarkEnd w:id="68"/>
      <w:bookmarkEnd w:id="69"/>
      <w:bookmarkEnd w:id="70"/>
    </w:p>
    <w:p>
      <w:pPr>
        <w:pStyle w:val="Normal"/>
        <w:rPr/>
      </w:pPr>
      <w:r>
        <w:rPr/>
      </w:r>
    </w:p>
    <w:p>
      <w:pPr>
        <w:pStyle w:val="Normal"/>
        <w:rPr/>
      </w:pPr>
      <w:r>
        <w:rPr/>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SIŪLOMŲ SPECIALISTŲ SĄRAŠAS IR POZICIJA</w:t>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500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696"/>
        <w:gridCol w:w="3232"/>
        <w:gridCol w:w="4216"/>
        <w:gridCol w:w="1827"/>
      </w:tblGrid>
      <w:tr>
        <w:trPr>
          <w:trHeight w:val="611"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Specialisto vardas ir pavardė</w:t>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t>Specialisto teisiniai santykiai su tiekėju</w:t>
            </w:r>
          </w:p>
          <w:p>
            <w:pPr>
              <w:pStyle w:val="Normal"/>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r>
              <w:rPr>
                <w:rFonts w:eastAsia="Calibri" w:cs="Times New Roman" w:ascii="Times New Roman" w:hAnsi="Times New Roman"/>
                <w:b/>
                <w:i/>
                <w:iCs/>
                <w:sz w:val="24"/>
                <w:szCs w:val="24"/>
              </w:rPr>
              <w:t>darbuotojas, dirbantis darbo sutarties pagrindu; ūkio subjektas,  kurio pajėgumais remiamas; ūkio subjekto,  kurio pajėgumais remiamasi, darbuotojas; kvazisubtiekėjas ar kt.</w:t>
            </w:r>
            <w:r>
              <w:rPr>
                <w:rFonts w:eastAsia="Calibri" w:cs="Times New Roman" w:ascii="Times New Roman" w:hAnsi="Times New Roman"/>
                <w:b/>
                <w:sz w:val="24"/>
                <w:szCs w:val="24"/>
              </w:rPr>
              <w:t>)</w:t>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Paaiškinimai</w:t>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87"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3"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3" w:hRule="atLeast"/>
        </w:trPr>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rPr>
          <w:rFonts w:ascii="Times New Roman" w:hAnsi="Times New Roman" w:eastAsia="Arial Unicode MS" w:cs="Times New Roman"/>
          <w:kern w:val="2"/>
          <w:sz w:val="24"/>
          <w:szCs w:val="24"/>
        </w:rPr>
      </w:pPr>
      <w:r>
        <w:rPr>
          <w:rFonts w:eastAsia="Arial Unicode MS" w:cs="Times New Roman" w:ascii="Times New Roman" w:hAnsi="Times New Roman"/>
          <w:kern w:val="2"/>
          <w:sz w:val="24"/>
          <w:szCs w:val="24"/>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ind w:firstLine="567"/>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bl>
      <w:tblPr>
        <w:tblW w:w="1044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4277"/>
        <w:gridCol w:w="603"/>
        <w:gridCol w:w="1981"/>
        <w:gridCol w:w="700"/>
        <w:gridCol w:w="1799"/>
        <w:gridCol w:w="1079"/>
      </w:tblGrid>
      <w:tr>
        <w:trPr>
          <w:trHeight w:val="285" w:hRule="atLeast"/>
        </w:trPr>
        <w:tc>
          <w:tcPr>
            <w:tcW w:w="4277" w:type="dxa"/>
            <w:tcBorders>
              <w:bottom w:val="single" w:sz="4" w:space="0" w:color="000000"/>
            </w:tcBorders>
          </w:tcPr>
          <w:p>
            <w:pPr>
              <w:pStyle w:val="Normal"/>
              <w:spacing w:lineRule="auto" w:line="240" w:before="0" w:after="0"/>
              <w:ind w:right="-1"/>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03"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81" w:type="dxa"/>
            <w:tcBorders>
              <w:bottom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00"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99" w:type="dxa"/>
            <w:tcBorders>
              <w:bottom w:val="single" w:sz="4" w:space="0" w:color="000000"/>
            </w:tcBorders>
          </w:tcPr>
          <w:p>
            <w:pPr>
              <w:pStyle w:val="Normal"/>
              <w:spacing w:lineRule="auto" w:line="240" w:before="0" w:after="0"/>
              <w:ind w:right="-1"/>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79" w:type="dxa"/>
            <w:tcBorders/>
          </w:tcPr>
          <w:p>
            <w:pPr>
              <w:pStyle w:val="Normal"/>
              <w:spacing w:lineRule="auto" w:line="240" w:before="0" w:after="0"/>
              <w:ind w:right="-1"/>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86" w:hRule="atLeast"/>
        </w:trPr>
        <w:tc>
          <w:tcPr>
            <w:tcW w:w="4277" w:type="dxa"/>
            <w:tcBorders>
              <w:top w:val="single" w:sz="4" w:space="0" w:color="000000"/>
            </w:tcBorders>
          </w:tcPr>
          <w:p>
            <w:pPr>
              <w:pStyle w:val="Normal"/>
              <w:snapToGrid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position w:val="6"/>
                <w:sz w:val="24"/>
                <w:szCs w:val="24"/>
              </w:rPr>
              <w:t>(Tiekėjo arba jo įgalioto asmens pareigų pavadinimas)</w:t>
            </w:r>
          </w:p>
          <w:p>
            <w:pPr>
              <w:pStyle w:val="Normal"/>
              <w:snapToGrid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603"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81" w:type="dxa"/>
            <w:tcBorders>
              <w:top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position w:val="6"/>
                <w:sz w:val="24"/>
                <w:szCs w:val="24"/>
              </w:rPr>
              <w:t>(Parašas)</w:t>
            </w:r>
          </w:p>
        </w:tc>
        <w:tc>
          <w:tcPr>
            <w:tcW w:w="700"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99" w:type="dxa"/>
            <w:tcBorders>
              <w:top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position w:val="6"/>
                <w:sz w:val="24"/>
                <w:szCs w:val="24"/>
              </w:rPr>
              <w:t>(Vardas ir pavardė)</w:t>
            </w:r>
          </w:p>
        </w:tc>
        <w:tc>
          <w:tcPr>
            <w:tcW w:w="1079"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Normal"/>
        <w:rPr/>
      </w:pPr>
      <w:r>
        <w:rPr/>
      </w:r>
    </w:p>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Normal"/>
        <w:rPr/>
      </w:pPr>
      <w:r>
        <w:rPr/>
      </w:r>
    </w:p>
    <w:p>
      <w:pPr>
        <w:pStyle w:val="Normal"/>
        <w:rPr/>
      </w:pPr>
      <w:r>
        <w:rPr/>
      </w:r>
    </w:p>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Heading2"/>
        <w:ind w:left="5103"/>
        <w:rPr>
          <w:rFonts w:ascii="Times New Roman" w:hAnsi="Times New Roman" w:cs="Times New Roman"/>
          <w:color w:val="0070C0"/>
          <w:sz w:val="21"/>
          <w:szCs w:val="21"/>
        </w:rPr>
      </w:pPr>
      <w:bookmarkStart w:id="71" w:name="_Toc185177421"/>
      <w:r>
        <w:rPr>
          <w:rFonts w:cs="Times New Roman" w:ascii="Times New Roman" w:hAnsi="Times New Roman"/>
          <w:color w:val="0070C0"/>
          <w:sz w:val="21"/>
          <w:szCs w:val="21"/>
        </w:rPr>
        <w:t>Pirkimo sąlygų 10 priedas „Sutarties projektas“</w:t>
      </w:r>
      <w:bookmarkEnd w:id="71"/>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t>Pateikiama atskirame priede</w:t>
      </w:r>
      <w:r>
        <w:br w:type="page"/>
      </w:r>
    </w:p>
    <w:p>
      <w:pPr>
        <w:pStyle w:val="Heading2"/>
        <w:spacing w:before="0" w:after="0"/>
        <w:ind w:left="5103"/>
        <w:rPr>
          <w:rFonts w:ascii="Times New Roman" w:hAnsi="Times New Roman" w:cs="Times New Roman"/>
          <w:color w:val="0070C0"/>
          <w:sz w:val="21"/>
          <w:szCs w:val="21"/>
        </w:rPr>
      </w:pPr>
      <w:bookmarkStart w:id="72" w:name="_Toc185177422"/>
      <w:r>
        <w:rPr>
          <w:rFonts w:cs="Times New Roman" w:ascii="Times New Roman" w:hAnsi="Times New Roman"/>
          <w:color w:val="0070C0"/>
          <w:sz w:val="21"/>
          <w:szCs w:val="21"/>
        </w:rPr>
        <w:t>Pirkimo sąlygų 11 priedas „Pažyma apie siūlomų specialistų darbinę (profesinę) patirtį“</w:t>
      </w:r>
      <w:bookmarkEnd w:id="72"/>
    </w:p>
    <w:p>
      <w:pPr>
        <w:pStyle w:val="Normal"/>
        <w:jc w:val="both"/>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spacing w:before="0" w:after="160"/>
        <w:jc w:val="both"/>
        <w:rPr>
          <w:rFonts w:ascii="Times New Roman" w:hAnsi="Times New Roman" w:cs="Times New Roman"/>
          <w:b/>
          <w:bCs/>
          <w:smallCaps/>
          <w:sz w:val="22"/>
          <w:szCs w:val="22"/>
        </w:rPr>
      </w:pPr>
      <w:r>
        <w:rPr>
          <w:rFonts w:cs="Times New Roman" w:ascii="Times New Roman" w:hAnsi="Times New Roman"/>
          <w:b/>
          <w:bCs/>
          <w:smallCaps/>
          <w:sz w:val="22"/>
          <w:szCs w:val="22"/>
        </w:rPr>
      </w:r>
    </w:p>
    <w:sectPr>
      <w:headerReference w:type="default" r:id="rId16"/>
      <w:headerReference w:type="first" r:id="rId17"/>
      <w:footerReference w:type="default" r:id="rId18"/>
      <w:footerReference w:type="first" r:id="rId19"/>
      <w:footnotePr>
        <w:numFmt w:val="decimal"/>
      </w:footnotePr>
      <w:type w:val="nextPage"/>
      <w:pgSz w:w="12240" w:h="15840"/>
      <w:pgMar w:left="1701" w:right="567" w:gutter="0" w:header="720" w:top="1134" w:footer="720" w:bottom="777"/>
      <w:pgNumType w:start="22"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Times New Roman">
    <w:charset w:val="01"/>
    <w:family w:val="roman"/>
    <w:pitch w:val="variable"/>
  </w:font>
  <w:font w:name="Times New Roman Bold">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52</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jc w:val="both"/>
        <w:textAlignment w:val="baseline"/>
        <w:rPr>
          <w:rFonts w:ascii="Times New Roman" w:hAnsi="Times New Roman" w:cs="Times New Roman"/>
          <w:sz w:val="20"/>
          <w:szCs w:val="20"/>
        </w:rPr>
      </w:pPr>
      <w:r>
        <w:rPr>
          <w:rStyle w:val="FootnoteCharacters"/>
        </w:rPr>
        <w:footnoteRef/>
      </w:r>
      <w:r>
        <w:rPr/>
        <w:t xml:space="preserve"> </w:t>
      </w:r>
      <w:r>
        <w:rPr>
          <w:rFonts w:cs="Times New Roman" w:ascii="Times New Roman" w:hAnsi="Times New Roman"/>
          <w:szCs w:val="20"/>
        </w:rPr>
        <w:t>gaminys turi būti pagamintas iš 100 proc. perdirbto popieriaus (naudoto popieriaus ir (ar) gamybos atliekų) plaušų arba ne mažiau kaip 30 proc. pirminės medienos plaušų, gautų iš miškų, sertifikuotų naudojant </w:t>
      </w:r>
      <w:r>
        <w:rPr>
          <w:rFonts w:cs="Times New Roman" w:ascii="Times New Roman" w:hAnsi="Times New Roman"/>
          <w:i/>
          <w:iCs/>
          <w:szCs w:val="20"/>
        </w:rPr>
        <w:t>Forest Stewardship Council</w:t>
      </w:r>
      <w:r>
        <w:rPr>
          <w:rFonts w:cs="Times New Roman" w:ascii="Times New Roman" w:hAnsi="Times New Roman"/>
          <w:szCs w:val="20"/>
        </w:rPr>
        <w:t> (toliau – FSC) ar Miškų sertifikavimo sistemų pripažinimo programą (angl. </w:t>
      </w:r>
      <w:r>
        <w:rPr>
          <w:rFonts w:cs="Times New Roman" w:ascii="Times New Roman" w:hAnsi="Times New Roman"/>
          <w:i/>
          <w:iCs/>
          <w:szCs w:val="20"/>
        </w:rPr>
        <w:t>Programme for the Endorsement of Forest Certification schemes</w:t>
      </w:r>
      <w:r>
        <w:rPr>
          <w:rFonts w:cs="Times New Roman" w:ascii="Times New Roman" w:hAnsi="Times New Roman"/>
          <w:szCs w:val="20"/>
        </w:rPr>
        <w:t> (toliau – PEFC) arba lygiavertes miškų sertifikavimo sistemas, kita dalis – iš perdirbto popieriaus plaušų;</w:t>
      </w:r>
    </w:p>
    <w:p>
      <w:pPr>
        <w:pStyle w:val="Normal"/>
        <w:spacing w:lineRule="auto" w:line="240" w:before="0" w:after="0"/>
        <w:jc w:val="both"/>
        <w:textAlignment w:val="baseline"/>
        <w:rPr>
          <w:rFonts w:ascii="Times New Roman" w:hAnsi="Times New Roman" w:cs="Times New Roman"/>
          <w:szCs w:val="20"/>
        </w:rPr>
      </w:pPr>
      <w:r>
        <w:rPr>
          <w:rFonts w:cs="Times New Roman" w:ascii="Times New Roman" w:hAnsi="Times New Roman"/>
          <w:szCs w:val="20"/>
          <w:shd w:fill="FFFFFF" w:val="clear"/>
        </w:rPr>
        <w:t>gaminys turi būti nebalintas arba balintas nenaudojant chloro dujų.</w:t>
      </w:r>
    </w:p>
    <w:p>
      <w:pPr>
        <w:pStyle w:val="FootnoteText"/>
        <w:spacing w:before="0" w:after="160"/>
        <w:rPr>
          <w:rFonts w:ascii="Calibri" w:hAnsi="Calibri" w:cs="Times New Roman"/>
        </w:rPr>
      </w:pPr>
      <w:r>
        <w:rPr/>
      </w:r>
    </w:p>
  </w:footnote>
  <w:footnote w:id="3">
    <w:p>
      <w:pPr>
        <w:pStyle w:val="FootnoteText"/>
        <w:spacing w:before="0" w:after="160"/>
        <w:rPr/>
      </w:pPr>
      <w:r>
        <w:rPr>
          <w:rStyle w:val="FootnoteCharacters"/>
        </w:rPr>
        <w:footnoteRef/>
      </w:r>
      <w:r>
        <w:rPr/>
        <w:t xml:space="preserve"> </w:t>
      </w:r>
      <w:hyperlink r:id="rId1">
        <w:r>
          <w:rPr>
            <w:rStyle w:val="Cf01"/>
          </w:rPr>
          <w:t>https://www.e-tar.lt/portal/lt/legalAct/ac5a5e30878f11ed8df094f359a60216</w:t>
        </w:r>
      </w:hyperlink>
    </w:p>
  </w:footnote>
  <w:footnote w:id="4">
    <w:p>
      <w:pPr>
        <w:pStyle w:val="FootnoteText"/>
        <w:spacing w:before="0" w:after="160"/>
        <w:rPr/>
      </w:pPr>
      <w:r>
        <w:rPr>
          <w:rStyle w:val="FootnoteCharacters"/>
        </w:rPr>
        <w:footnoteRef/>
      </w:r>
      <w:r>
        <w:rPr/>
        <w:t xml:space="preserve"> </w:t>
      </w:r>
      <w:r>
        <w:rPr/>
        <w:t>Tiekėjo ir ūkio subjekto, kurio pajėgumais remiamasi kvalifikacijai pagrįsti.</w:t>
      </w:r>
    </w:p>
  </w:footnote>
  <w:footnote w:id="5">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8"/>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8"/>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9"/>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9"/>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20"/>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20"/>
        </w:numPr>
        <w:spacing w:lineRule="auto" w:line="240" w:before="0" w:after="0"/>
        <w:ind w:hanging="360" w:left="720" w:right="49"/>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8">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pPr>
        <w:pStyle w:val="FootnoteText"/>
        <w:tabs>
          <w:tab w:val="clear" w:pos="1296"/>
          <w:tab w:val="left" w:pos="9639" w:leader="none"/>
        </w:tabs>
        <w:spacing w:lineRule="auto" w:line="240" w:before="0" w:after="0"/>
        <w:ind w:right="193"/>
        <w:rPr>
          <w:rFonts w:ascii="Times New Roman" w:hAnsi="Times New Roman" w:cs="Times New Roman"/>
        </w:rPr>
      </w:pPr>
      <w:r>
        <w:rPr>
          <w:rStyle w:val="FootnoteCharacters"/>
        </w:rPr>
        <w:footnoteRef/>
      </w:r>
      <w:r>
        <w:rPr/>
        <w:t xml:space="preserve"> </w:t>
      </w:r>
    </w:p>
    <w:p>
      <w:pPr>
        <w:pStyle w:val="FootnoteText"/>
        <w:spacing w:before="0" w:after="160"/>
        <w:rPr/>
      </w:pPr>
      <w:r>
        <w:rPr/>
      </w:r>
    </w:p>
  </w:footnote>
  <w:footnote w:id="10">
    <w:p>
      <w:pPr>
        <w:pStyle w:val="FootnoteText"/>
        <w:spacing w:lineRule="auto" w:line="240" w:before="0" w:after="0"/>
        <w:jc w:val="both"/>
        <w:rPr>
          <w:rFonts w:ascii="Times New Roman" w:hAnsi="Times New Roman"/>
        </w:rPr>
      </w:pPr>
      <w:r>
        <w:rPr>
          <w:rStyle w:val="FootnoteCharacters"/>
        </w:rPr>
        <w:footnoteRef/>
      </w:r>
      <w:r>
        <w:rP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pPr>
        <w:pStyle w:val="FootnoteText"/>
        <w:spacing w:lineRule="auto" w:line="240" w:before="0" w:after="0"/>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pPr>
        <w:pStyle w:val="FootnoteText"/>
        <w:spacing w:lineRule="auto" w:line="240" w:before="0" w:after="0"/>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pPr>
        <w:pStyle w:val="FootnoteText"/>
        <w:spacing w:lineRule="auto" w:line="240" w:before="0" w:after="0"/>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pPr>
        <w:pStyle w:val="FootnoteText"/>
        <w:spacing w:lineRule="auto" w:line="240" w:before="0" w:after="0"/>
        <w:jc w:val="both"/>
        <w:rPr/>
      </w:pPr>
      <w:r>
        <w:rPr>
          <w:rFonts w:ascii="Times New Roman" w:hAnsi="Times New Roman"/>
          <w:color w:val="000000"/>
        </w:rPr>
        <w:t>b) fizinių asmenų atveju – sutuoktiniai, tėvai ir jų vaikai (įvaikiai).</w:t>
      </w:r>
    </w:p>
  </w:footnote>
  <w:footnote w:id="11">
    <w:p>
      <w:pPr>
        <w:pStyle w:val="FootnoteText"/>
        <w:spacing w:lineRule="auto" w:line="240" w:before="0" w:after="0"/>
        <w:jc w:val="both"/>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2">
        <w:r>
          <w:rPr>
            <w:rStyle w:val="Hyperlink"/>
            <w:rFonts w:ascii="Times New Roman" w:hAnsi="Times New Roman"/>
          </w:rPr>
          <w:t>https://e-seimas.lrs.lt/portal/legalAct/lt/TAD/1a061730b0c711ecaf79c2120caf5094/asr</w:t>
        </w:r>
      </w:hyperlink>
    </w:p>
  </w:footnote>
  <w:footnote w:id="12">
    <w:p>
      <w:pPr>
        <w:pStyle w:val="Normal"/>
        <w:spacing w:lineRule="atLeast" w:line="240" w:before="0" w:after="0"/>
        <w:jc w:val="both"/>
        <w:rPr/>
      </w:pPr>
      <w:r>
        <w:rPr>
          <w:rStyle w:val="FootnoteCharacters"/>
        </w:rPr>
        <w:footnoteRef/>
      </w:r>
      <w:r>
        <w:rP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pPr>
        <w:pStyle w:val="FootnoteText"/>
        <w:spacing w:before="0" w:after="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502"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720" w:hanging="360"/>
      </w:pPr>
      <w:rPr>
        <w:i w:val="false"/>
        <w:i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5">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6">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sz w:val="21"/>
        <w:i w:val="false"/>
        <w:szCs w:val="21"/>
        <w:iCs w:val="false"/>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7">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8">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21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9">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0">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3280"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decimal"/>
      <w:lvlText w:val="%1."/>
      <w:lvlJc w:val="left"/>
      <w:pPr>
        <w:tabs>
          <w:tab w:val="num" w:pos="0"/>
        </w:tabs>
        <w:ind w:left="540" w:hanging="540"/>
      </w:pPr>
      <w:rPr/>
    </w:lvl>
    <w:lvl w:ilvl="1">
      <w:start w:val="4"/>
      <w:numFmt w:val="decimal"/>
      <w:lvlText w:val="%1.%2."/>
      <w:lvlJc w:val="left"/>
      <w:pPr>
        <w:tabs>
          <w:tab w:val="num" w:pos="0"/>
        </w:tabs>
        <w:ind w:left="540" w:hanging="540"/>
      </w:pPr>
      <w:r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9"/>
      <w:numFmt w:val="decimal"/>
      <w:lvlText w:val="%1."/>
      <w:lvlJc w:val="left"/>
      <w:pPr>
        <w:tabs>
          <w:tab w:val="num" w:pos="0"/>
        </w:tabs>
        <w:ind w:left="360" w:hanging="360"/>
      </w:pPr>
      <w:rPr>
        <w:i w:val="false"/>
        <w:rFonts w:eastAsia="" w:eastAsiaTheme="minorEastAsia"/>
        <w:color w:val="auto"/>
      </w:rPr>
    </w:lvl>
    <w:lvl w:ilvl="1">
      <w:start w:val="3"/>
      <w:numFmt w:val="decimal"/>
      <w:lvlText w:val="%1.%2."/>
      <w:lvlJc w:val="left"/>
      <w:pPr>
        <w:tabs>
          <w:tab w:val="num" w:pos="0"/>
        </w:tabs>
        <w:ind w:left="1070" w:hanging="360"/>
      </w:pPr>
      <w:rPr>
        <w:i w:val="false"/>
        <w:rFonts w:eastAsia="" w:eastAsiaTheme="minorEastAsia"/>
        <w:color w:val="auto"/>
      </w:rPr>
    </w:lvl>
    <w:lvl w:ilvl="2">
      <w:start w:val="1"/>
      <w:numFmt w:val="decimal"/>
      <w:lvlText w:val="%1.%2.%3."/>
      <w:lvlJc w:val="left"/>
      <w:pPr>
        <w:tabs>
          <w:tab w:val="num" w:pos="0"/>
        </w:tabs>
        <w:ind w:left="2140" w:hanging="720"/>
      </w:pPr>
      <w:rPr>
        <w:i w:val="false"/>
        <w:rFonts w:eastAsia="" w:eastAsiaTheme="minorEastAsia"/>
        <w:color w:val="auto"/>
      </w:rPr>
    </w:lvl>
    <w:lvl w:ilvl="3">
      <w:start w:val="1"/>
      <w:numFmt w:val="decimal"/>
      <w:lvlText w:val="%1.%2.%3.%4."/>
      <w:lvlJc w:val="left"/>
      <w:pPr>
        <w:tabs>
          <w:tab w:val="num" w:pos="0"/>
        </w:tabs>
        <w:ind w:left="2850" w:hanging="720"/>
      </w:pPr>
      <w:rPr>
        <w:i w:val="false"/>
        <w:rFonts w:eastAsia="" w:eastAsiaTheme="minorEastAsia"/>
        <w:color w:val="auto"/>
      </w:rPr>
    </w:lvl>
    <w:lvl w:ilvl="4">
      <w:start w:val="1"/>
      <w:numFmt w:val="decimal"/>
      <w:lvlText w:val="%1.%2.%3.%4.%5."/>
      <w:lvlJc w:val="left"/>
      <w:pPr>
        <w:tabs>
          <w:tab w:val="num" w:pos="0"/>
        </w:tabs>
        <w:ind w:left="3920" w:hanging="1080"/>
      </w:pPr>
      <w:rPr>
        <w:i w:val="false"/>
        <w:rFonts w:eastAsia="" w:eastAsiaTheme="minorEastAsia"/>
        <w:color w:val="auto"/>
      </w:rPr>
    </w:lvl>
    <w:lvl w:ilvl="5">
      <w:start w:val="1"/>
      <w:numFmt w:val="decimal"/>
      <w:lvlText w:val="%1.%2.%3.%4.%5.%6."/>
      <w:lvlJc w:val="left"/>
      <w:pPr>
        <w:tabs>
          <w:tab w:val="num" w:pos="0"/>
        </w:tabs>
        <w:ind w:left="4630" w:hanging="1080"/>
      </w:pPr>
      <w:rPr>
        <w:i w:val="false"/>
        <w:rFonts w:eastAsia="" w:eastAsiaTheme="minorEastAsia"/>
        <w:color w:val="auto"/>
      </w:rPr>
    </w:lvl>
    <w:lvl w:ilvl="6">
      <w:start w:val="1"/>
      <w:numFmt w:val="decimal"/>
      <w:lvlText w:val="%1.%2.%3.%4.%5.%6.%7."/>
      <w:lvlJc w:val="left"/>
      <w:pPr>
        <w:tabs>
          <w:tab w:val="num" w:pos="0"/>
        </w:tabs>
        <w:ind w:left="5700" w:hanging="1440"/>
      </w:pPr>
      <w:rPr>
        <w:i w:val="false"/>
        <w:rFonts w:eastAsia="" w:eastAsiaTheme="minorEastAsia"/>
        <w:color w:val="auto"/>
      </w:rPr>
    </w:lvl>
    <w:lvl w:ilvl="7">
      <w:start w:val="1"/>
      <w:numFmt w:val="decimal"/>
      <w:lvlText w:val="%1.%2.%3.%4.%5.%6.%7.%8."/>
      <w:lvlJc w:val="left"/>
      <w:pPr>
        <w:tabs>
          <w:tab w:val="num" w:pos="0"/>
        </w:tabs>
        <w:ind w:left="6410" w:hanging="1440"/>
      </w:pPr>
      <w:rPr>
        <w:i w:val="false"/>
        <w:rFonts w:eastAsia="" w:eastAsiaTheme="minorEastAsia"/>
        <w:color w:val="auto"/>
      </w:rPr>
    </w:lvl>
    <w:lvl w:ilvl="8">
      <w:start w:val="1"/>
      <w:numFmt w:val="decimal"/>
      <w:lvlText w:val="%1.%2.%3.%4.%5.%6.%7.%8.%9."/>
      <w:lvlJc w:val="left"/>
      <w:pPr>
        <w:tabs>
          <w:tab w:val="num" w:pos="0"/>
        </w:tabs>
        <w:ind w:left="7480" w:hanging="1800"/>
      </w:pPr>
      <w:rPr>
        <w:i w:val="false"/>
        <w:rFonts w:eastAsia="" w:eastAsiaTheme="minorEastAsia"/>
        <w:color w:val="auto"/>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7">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right"/>
      <w:pPr>
        <w:tabs>
          <w:tab w:val="num" w:pos="0"/>
        </w:tabs>
        <w:ind w:left="360" w:hanging="360"/>
      </w:pPr>
      <w:rPr/>
    </w:lvl>
    <w:lvl w:ilvl="1">
      <w:start w:val="1"/>
      <w:numFmt w:val="decimal"/>
      <w:lvlText w:val="%1.%2."/>
      <w:lvlJc w:val="left"/>
      <w:pPr>
        <w:tabs>
          <w:tab w:val="num" w:pos="792"/>
        </w:tabs>
        <w:ind w:left="792" w:hanging="432"/>
      </w:pPr>
      <w:rPr>
        <w:b w:val="false"/>
        <w:rFonts w:ascii="Trebuchet MS" w:hAnsi="Trebuchet MS"/>
      </w:rPr>
    </w:lvl>
    <w:lvl w:ilvl="2">
      <w:start w:val="1"/>
      <w:numFmt w:val="decimal"/>
      <w:lvlText w:val="%1.%2.%3."/>
      <w:lvlJc w:val="left"/>
      <w:pPr>
        <w:tabs>
          <w:tab w:val="num" w:pos="1584"/>
        </w:tabs>
        <w:ind w:left="794" w:hanging="437"/>
      </w:pPr>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22">
    <w:lvl w:ilvl="0">
      <w:start w:val="1"/>
      <w:numFmt w:val="decimal"/>
      <w:lvlText w:val="%1)"/>
      <w:lvlJc w:val="left"/>
      <w:pPr>
        <w:tabs>
          <w:tab w:val="num" w:pos="0"/>
        </w:tabs>
        <w:ind w:left="720" w:hanging="360"/>
      </w:pPr>
      <w:rPr>
        <w:i w:val="false"/>
        <w:b w:val="false"/>
        <w:iCs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i w:val="false"/>
        <w:b w:val="false"/>
        <w:iCs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860" w:hanging="50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2"/>
    <w:lvlOverride w:ilvl="0">
      <w:startOverride w:val="1"/>
    </w:lvlOverride>
  </w:num>
  <w:num w:numId="30">
    <w:abstractNumId w:val="22"/>
  </w:num>
  <w:num w:numId="31">
    <w:abstractNumId w:val="24"/>
    <w:lvlOverride w:ilvl="0">
      <w:startOverride w:val="4"/>
    </w:lvlOverride>
  </w:num>
  <w:num w:numId="32">
    <w:abstractNumId w:val="25"/>
    <w:lvlOverride w:ilvl="0">
      <w:startOverride w:val="1"/>
    </w:lvlOverride>
    <w:lvlOverride w:ilvl="1">
      <w:startOverride w:val="1"/>
    </w:lvlOverride>
  </w:num>
  <w:num w:numId="33">
    <w:abstractNumId w:val="25"/>
  </w:num>
  <w:num w:numId="34">
    <w:abstractNumId w:val="25"/>
  </w:num>
</w:numbering>
</file>

<file path=word/settings.xml><?xml version="1.0" encoding="utf-8"?>
<w:settings xmlns:w="http://schemas.openxmlformats.org/wordprocessingml/2006/main">
  <w:zoom w:percent="9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eb164f"/>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Antrat2Diagrama" w:customStyle="1">
    <w:name w:val="Antraštė 2 Diagrama"/>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CitataDiagrama" w:customStyle="1">
    <w:name w:val="Citata Diagrama"/>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Eop" w:customStyle="1">
    <w:name w:val="eop"/>
    <w:basedOn w:val="DefaultParagraphFont"/>
    <w:qFormat/>
    <w:rsid w:val="00031e45"/>
    <w:rPr/>
  </w:style>
  <w:style w:type="character" w:styleId="Normaltextrun" w:customStyle="1">
    <w:name w:val="normaltextrun"/>
    <w:basedOn w:val="DefaultParagraphFont"/>
    <w:qFormat/>
    <w:rsid w:val="005410f2"/>
    <w:rPr/>
  </w:style>
  <w:style w:type="character" w:styleId="Skaiiai2lygisChar" w:customStyle="1">
    <w:name w:val="Skaičiai_2 lygis Char"/>
    <w:basedOn w:val="DefaultParagraphFont"/>
    <w:link w:val="Skaiiai2lygis"/>
    <w:qFormat/>
    <w:locked/>
    <w:rsid w:val="00f575f9"/>
    <w:rPr>
      <w:color w:val="000000"/>
    </w:rPr>
  </w:style>
  <w:style w:type="character" w:styleId="IndexLink">
    <w:name w:val="Index Link"/>
    <w:qFormat/>
    <w:rPr/>
  </w:style>
  <w:style w:type="paragraph" w:styleId="Heading" w:customStyle="1">
    <w:name w:val="Heading"/>
    <w:next w:val="Body2"/>
    <w:qFormat/>
    <w:rsid w:val="00072fe6"/>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qFormat/>
    <w:rsid w:val="00d05666"/>
    <w:pPr/>
    <w:rPr>
      <w:sz w:val="20"/>
      <w:szCs w:val="20"/>
    </w:rPr>
  </w:style>
  <w:style w:type="paragraph" w:styleId="Annotationtext">
    <w:name w:val="annotation text"/>
    <w:basedOn w:val="Normal"/>
    <w:link w:val="KomentarotekstasDiagrama"/>
    <w:unhideWhenUsed/>
    <w:qFormat/>
    <w:rsid w:val="00d05666"/>
    <w:pPr/>
    <w:rPr>
      <w:sz w:val="20"/>
      <w:szCs w:val="20"/>
    </w:rPr>
  </w:style>
  <w:style w:type="paragraph" w:styleId="Subtitle">
    <w:name w:val="Subtitle"/>
    <w:basedOn w:val="Normal"/>
    <w:next w:val="Normal"/>
    <w:link w:val="PaantratDiagrama"/>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
    <w:name w:val="caption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eb164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left="283"/>
    </w:pPr>
    <w:rPr/>
  </w:style>
  <w:style w:type="paragraph" w:styleId="Skaiiai2lygis" w:customStyle="1">
    <w:name w:val="Skaičiai_2 lygis"/>
    <w:basedOn w:val="Normal"/>
    <w:link w:val="Skaiiai2lygisChar"/>
    <w:qFormat/>
    <w:rsid w:val="00f575f9"/>
    <w:pPr>
      <w:numPr>
        <w:ilvl w:val="1"/>
        <w:numId w:val="21"/>
      </w:numPr>
      <w:spacing w:lineRule="auto" w:line="240" w:before="0" w:after="0"/>
      <w:jc w:val="both"/>
    </w:pPr>
    <w:rPr>
      <w:color w:val="000000"/>
    </w:rPr>
  </w:style>
  <w:style w:type="paragraph" w:styleId="Paragraph" w:customStyle="1">
    <w:name w:val="paragraph"/>
    <w:basedOn w:val="Normal"/>
    <w:qFormat/>
    <w:rsid w:val="00fb24f9"/>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qFormat/>
    <w:rsid w:val="00ff3f13"/>
    <w:pPr>
      <w:spacing w:after="0" w:line="240" w:lineRule="auto"/>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lt/nuorodos/kiti-duomenys/powerbi/melaginga-informacija-pateikusiu-tiekeju-sarasas-3/" TargetMode="External"/><Relationship Id="rId9" Type="http://schemas.openxmlformats.org/officeDocument/2006/relationships/hyperlink" Target="https://vpt.lrv.lt/lt/nuorodos/kiti-duomenys/powerbi/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3/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image" Target="media/image1.png"/><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ac5a5e30878f11ed8df094f359a60216" TargetMode="External"/><Relationship Id="rId2" Type="http://schemas.openxmlformats.org/officeDocument/2006/relationships/hyperlink" Target="https://e-seimas.lrs.lt/portal/legalAct/lt/TAD/1a061730b0c711ecaf79c2120caf5094/asr"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microsoft.com/office/2006/metadata/properties"/>
    <ds:schemaRef ds:uri="http://purl.org/dc/dcmitype/"/>
    <ds:schemaRef ds:uri="e58d86aa-8fe5-4539-8203-03c44674af5d"/>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Application>LibreOffice/7.6.4.1$Windows_X86_64 LibreOffice_project/e19e193f88cd6c0525a17fb7a176ed8e6a3e2aa1</Application>
  <AppVersion>15.0000</AppVersion>
  <Pages>39</Pages>
  <Words>8037</Words>
  <Characters>57889</Characters>
  <CharactersWithSpaces>65475</CharactersWithSpaces>
  <Paragraphs>498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2024-11-28T07:07:00Z</dcterms:created>
  <dc:creator/>
  <dc:description/>
  <dc:language>en-US</dc:language>
  <cp:lastModifiedBy/>
  <dcterms:modified xsi:type="dcterms:W3CDTF">2025-03-14T16:35:58Z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