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6B72" w:rsidR="00C45C65" w:rsidP="00C45C65" w:rsidRDefault="00C45C65" w14:paraId="77BA162F" w14:textId="77777777">
      <w:pPr>
        <w:pBdr>
          <w:bar w:val="single" w:color="auto" w:sz="4"/>
        </w:pBdr>
        <w:jc w:val="center"/>
        <w:rPr>
          <w:b/>
          <w:bCs/>
        </w:rPr>
      </w:pPr>
    </w:p>
    <w:p w:rsidRPr="00EB6B72" w:rsidR="00C45C65" w:rsidP="00C45C65" w:rsidRDefault="00C45C65" w14:paraId="38F1FBF1" w14:textId="77777777">
      <w:pPr>
        <w:pBdr>
          <w:bar w:val="single" w:color="auto" w:sz="4"/>
        </w:pBdr>
        <w:jc w:val="center"/>
        <w:rPr>
          <w:b/>
          <w:bCs/>
        </w:rPr>
      </w:pPr>
      <w:r w:rsidRPr="00EB6B72">
        <w:rPr>
          <w:b/>
          <w:bCs/>
        </w:rPr>
        <w:t>TECHNINĖ SPECIFIKACIJA</w:t>
      </w:r>
    </w:p>
    <w:p w:rsidRPr="00EB6B72" w:rsidR="00C45C65" w:rsidP="00C45C65" w:rsidRDefault="00C45C65" w14:paraId="365B1190" w14:textId="77777777">
      <w:pPr>
        <w:jc w:val="center"/>
        <w:rPr>
          <w:b/>
          <w:bCs/>
          <w:szCs w:val="24"/>
        </w:rPr>
      </w:pPr>
    </w:p>
    <w:p w:rsidRPr="00EB6B72" w:rsidR="00C45C65" w:rsidP="467CCC09" w:rsidRDefault="003B6C0F" w14:paraId="5EBD7FF3" w14:textId="0B17C705">
      <w:pPr>
        <w:tabs>
          <w:tab w:val="left" w:leader="none" w:pos="720"/>
        </w:tabs>
        <w:jc w:val="center"/>
        <w:rPr>
          <w:b w:val="1"/>
          <w:bCs w:val="1"/>
        </w:rPr>
      </w:pPr>
      <w:r w:rsidRPr="467CCC09" w:rsidR="003B6C0F">
        <w:rPr>
          <w:b w:val="1"/>
          <w:bCs w:val="1"/>
          <w:color w:val="auto"/>
        </w:rPr>
        <w:t>S</w:t>
      </w:r>
      <w:r w:rsidRPr="467CCC09" w:rsidR="189C0641">
        <w:rPr>
          <w:b w:val="1"/>
          <w:bCs w:val="1"/>
          <w:color w:val="auto"/>
        </w:rPr>
        <w:t xml:space="preserve">TRATEGINIŲ </w:t>
      </w:r>
      <w:r w:rsidRPr="467CCC09" w:rsidR="003B6C0F">
        <w:rPr>
          <w:b w:val="1"/>
          <w:bCs w:val="1"/>
          <w:color w:val="auto"/>
        </w:rPr>
        <w:t>KOMPETENCIJ</w:t>
      </w:r>
      <w:r w:rsidRPr="467CCC09" w:rsidR="2DEEF2C1">
        <w:rPr>
          <w:b w:val="1"/>
          <w:bCs w:val="1"/>
          <w:color w:val="auto"/>
        </w:rPr>
        <w:t>Ų</w:t>
      </w:r>
      <w:r w:rsidRPr="467CCC09" w:rsidR="003B6C0F">
        <w:rPr>
          <w:b w:val="1"/>
          <w:bCs w:val="1"/>
          <w:color w:val="auto"/>
        </w:rPr>
        <w:t xml:space="preserve"> MOKYMŲ</w:t>
      </w:r>
      <w:r w:rsidRPr="467CCC09" w:rsidR="00C45C65">
        <w:rPr>
          <w:b w:val="1"/>
          <w:bCs w:val="1"/>
        </w:rPr>
        <w:t xml:space="preserve"> PASLAUG</w:t>
      </w:r>
      <w:r w:rsidRPr="467CCC09" w:rsidR="003B6C0F">
        <w:rPr>
          <w:b w:val="1"/>
          <w:bCs w:val="1"/>
        </w:rPr>
        <w:t>Ų TECHNINĖ SPECIFIKACIJA</w:t>
      </w:r>
    </w:p>
    <w:p w:rsidRPr="00EB6B72" w:rsidR="00C45C65" w:rsidP="00C45C65" w:rsidRDefault="00C45C65" w14:paraId="26E287C9" w14:textId="77777777">
      <w:pPr>
        <w:tabs>
          <w:tab w:val="left" w:pos="0"/>
          <w:tab w:val="left" w:pos="720"/>
        </w:tabs>
        <w:jc w:val="center"/>
        <w:rPr>
          <w:b/>
          <w:bCs/>
          <w:szCs w:val="24"/>
        </w:rPr>
      </w:pPr>
    </w:p>
    <w:p w:rsidR="60EB0E61" w:rsidP="60EB0E61" w:rsidRDefault="60EB0E61" w14:paraId="2100B48B" w14:textId="5A419F34">
      <w:pPr>
        <w:tabs>
          <w:tab w:val="num" w:pos="709"/>
        </w:tabs>
      </w:pPr>
    </w:p>
    <w:p w:rsidRPr="00EB6B72" w:rsidR="00C45C65" w:rsidP="00C45C65" w:rsidRDefault="00C45C65" w14:paraId="05A79D65" w14:textId="7A48F646">
      <w:pPr>
        <w:tabs>
          <w:tab w:val="left" w:pos="0"/>
          <w:tab w:val="left" w:pos="720"/>
        </w:tabs>
        <w:jc w:val="center"/>
        <w:rPr>
          <w:b/>
          <w:szCs w:val="24"/>
        </w:rPr>
      </w:pPr>
      <w:r w:rsidRPr="00EB6B72">
        <w:rPr>
          <w:b/>
          <w:szCs w:val="24"/>
        </w:rPr>
        <w:t>I. ĮVADINĖ INFORMACIJA</w:t>
      </w:r>
    </w:p>
    <w:p w:rsidRPr="00EB6B72" w:rsidR="00C45C65" w:rsidP="00C45C65" w:rsidRDefault="00C45C65" w14:paraId="0A4DD13C" w14:textId="77777777">
      <w:pPr>
        <w:jc w:val="center"/>
        <w:rPr>
          <w:b/>
          <w:szCs w:val="24"/>
        </w:rPr>
      </w:pPr>
    </w:p>
    <w:p w:rsidR="009561CA" w:rsidP="009561CA" w:rsidRDefault="00C45C65" w14:paraId="47214DB6" w14:textId="77777777">
      <w:pPr>
        <w:pStyle w:val="ListParagraph"/>
        <w:numPr>
          <w:ilvl w:val="1"/>
          <w:numId w:val="5"/>
        </w:numPr>
        <w:contextualSpacing w:val="0"/>
        <w:jc w:val="both"/>
        <w:rPr>
          <w:szCs w:val="24"/>
        </w:rPr>
      </w:pPr>
      <w:r>
        <w:t>2.</w:t>
      </w:r>
      <w:r w:rsidR="514EF30C">
        <w:t xml:space="preserve">1. </w:t>
      </w:r>
      <w:r w:rsidRPr="002E5E03" w:rsidR="009561CA">
        <w:rPr>
          <w:szCs w:val="24"/>
          <w:lang w:eastAsia="lt-LT"/>
        </w:rPr>
        <w:t xml:space="preserve">Viešojo valdymo agentūra (toliau – Užsakovas, Perkančioji organizacija), </w:t>
      </w:r>
    </w:p>
    <w:p w:rsidRPr="009561CA" w:rsidR="009561CA" w:rsidP="009561CA" w:rsidRDefault="009561CA" w14:paraId="74A923A0" w14:textId="63762975">
      <w:pPr>
        <w:jc w:val="both"/>
        <w:rPr>
          <w:szCs w:val="24"/>
        </w:rPr>
      </w:pPr>
      <w:r w:rsidRPr="009561CA">
        <w:rPr>
          <w:szCs w:val="24"/>
          <w:lang w:eastAsia="lt-LT"/>
        </w:rPr>
        <w:t xml:space="preserve">įgyvendindama Aštuonioliktosios Lietuvos Respublikos Vyriausybės programos, kuriai pritarta Lietuvos Respublikos Seimo 2020 m. gruodžio 11 d. nutarimu Nr. XIV-72 „Dėl Aštuonioliktosios Lietuvos Respublikos Vyriausybės programos“ (toliau – Vyriausybės programa), nuostatas, vykdo valstybės tarnybos pertvarką ir ES struktūrinių fondų lėšomis įgyvendina </w:t>
      </w:r>
      <w:r w:rsidRPr="009561CA">
        <w:rPr>
          <w:szCs w:val="24"/>
        </w:rPr>
        <w:t>projektą „Strateginių kompetencijų nustatymo, ugdymo ir palaikymo sistemos sukūrimas ir diegimas viešajame sektoriuje“ Nr. 11-003-P-0001. Jis įgyvendinamas pagal plėtros programos pažangos priemonės Nr.</w:t>
      </w:r>
      <w:r w:rsidRPr="009561CA">
        <w:rPr>
          <w:i/>
          <w:szCs w:val="24"/>
        </w:rPr>
        <w:t> </w:t>
      </w:r>
      <w:r w:rsidRPr="009561CA">
        <w:rPr>
          <w:bCs/>
          <w:iCs/>
          <w:szCs w:val="24"/>
        </w:rPr>
        <w:t xml:space="preserve">01-002-08-03-01 </w:t>
      </w:r>
      <w:r w:rsidRPr="009561CA">
        <w:rPr>
          <w:szCs w:val="24"/>
        </w:rPr>
        <w:t>„</w:t>
      </w:r>
      <w:r w:rsidRPr="009561CA">
        <w:rPr>
          <w:bCs/>
          <w:iCs/>
          <w:szCs w:val="24"/>
        </w:rPr>
        <w:t>Sukurti modernią viešojo valdymo institucijų žmogiškųjų išteklių valdysenos sistemą“</w:t>
      </w:r>
      <w:r w:rsidRPr="009561CA">
        <w:rPr>
          <w:i/>
          <w:iCs/>
          <w:szCs w:val="24"/>
        </w:rPr>
        <w:t xml:space="preserve"> </w:t>
      </w:r>
      <w:r w:rsidRPr="009561CA">
        <w:rPr>
          <w:szCs w:val="24"/>
        </w:rPr>
        <w:t>apraše, patvirtintame Lietuvos Respublikos vidaus reikalų ministro 2022 m. birželio 14 d. įsakymu Nr. 1V-432 „Dėl 2022–2030 m. plėtros programos valdytojos Lietuvos Respublikos vidaus reikalų ministerijos Viešojo valdymo plėtros programos pažangos priemonės Nr. 01-001-08-03-01 „Sukurti modernią viešojo valdymo institucijų žmogiškųjų išteklių valdysenos sistemą“ (Lietuvos Respublikos vidaus reikalų ministro 2023 m. balandžio 7 d. Nr. 1V-207 galiojanti suvestinė redakcija), Projektų administravimo ir finansavimo taisyklėse</w:t>
      </w:r>
      <w:r w:rsidRPr="009561CA">
        <w:rPr>
          <w:iCs/>
          <w:szCs w:val="24"/>
        </w:rPr>
        <w:t xml:space="preserve"> (toliau – Taisyklės) </w:t>
      </w:r>
      <w:r w:rsidRPr="009561CA">
        <w:rPr>
          <w:szCs w:val="24"/>
        </w:rPr>
        <w:t xml:space="preserve">ir (arba) Finansinių priemonių įgyvendinimo taisyklėse, </w:t>
      </w:r>
      <w:r w:rsidRPr="009561CA">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Pr="009561CA">
        <w:rPr>
          <w:szCs w:val="24"/>
        </w:rPr>
        <w:t>,</w:t>
      </w:r>
      <w:r w:rsidRPr="009561CA">
        <w:rPr>
          <w:i/>
          <w:iCs/>
          <w:szCs w:val="24"/>
        </w:rPr>
        <w:t xml:space="preserve"> </w:t>
      </w:r>
      <w:r w:rsidRPr="009561CA">
        <w:rPr>
          <w:szCs w:val="24"/>
        </w:rPr>
        <w:t xml:space="preserve">ir juose nurodytuose ES ir Lietuvos Respublikos teisės aktuose nustatytas sąlygas ir tvarką. </w:t>
      </w:r>
    </w:p>
    <w:p w:rsidRPr="002E5E03" w:rsidR="009561CA" w:rsidP="009561CA" w:rsidRDefault="009561CA" w14:paraId="17C8AAF6" w14:textId="77777777">
      <w:pPr>
        <w:jc w:val="both"/>
        <w:rPr>
          <w:szCs w:val="24"/>
        </w:rPr>
      </w:pPr>
    </w:p>
    <w:p w:rsidRPr="009561CA" w:rsidR="009561CA" w:rsidP="009561CA" w:rsidRDefault="009561CA" w14:paraId="08536055" w14:textId="253E25F7">
      <w:pPr>
        <w:pStyle w:val="ListParagraph"/>
        <w:numPr>
          <w:ilvl w:val="0"/>
          <w:numId w:val="6"/>
        </w:numPr>
        <w:tabs>
          <w:tab w:val="left" w:pos="720"/>
        </w:tabs>
        <w:jc w:val="center"/>
        <w:rPr>
          <w:b/>
          <w:bCs/>
          <w:szCs w:val="24"/>
        </w:rPr>
      </w:pPr>
      <w:r w:rsidRPr="009561CA">
        <w:rPr>
          <w:b/>
          <w:bCs/>
          <w:szCs w:val="24"/>
        </w:rPr>
        <w:t>PIRKIMO KONTEKSTAS, TIKSLAS IR TIKSLINĖ GRUPĖ, OBJEKTAS</w:t>
      </w:r>
    </w:p>
    <w:p w:rsidRPr="002E5E03" w:rsidR="009561CA" w:rsidP="009561CA" w:rsidRDefault="009561CA" w14:paraId="01A362DE" w14:textId="77777777">
      <w:pPr>
        <w:rPr>
          <w:szCs w:val="24"/>
        </w:rPr>
      </w:pPr>
    </w:p>
    <w:p w:rsidRPr="002E5E03" w:rsidR="009561CA" w:rsidP="009561CA" w:rsidRDefault="009561CA" w14:paraId="741484C9" w14:textId="77777777">
      <w:pPr>
        <w:pStyle w:val="xparagraph"/>
        <w:shd w:val="clear" w:color="auto" w:fill="FFFFFF" w:themeFill="background1"/>
        <w:spacing w:before="0" w:beforeAutospacing="0" w:after="0" w:afterAutospacing="0"/>
        <w:ind w:firstLine="720"/>
        <w:jc w:val="both"/>
        <w:rPr>
          <w:lang w:val="lt-LT"/>
        </w:rPr>
      </w:pPr>
      <w:r>
        <w:rPr>
          <w:b/>
          <w:bCs/>
          <w:lang w:val="lt-LT"/>
        </w:rPr>
        <w:t xml:space="preserve">2.1. </w:t>
      </w:r>
      <w:r w:rsidRPr="002E5E03">
        <w:rPr>
          <w:b/>
          <w:bCs/>
          <w:lang w:val="lt-LT"/>
        </w:rPr>
        <w:t>Pirkimo kontekstas:</w:t>
      </w:r>
      <w:r w:rsidRPr="002E5E03">
        <w:rPr>
          <w:lang w:val="lt-LT"/>
        </w:rPr>
        <w:t xml:space="preserve"> Projektas prisidės prie reikšmingo postūmio šalies skaitmeninei transformacijai vystant viešojo sektoriaus darbuotojų skaitmeninius įgūdžius, kurie padidins Lietuvos gyventojams teikiamų viešųjų ir/ar administracinių e. paslaugų prieinamumą, kokybę bei savalaikiškumą. Viešojo sektoriaus darbuotojų strateginės skaitmeninės kompetencijos nėra pakankamos, todėl yra svarbu nuolat jas stiprinti, kad savo veikloje jie galėtų taikyti ir naudoti pažangiausias skaitmenines technologijas. Šiuo metu nėra sukurtos, įdiegtos ir veikiančios vieningos viešojo sektoriaus darbuotojų ugdymo ir palaikymo sistemos, kuri sudarytų galimybes sistemiškai ugdyti ir tobulinti darbuotojų strategines kompetencijas. Įsigaliojus naujai </w:t>
      </w:r>
      <w:r w:rsidRPr="002E5E03">
        <w:rPr>
          <w:i/>
          <w:iCs/>
          <w:lang w:val="lt-LT"/>
        </w:rPr>
        <w:t>Valstybės tarnybos įstatymo</w:t>
      </w:r>
      <w:r w:rsidRPr="002E5E03">
        <w:rPr>
          <w:lang w:val="lt-LT"/>
        </w:rPr>
        <w:t xml:space="preserve"> redakcijai nuo 2019 m. sausio 1 d. buvo decentralizuota visų valstybės tarnautojų kvalifikacijos tobulinimo sistema, todėl kompetencijų ugdymas ir palaikymas tapo fragmentiškas – nors teisės aktuose nustatyti kvalifikacijos tobulinimo prioritetai, formos, poreikio tobulinti kvalifikaciją identifikavimas, nesant sisteminio požiūrio į vadovų korpuso kompetencijas bei jų svarbą, nėra užtikrinamas kompetencijų nustatymo nuoseklumas ir jų ugdymo tikslingumas, atitiktis esamiems ir būsimiems valstybės poreikiams, taip pat nėra vertinama ugdymo kokybė ir </w:t>
      </w:r>
      <w:r w:rsidRPr="002E5E03">
        <w:rPr>
          <w:lang w:val="lt-LT"/>
        </w:rPr>
        <w:t>jos poveikis viešojo sektoriaus darbuotojų veiklos rezultatui, o tuo pačiu ir įstaigos, veiklos rezultatams ir tikslų įgyvendinimui.</w:t>
      </w:r>
    </w:p>
    <w:p w:rsidRPr="002E5E03" w:rsidR="009561CA" w:rsidP="009561CA" w:rsidRDefault="009561CA" w14:paraId="5236FE51" w14:textId="77777777">
      <w:pPr>
        <w:ind w:firstLine="720"/>
        <w:jc w:val="both"/>
        <w:rPr>
          <w:szCs w:val="24"/>
        </w:rPr>
      </w:pPr>
      <w:r>
        <w:rPr>
          <w:szCs w:val="24"/>
        </w:rPr>
        <w:t xml:space="preserve">2.2. </w:t>
      </w:r>
      <w:r w:rsidRPr="002E5E03">
        <w:rPr>
          <w:szCs w:val="24"/>
        </w:rPr>
        <w:t>Nesant strateginių kompetencijų viešajame sektoriuje nustatymo, ugdymo ir palaikymo sistemos, didėja kompetencijų tobulinimo kaštai, kyla neefektyvaus lėšų naudojimo rizika netikslingai ugdant kompetencijas, neužtikrinama ugdymo kokybė, nestebima kompetencijų tobulinimo pažanga ir jų įtaka institucijų veiklos rezultatams. Nėra sukurta aiškių mokymo programų modulių viešojo sektoriaus specialistams ir vidurinės grandies vadovams, nesukurta strateginių kompetencijų viešajame sektoriuje ugdymo metodika, nėra mechanizmo, užtikrinančio, kad strateginės kompetencijos valstybės mastu būtų stiprinamos sistemiškai, periodiškai.</w:t>
      </w:r>
    </w:p>
    <w:p w:rsidRPr="00BA27A7" w:rsidR="009561CA" w:rsidP="009561CA" w:rsidRDefault="009561CA" w14:paraId="22C75300" w14:textId="77777777">
      <w:pPr>
        <w:ind w:firstLine="709"/>
        <w:jc w:val="both"/>
        <w:rPr>
          <w:szCs w:val="24"/>
        </w:rPr>
      </w:pPr>
      <w:r>
        <w:rPr>
          <w:szCs w:val="24"/>
        </w:rPr>
        <w:t xml:space="preserve">2.3. </w:t>
      </w:r>
      <w:r w:rsidRPr="002E5E03">
        <w:rPr>
          <w:szCs w:val="24"/>
        </w:rPr>
        <w:t xml:space="preserve">Siekiant ugdyti viešojo sektoriaus darbuotojų gebėjimus ir strategines kompetencijas, būtinas sisteminis požiūris bei perspektyvos. Atlikti tyrimai patvirtina, jog </w:t>
      </w:r>
      <w:proofErr w:type="spellStart"/>
      <w:r w:rsidRPr="002E5E03">
        <w:rPr>
          <w:szCs w:val="24"/>
        </w:rPr>
        <w:t>fragmentiniai</w:t>
      </w:r>
      <w:proofErr w:type="spellEnd"/>
      <w:r w:rsidRPr="002E5E03">
        <w:rPr>
          <w:szCs w:val="24"/>
        </w:rPr>
        <w:t xml:space="preserve"> mokymai, neturint sistemos, nesukuria reikiamos pridėtinės vertės </w:t>
      </w:r>
      <w:r w:rsidRPr="00BA27A7">
        <w:rPr>
          <w:szCs w:val="24"/>
        </w:rPr>
        <w:t>ir negali pakeisti gebėjimų iš esmės.</w:t>
      </w:r>
    </w:p>
    <w:p w:rsidRPr="002E5E03" w:rsidR="009561CA" w:rsidP="009561CA" w:rsidRDefault="009561CA" w14:paraId="53C7FE37" w14:textId="77777777">
      <w:pPr>
        <w:ind w:firstLine="709"/>
        <w:jc w:val="both"/>
        <w:rPr>
          <w:szCs w:val="24"/>
        </w:rPr>
      </w:pPr>
      <w:r w:rsidRPr="00BA27A7">
        <w:rPr>
          <w:szCs w:val="24"/>
        </w:rPr>
        <w:t xml:space="preserve">2.4. Įdiegus strateginių kompetencijų </w:t>
      </w:r>
      <w:r w:rsidRPr="00251DEF">
        <w:rPr>
          <w:szCs w:val="24"/>
        </w:rPr>
        <w:t>nustatymo, palaikymo ir ugdymo sistemą</w:t>
      </w:r>
      <w:r w:rsidRPr="00BA27A7">
        <w:rPr>
          <w:szCs w:val="24"/>
        </w:rPr>
        <w:t>, kuri</w:t>
      </w:r>
      <w:r w:rsidRPr="002E5E03">
        <w:rPr>
          <w:szCs w:val="24"/>
        </w:rPr>
        <w:t xml:space="preserve"> sudarys prielaidas valstybės mastu nustatyti ir vertinti esamų viešojo sektoriaus darbuotojų ugdymo poreikius, stiprinti tobulintinas vietas, taikant pažangias, kompleksines ir vienodos kokybės priemones.</w:t>
      </w:r>
    </w:p>
    <w:p w:rsidR="009561CA" w:rsidP="009561CA" w:rsidRDefault="009561CA" w14:paraId="0B8340B5" w14:textId="192D2E12">
      <w:pPr>
        <w:ind w:firstLine="720"/>
        <w:jc w:val="both"/>
        <w:rPr>
          <w:szCs w:val="24"/>
        </w:rPr>
      </w:pPr>
      <w:r>
        <w:rPr>
          <w:rStyle w:val="normaltextrun"/>
          <w:b/>
          <w:bCs/>
          <w:szCs w:val="24"/>
          <w:shd w:val="clear" w:color="auto" w:fill="FFFFFF"/>
        </w:rPr>
        <w:t>2.</w:t>
      </w:r>
      <w:r w:rsidRPr="009561CA">
        <w:rPr>
          <w:rStyle w:val="normaltextrun"/>
          <w:b/>
          <w:bCs/>
          <w:szCs w:val="24"/>
          <w:shd w:val="clear" w:color="auto" w:fill="FFFFFF"/>
        </w:rPr>
        <w:t>5</w:t>
      </w:r>
      <w:r>
        <w:rPr>
          <w:rStyle w:val="normaltextrun"/>
          <w:b/>
          <w:bCs/>
          <w:szCs w:val="24"/>
          <w:shd w:val="clear" w:color="auto" w:fill="FFFFFF"/>
        </w:rPr>
        <w:t xml:space="preserve">. </w:t>
      </w:r>
      <w:r w:rsidRPr="00285B40">
        <w:rPr>
          <w:rStyle w:val="normaltextrun"/>
          <w:b/>
          <w:bCs/>
          <w:szCs w:val="24"/>
          <w:shd w:val="clear" w:color="auto" w:fill="FFFFFF"/>
        </w:rPr>
        <w:t>Projekto tikslinė grupė</w:t>
      </w:r>
      <w:r w:rsidRPr="00285B40">
        <w:rPr>
          <w:rStyle w:val="normaltextrun"/>
          <w:szCs w:val="24"/>
          <w:shd w:val="clear" w:color="auto" w:fill="FFFFFF"/>
        </w:rPr>
        <w:t xml:space="preserve"> - Valstybės ir savivaldybių institucijų ir įstaigų valstybės tarnautojai (įskaitant statutinius valstybės tarnautojus ir diplomatinį rangą turinčius statutinius valstybės tarnautojus), darbuotojai, dirbantys pagal darbo sutartis, valstybės pareigūnai, žvalgybos, Specialiųjų </w:t>
      </w:r>
      <w:r w:rsidRPr="00285B40">
        <w:rPr>
          <w:szCs w:val="24"/>
        </w:rPr>
        <w:t xml:space="preserve">tyrimų tarnybos pareigūnai, Valstybės kontrolės darbuotojai, biudžetinių ir viešųjų įstaigų, turinčių viešojo administravimo įgaliojimus, darbuotojai, įstaigų, kurios centralizuotai atlieka dalį viešojo sektoriaus subjektų bendrųjų funkcijų, darbuotojai, regionų plėtros tarybų ir Vyriausybės strateginės analizės centro darbuotojai </w:t>
      </w:r>
      <w:r>
        <w:rPr>
          <w:szCs w:val="24"/>
        </w:rPr>
        <w:t>bei</w:t>
      </w:r>
      <w:r w:rsidRPr="00285B40">
        <w:rPr>
          <w:szCs w:val="24"/>
        </w:rPr>
        <w:t xml:space="preserve"> vidurinės grandies vadovai.</w:t>
      </w:r>
    </w:p>
    <w:p w:rsidR="020F9938" w:rsidP="020F9938" w:rsidRDefault="020F9938" w14:paraId="70BF8926" w14:textId="455B93D6">
      <w:pPr>
        <w:ind w:firstLine="709"/>
        <w:jc w:val="both"/>
      </w:pPr>
    </w:p>
    <w:p w:rsidRPr="00EB6B72" w:rsidR="00C45C65" w:rsidP="00C45C65" w:rsidRDefault="00C45C65" w14:paraId="6F0AE9B9" w14:textId="77777777">
      <w:pPr>
        <w:ind w:firstLine="709"/>
        <w:jc w:val="both"/>
        <w:rPr>
          <w:szCs w:val="24"/>
        </w:rPr>
      </w:pPr>
    </w:p>
    <w:p w:rsidRPr="00EB6B72" w:rsidR="00C45C65" w:rsidP="00C45C65" w:rsidRDefault="00C45C65" w14:paraId="10B5532C" w14:textId="77777777">
      <w:pPr>
        <w:jc w:val="center"/>
        <w:rPr>
          <w:b/>
          <w:szCs w:val="24"/>
        </w:rPr>
      </w:pPr>
      <w:r w:rsidRPr="00EB6B72">
        <w:rPr>
          <w:b/>
          <w:szCs w:val="24"/>
        </w:rPr>
        <w:t>III. PIRKIMO OBJEKTAS</w:t>
      </w:r>
    </w:p>
    <w:p w:rsidRPr="00EB6B72" w:rsidR="00C45C65" w:rsidP="00C45C65" w:rsidRDefault="00C45C65" w14:paraId="1744874B" w14:textId="77777777">
      <w:pPr>
        <w:ind w:firstLine="709"/>
        <w:jc w:val="both"/>
        <w:rPr>
          <w:szCs w:val="24"/>
        </w:rPr>
      </w:pPr>
    </w:p>
    <w:p w:rsidRPr="00EB6B72" w:rsidR="00C45C65" w:rsidP="00C45C65" w:rsidRDefault="00C45C65" w14:paraId="3B070696" w14:textId="33507042">
      <w:pPr>
        <w:ind w:firstLine="709"/>
        <w:jc w:val="both"/>
        <w:rPr>
          <w:szCs w:val="24"/>
        </w:rPr>
      </w:pPr>
      <w:r w:rsidRPr="00EB6B72">
        <w:rPr>
          <w:szCs w:val="24"/>
        </w:rPr>
        <w:t xml:space="preserve">3. Pirkimo objektas skaidomas į </w:t>
      </w:r>
      <w:r w:rsidR="00E94C70">
        <w:rPr>
          <w:szCs w:val="24"/>
          <w:lang w:val="en-US"/>
        </w:rPr>
        <w:t>4</w:t>
      </w:r>
      <w:r w:rsidR="00EC4E1E">
        <w:rPr>
          <w:szCs w:val="24"/>
        </w:rPr>
        <w:t xml:space="preserve"> </w:t>
      </w:r>
      <w:r w:rsidRPr="00EB6B72">
        <w:rPr>
          <w:szCs w:val="24"/>
        </w:rPr>
        <w:t>pirkimo dalis:</w:t>
      </w:r>
    </w:p>
    <w:p w:rsidRPr="00EB6B72" w:rsidR="00C45C65" w:rsidP="00C45C65" w:rsidRDefault="00C45C65" w14:paraId="17948721" w14:textId="03AB9047">
      <w:pPr>
        <w:ind w:firstLine="709"/>
        <w:jc w:val="both"/>
        <w:rPr>
          <w:szCs w:val="24"/>
        </w:rPr>
      </w:pPr>
      <w:r w:rsidRPr="00EB6B72">
        <w:rPr>
          <w:szCs w:val="24"/>
        </w:rPr>
        <w:t>3.1. I dalis – mokymai „</w:t>
      </w:r>
      <w:r w:rsidR="00E94C70">
        <w:rPr>
          <w:szCs w:val="24"/>
        </w:rPr>
        <w:t>Skaitmeninės kompetencijos mokymai</w:t>
      </w:r>
      <w:r w:rsidRPr="00EB6B72">
        <w:rPr>
          <w:szCs w:val="24"/>
        </w:rPr>
        <w:t>“ (</w:t>
      </w:r>
      <w:r w:rsidR="00E94C70">
        <w:rPr>
          <w:szCs w:val="24"/>
          <w:lang w:val="en-US"/>
        </w:rPr>
        <w:t>8</w:t>
      </w:r>
      <w:r w:rsidRPr="00EB6B72">
        <w:rPr>
          <w:szCs w:val="24"/>
        </w:rPr>
        <w:t xml:space="preserve"> akad. val.);</w:t>
      </w:r>
    </w:p>
    <w:p w:rsidRPr="00EB6B72" w:rsidR="00C45C65" w:rsidP="00C45C65" w:rsidRDefault="00C45C65" w14:paraId="3810C046" w14:textId="149C439B">
      <w:pPr>
        <w:ind w:firstLine="709"/>
        <w:jc w:val="both"/>
        <w:rPr>
          <w:szCs w:val="24"/>
        </w:rPr>
      </w:pPr>
      <w:r w:rsidRPr="00EB6B72">
        <w:rPr>
          <w:szCs w:val="24"/>
        </w:rPr>
        <w:t>3.2. II dalis – mokymai „</w:t>
      </w:r>
      <w:r w:rsidR="00E94C70">
        <w:rPr>
          <w:szCs w:val="24"/>
        </w:rPr>
        <w:t>Lyderystės kompetencijos mokymai</w:t>
      </w:r>
      <w:r w:rsidRPr="00EB6B72">
        <w:rPr>
          <w:szCs w:val="24"/>
        </w:rPr>
        <w:t>“ (</w:t>
      </w:r>
      <w:r w:rsidR="00940539">
        <w:rPr>
          <w:szCs w:val="24"/>
        </w:rPr>
        <w:t>3</w:t>
      </w:r>
      <w:r w:rsidRPr="00EB6B72">
        <w:rPr>
          <w:szCs w:val="24"/>
        </w:rPr>
        <w:t>2 akad. val.);</w:t>
      </w:r>
    </w:p>
    <w:p w:rsidRPr="00EB6B72" w:rsidR="00C45C65" w:rsidP="00C45C65" w:rsidRDefault="00C45C65" w14:paraId="75AD1B9D" w14:textId="59F49E72">
      <w:pPr>
        <w:ind w:firstLine="709"/>
        <w:jc w:val="both"/>
      </w:pPr>
      <w:r w:rsidR="00C45C65">
        <w:rPr/>
        <w:t>3.3. III dalis – mokymai „</w:t>
      </w:r>
      <w:r w:rsidR="00E94C70">
        <w:rPr/>
        <w:t>Finansinės</w:t>
      </w:r>
      <w:r w:rsidR="00465289">
        <w:rPr/>
        <w:t>-analitinės</w:t>
      </w:r>
      <w:r w:rsidR="00E94C70">
        <w:rPr/>
        <w:t xml:space="preserve"> kompetencijos mokymai</w:t>
      </w:r>
      <w:r w:rsidR="00C45C65">
        <w:rPr/>
        <w:t>“ (</w:t>
      </w:r>
      <w:r w:rsidR="09BC1BA1">
        <w:rPr/>
        <w:t>2</w:t>
      </w:r>
      <w:r w:rsidR="470C114A">
        <w:rPr/>
        <w:t>4</w:t>
      </w:r>
      <w:r w:rsidR="00C45C65">
        <w:rPr/>
        <w:t xml:space="preserve"> akad. val.);</w:t>
      </w:r>
    </w:p>
    <w:p w:rsidRPr="00EB6B72" w:rsidR="00C45C65" w:rsidP="00C45C65" w:rsidRDefault="00C45C65" w14:paraId="3658C0B6" w14:textId="77777777">
      <w:pPr>
        <w:ind w:firstLine="709"/>
        <w:jc w:val="both"/>
        <w:rPr>
          <w:szCs w:val="24"/>
        </w:rPr>
      </w:pPr>
      <w:r w:rsidRPr="00EB6B72">
        <w:rPr>
          <w:szCs w:val="24"/>
        </w:rPr>
        <w:t xml:space="preserve">4. 3 punkte nurodyti mokymai apima </w:t>
      </w:r>
      <w:r>
        <w:rPr>
          <w:rFonts w:eastAsia="Calibri"/>
        </w:rPr>
        <w:t>m</w:t>
      </w:r>
      <w:r w:rsidRPr="00EB6B72">
        <w:rPr>
          <w:rFonts w:eastAsia="Calibri"/>
        </w:rPr>
        <w:t>okymo programos ir metodinės medžiagos paruošimą ir tikslinės grupės kompetencijų ugdymą.</w:t>
      </w:r>
    </w:p>
    <w:p w:rsidRPr="00EB6B72" w:rsidR="00C45C65" w:rsidP="00C45C65" w:rsidRDefault="00C45C65" w14:paraId="05E5C3B6" w14:textId="77777777">
      <w:pPr>
        <w:jc w:val="both"/>
        <w:rPr>
          <w:szCs w:val="24"/>
        </w:rPr>
      </w:pPr>
    </w:p>
    <w:p w:rsidRPr="00EB6B72" w:rsidR="00C45C65" w:rsidP="00C45C65" w:rsidRDefault="00C45C65" w14:paraId="5A91DC6E" w14:textId="77777777">
      <w:pPr>
        <w:jc w:val="center"/>
        <w:rPr>
          <w:rFonts w:eastAsia="Calibri"/>
          <w:b/>
        </w:rPr>
      </w:pPr>
      <w:r w:rsidRPr="00EB6B72">
        <w:rPr>
          <w:rFonts w:eastAsia="Calibri"/>
          <w:b/>
        </w:rPr>
        <w:t>IV. PIRKIMO OBJEKTO APIBŪDINIMAS</w:t>
      </w:r>
    </w:p>
    <w:p w:rsidRPr="00EB6B72" w:rsidR="00C45C65" w:rsidP="00C45C65" w:rsidRDefault="00C45C65" w14:paraId="28C25475" w14:textId="77777777">
      <w:pPr>
        <w:rPr>
          <w:rFonts w:eastAsia="Calibri"/>
          <w:b/>
        </w:rPr>
      </w:pPr>
    </w:p>
    <w:p w:rsidRPr="00EB6B72" w:rsidR="00C45C65" w:rsidP="00C45C65" w:rsidRDefault="00C45C65" w14:paraId="422EE6F1" w14:textId="6B14DA76">
      <w:pPr>
        <w:ind w:firstLine="709"/>
        <w:rPr>
          <w:rFonts w:eastAsia="Calibri"/>
        </w:rPr>
      </w:pPr>
      <w:r w:rsidRPr="020F9938">
        <w:rPr>
          <w:rFonts w:eastAsia="Calibri"/>
        </w:rPr>
        <w:t xml:space="preserve">5. Mokymo </w:t>
      </w:r>
      <w:r w:rsidRPr="020F9938" w:rsidR="00895E12">
        <w:rPr>
          <w:rFonts w:eastAsia="Calibri"/>
        </w:rPr>
        <w:t>plano</w:t>
      </w:r>
      <w:r w:rsidRPr="020F9938">
        <w:rPr>
          <w:rFonts w:eastAsia="Calibri"/>
        </w:rPr>
        <w:t xml:space="preserve"> </w:t>
      </w:r>
      <w:r w:rsidRPr="020F9938" w:rsidR="4FE26412">
        <w:rPr>
          <w:rFonts w:eastAsia="Calibri"/>
        </w:rPr>
        <w:t xml:space="preserve">ir grafiko </w:t>
      </w:r>
      <w:r w:rsidRPr="020F9938">
        <w:rPr>
          <w:rFonts w:eastAsia="Calibri"/>
        </w:rPr>
        <w:t xml:space="preserve">parengimas ir patvirtinimas apima: </w:t>
      </w:r>
    </w:p>
    <w:p w:rsidRPr="00EB6B72" w:rsidR="00C45C65" w:rsidP="00C45C65" w:rsidRDefault="00C45C65" w14:paraId="1C5E8E9C" w14:textId="5A4B9192">
      <w:pPr>
        <w:ind w:firstLine="709"/>
        <w:jc w:val="both"/>
        <w:rPr>
          <w:rFonts w:eastAsia="Calibri"/>
        </w:rPr>
      </w:pPr>
      <w:r w:rsidRPr="00EB6B72">
        <w:rPr>
          <w:rFonts w:eastAsia="Calibri"/>
        </w:rPr>
        <w:t xml:space="preserve">5.1. Mokymo </w:t>
      </w:r>
      <w:r w:rsidR="00895E12">
        <w:rPr>
          <w:rFonts w:eastAsia="Calibri"/>
        </w:rPr>
        <w:t>plano</w:t>
      </w:r>
      <w:r w:rsidRPr="00EB6B72">
        <w:rPr>
          <w:rFonts w:eastAsia="Calibri"/>
        </w:rPr>
        <w:t xml:space="preserve"> paruošimą (</w:t>
      </w:r>
      <w:r w:rsidRPr="00EB6B72">
        <w:rPr>
          <w:rFonts w:eastAsia="Calibri"/>
          <w:i/>
        </w:rPr>
        <w:t>mokymo</w:t>
      </w:r>
      <w:r w:rsidR="00895E12">
        <w:rPr>
          <w:rFonts w:eastAsia="Calibri"/>
          <w:i/>
        </w:rPr>
        <w:t xml:space="preserve"> plano ir medžiagos mokymams</w:t>
      </w:r>
      <w:r w:rsidRPr="00EB6B72">
        <w:rPr>
          <w:rFonts w:eastAsia="Calibri"/>
          <w:i/>
        </w:rPr>
        <w:t xml:space="preserve"> </w:t>
      </w:r>
      <w:r w:rsidR="00895E12">
        <w:rPr>
          <w:rFonts w:eastAsia="Calibri"/>
          <w:i/>
        </w:rPr>
        <w:t>parengimas</w:t>
      </w:r>
      <w:r w:rsidRPr="0032354E">
        <w:rPr>
          <w:rFonts w:eastAsia="Calibri"/>
        </w:rPr>
        <w:t>);</w:t>
      </w:r>
      <w:r w:rsidRPr="00EB6B72">
        <w:rPr>
          <w:rFonts w:eastAsia="Calibri"/>
        </w:rPr>
        <w:t xml:space="preserve"> </w:t>
      </w:r>
    </w:p>
    <w:p w:rsidRPr="00EB6B72" w:rsidR="00C45C65" w:rsidP="00C45C65" w:rsidRDefault="00C45C65" w14:paraId="7291AF17" w14:textId="2EFAD430">
      <w:pPr>
        <w:ind w:firstLine="709"/>
        <w:jc w:val="both"/>
        <w:rPr>
          <w:rFonts w:eastAsia="Calibri"/>
        </w:rPr>
      </w:pPr>
      <w:r w:rsidRPr="020F9938">
        <w:rPr>
          <w:rFonts w:eastAsia="Calibri"/>
        </w:rPr>
        <w:t>5.2. Mokymo programos dėstytojų pritraukimą</w:t>
      </w:r>
      <w:r w:rsidRPr="020F9938" w:rsidR="00895E12">
        <w:rPr>
          <w:rFonts w:eastAsia="Calibri"/>
        </w:rPr>
        <w:t xml:space="preserve">, jų sąrašą raštu suderinant su </w:t>
      </w:r>
      <w:r w:rsidRPr="020F9938" w:rsidR="55311446">
        <w:rPr>
          <w:rFonts w:eastAsia="Calibri"/>
        </w:rPr>
        <w:t>PO</w:t>
      </w:r>
      <w:r w:rsidRPr="020F9938" w:rsidR="00895E12">
        <w:rPr>
          <w:rFonts w:eastAsia="Calibri"/>
        </w:rPr>
        <w:t xml:space="preserve"> ne vėliau kaip per 20 darbo dienų po sutarties pasirašymo</w:t>
      </w:r>
      <w:r w:rsidRPr="020F9938">
        <w:rPr>
          <w:rFonts w:eastAsia="Calibri"/>
        </w:rPr>
        <w:t>;</w:t>
      </w:r>
    </w:p>
    <w:p w:rsidRPr="00EB6B72" w:rsidR="00C45C65" w:rsidP="00C45C65" w:rsidRDefault="00C45C65" w14:paraId="3EF1EBBA" w14:textId="77777777">
      <w:pPr>
        <w:ind w:firstLine="709"/>
        <w:jc w:val="both"/>
        <w:rPr>
          <w:rFonts w:eastAsia="Calibri"/>
        </w:rPr>
      </w:pPr>
      <w:r w:rsidRPr="00EB6B72">
        <w:rPr>
          <w:rFonts w:eastAsia="Calibri"/>
        </w:rPr>
        <w:t>6. Tikslinės grupės kompetencijų ugdymas apima:</w:t>
      </w:r>
    </w:p>
    <w:p w:rsidRPr="00EB6B72" w:rsidR="00C45C65" w:rsidP="00C45C65" w:rsidRDefault="00C45C65" w14:paraId="61ED0839" w14:textId="19D79EC2">
      <w:pPr>
        <w:ind w:firstLine="709"/>
        <w:jc w:val="both"/>
        <w:rPr>
          <w:rFonts w:eastAsia="Calibri"/>
        </w:rPr>
      </w:pPr>
      <w:r w:rsidRPr="020F9938">
        <w:rPr>
          <w:rFonts w:eastAsia="Calibri"/>
        </w:rPr>
        <w:t>6.1. Mokymų organizavimą (</w:t>
      </w:r>
      <w:r w:rsidRPr="020F9938" w:rsidR="0D1D2A7D">
        <w:rPr>
          <w:rFonts w:eastAsia="Calibri"/>
        </w:rPr>
        <w:t>grafiko parengimas ir suderinimas su PO</w:t>
      </w:r>
      <w:r w:rsidRPr="020F9938" w:rsidR="528F8B2E">
        <w:rPr>
          <w:rFonts w:eastAsia="Calibri"/>
        </w:rPr>
        <w:t>,</w:t>
      </w:r>
      <w:r w:rsidRPr="020F9938" w:rsidR="0D1D2A7D">
        <w:rPr>
          <w:rFonts w:eastAsia="Calibri"/>
        </w:rPr>
        <w:t xml:space="preserve"> </w:t>
      </w:r>
      <w:r w:rsidRPr="020F9938">
        <w:rPr>
          <w:rFonts w:eastAsia="Calibri"/>
        </w:rPr>
        <w:t>kvietimai</w:t>
      </w:r>
      <w:r w:rsidRPr="020F9938" w:rsidR="236772C0">
        <w:rPr>
          <w:rFonts w:eastAsia="Calibri"/>
        </w:rPr>
        <w:t xml:space="preserve"> dalyviams</w:t>
      </w:r>
      <w:r w:rsidRPr="020F9938" w:rsidR="7D0AD74D">
        <w:rPr>
          <w:rFonts w:eastAsia="Calibri"/>
        </w:rPr>
        <w:t>,</w:t>
      </w:r>
      <w:r w:rsidRPr="020F9938">
        <w:rPr>
          <w:rFonts w:eastAsia="Calibri"/>
        </w:rPr>
        <w:t xml:space="preserve"> dalyvių registracija, sąrašai ir grupių formavimas; komunikavimas bei konsultavimas</w:t>
      </w:r>
      <w:r w:rsidRPr="020F9938" w:rsidR="2BDF0A03">
        <w:rPr>
          <w:rFonts w:eastAsia="Calibri"/>
        </w:rPr>
        <w:t xml:space="preserve"> ir komunikavimas</w:t>
      </w:r>
      <w:r w:rsidRPr="020F9938">
        <w:rPr>
          <w:rFonts w:eastAsia="Calibri"/>
        </w:rPr>
        <w:t xml:space="preserve"> apie mokymus su dalyviais, atsakingais įstaigų asmenimis ir </w:t>
      </w:r>
      <w:r w:rsidRPr="020F9938" w:rsidR="14F60847">
        <w:rPr>
          <w:rFonts w:eastAsia="Calibri"/>
        </w:rPr>
        <w:t>PO</w:t>
      </w:r>
      <w:r w:rsidRPr="020F9938">
        <w:rPr>
          <w:rFonts w:eastAsia="Calibri"/>
        </w:rPr>
        <w:t>; kiti</w:t>
      </w:r>
      <w:r w:rsidRPr="020F9938" w:rsidR="787FBE1A">
        <w:rPr>
          <w:rFonts w:eastAsia="Calibri"/>
        </w:rPr>
        <w:t xml:space="preserve"> su PO </w:t>
      </w:r>
      <w:r w:rsidRPr="020F9938" w:rsidR="787FBE1A">
        <w:rPr>
          <w:rFonts w:eastAsia="Calibri"/>
        </w:rPr>
        <w:t>suderinti</w:t>
      </w:r>
      <w:r w:rsidRPr="020F9938">
        <w:rPr>
          <w:rFonts w:eastAsia="Calibri"/>
        </w:rPr>
        <w:t xml:space="preserve"> veiksmai, reikalingi siekiant tinkamai įvykdyti įsipareigojimus pagal šią paslaugų techninę specifikaciją);</w:t>
      </w:r>
    </w:p>
    <w:p w:rsidRPr="00EB6B72" w:rsidR="00C45C65" w:rsidP="00C45C65" w:rsidRDefault="00C45C65" w14:paraId="5D6161C0" w14:textId="4B3CBC5B">
      <w:pPr>
        <w:ind w:firstLine="709"/>
        <w:jc w:val="both"/>
        <w:rPr>
          <w:rFonts w:eastAsia="Calibri"/>
        </w:rPr>
      </w:pPr>
      <w:r w:rsidRPr="020F9938">
        <w:rPr>
          <w:rFonts w:eastAsia="Calibri"/>
        </w:rPr>
        <w:t xml:space="preserve">6.2. Mokymų </w:t>
      </w:r>
      <w:r w:rsidRPr="020F9938" w:rsidR="00895E12">
        <w:rPr>
          <w:rFonts w:eastAsia="Calibri"/>
        </w:rPr>
        <w:t>administravimą, nuolatinę kokybišką komunikaciją su mokymų dalyviais ir mokymų įgyvendinimo užtikrinimą</w:t>
      </w:r>
      <w:r w:rsidRPr="020F9938" w:rsidR="628BE6E0">
        <w:rPr>
          <w:rFonts w:eastAsia="Calibri"/>
        </w:rPr>
        <w:t>;</w:t>
      </w:r>
    </w:p>
    <w:p w:rsidRPr="00EB6B72" w:rsidR="00C45C65" w:rsidP="00C45C65" w:rsidRDefault="00C45C65" w14:paraId="7BEFE3EE" w14:textId="39899BD9">
      <w:pPr>
        <w:ind w:firstLine="709"/>
        <w:jc w:val="both"/>
        <w:rPr>
          <w:rFonts w:eastAsia="Calibri"/>
        </w:rPr>
      </w:pPr>
      <w:r w:rsidRPr="020F9938">
        <w:rPr>
          <w:rFonts w:eastAsia="Calibri"/>
        </w:rPr>
        <w:t>6.3. Mokym</w:t>
      </w:r>
      <w:r w:rsidRPr="020F9938" w:rsidR="2DA8BA95">
        <w:rPr>
          <w:rFonts w:eastAsia="Calibri"/>
        </w:rPr>
        <w:t>ų</w:t>
      </w:r>
      <w:r w:rsidRPr="020F9938">
        <w:rPr>
          <w:rFonts w:eastAsia="Calibri"/>
        </w:rPr>
        <w:t xml:space="preserve"> dalyvių apklausą apie mokymo kokybę (forma suderinta su </w:t>
      </w:r>
      <w:r w:rsidRPr="020F9938" w:rsidR="1C8ECAD4">
        <w:rPr>
          <w:rFonts w:eastAsia="Calibri"/>
        </w:rPr>
        <w:t>PO</w:t>
      </w:r>
      <w:r w:rsidRPr="020F9938">
        <w:rPr>
          <w:rFonts w:eastAsia="Calibri"/>
        </w:rPr>
        <w:t>);</w:t>
      </w:r>
    </w:p>
    <w:p w:rsidR="00C45C65" w:rsidP="00C45C65" w:rsidRDefault="00C45C65" w14:paraId="3D0811DB" w14:textId="0BC730A9">
      <w:pPr>
        <w:ind w:firstLine="709"/>
        <w:jc w:val="both"/>
        <w:rPr>
          <w:color w:val="FF0000"/>
        </w:rPr>
      </w:pPr>
      <w:r w:rsidRPr="020F9938">
        <w:rPr>
          <w:rFonts w:eastAsia="Calibri"/>
        </w:rPr>
        <w:t xml:space="preserve">6.4. </w:t>
      </w:r>
      <w:r w:rsidRPr="020F9938" w:rsidR="00895E12">
        <w:rPr>
          <w:rFonts w:eastAsia="Calibri"/>
        </w:rPr>
        <w:t>Mokymų sertifikatus</w:t>
      </w:r>
      <w:r w:rsidRPr="020F9938">
        <w:rPr>
          <w:rFonts w:eastAsia="Calibri"/>
        </w:rPr>
        <w:t xml:space="preserve"> dalyviams, </w:t>
      </w:r>
      <w:r>
        <w:t xml:space="preserve"> išklausiusiems atitinkamą mokymo programą,</w:t>
      </w:r>
      <w:r w:rsidRPr="020F9938">
        <w:rPr>
          <w:rFonts w:eastAsia="Calibri"/>
        </w:rPr>
        <w:t xml:space="preserve"> </w:t>
      </w:r>
      <w:r w:rsidRPr="020F9938" w:rsidR="00895E12">
        <w:rPr>
          <w:rFonts w:eastAsia="Calibri"/>
        </w:rPr>
        <w:t xml:space="preserve">sumaketavimą ir išsiuntimą el. formatu (tiek mokymų dalyviui, tiek </w:t>
      </w:r>
      <w:r w:rsidRPr="020F9938" w:rsidR="636B2AB8">
        <w:rPr>
          <w:rFonts w:eastAsia="Calibri"/>
        </w:rPr>
        <w:t>PO</w:t>
      </w:r>
      <w:r w:rsidRPr="020F9938" w:rsidR="00895E12">
        <w:rPr>
          <w:rFonts w:eastAsia="Calibri"/>
        </w:rPr>
        <w:t xml:space="preserve"> suderintam asmeniui).</w:t>
      </w:r>
    </w:p>
    <w:p w:rsidRPr="00EB6B72" w:rsidR="00C45C65" w:rsidP="00C45C65" w:rsidRDefault="00C45C65" w14:paraId="79A1C3B7" w14:textId="495F7C81">
      <w:pPr>
        <w:ind w:firstLine="709"/>
        <w:jc w:val="both"/>
        <w:rPr>
          <w:rFonts w:eastAsia="Calibri"/>
        </w:rPr>
      </w:pPr>
      <w:r w:rsidRPr="020F9938">
        <w:rPr>
          <w:rFonts w:eastAsia="Calibri"/>
        </w:rPr>
        <w:t>6.5. M</w:t>
      </w:r>
      <w:r w:rsidRPr="020F9938" w:rsidR="176063E7">
        <w:rPr>
          <w:rFonts w:eastAsia="Calibri"/>
        </w:rPr>
        <w:t>okymų nuorodos dalyviams išsiuntimas ne vėliau kaip 3 d. d. iki mokymų pradžios</w:t>
      </w:r>
      <w:r w:rsidRPr="020F9938">
        <w:rPr>
          <w:rFonts w:eastAsia="Calibri"/>
        </w:rPr>
        <w:t>, mokymo metodinės medžiagos</w:t>
      </w:r>
      <w:r w:rsidR="00096AE0">
        <w:rPr>
          <w:rFonts w:eastAsia="Calibri"/>
        </w:rPr>
        <w:t xml:space="preserve"> el. formatu</w:t>
      </w:r>
      <w:r w:rsidRPr="020F9938">
        <w:rPr>
          <w:rFonts w:eastAsia="Calibri"/>
        </w:rPr>
        <w:t>, mokymui, priklausomai nuo pasirinkto mokymo metodo, reikalingų priemonių užtikrinimą;</w:t>
      </w:r>
    </w:p>
    <w:p w:rsidRPr="00EB6B72" w:rsidR="00C45C65" w:rsidP="00C45C65" w:rsidRDefault="00C45C65" w14:paraId="3D376D5F" w14:textId="77777777">
      <w:pPr>
        <w:jc w:val="both"/>
        <w:rPr>
          <w:szCs w:val="24"/>
        </w:rPr>
      </w:pPr>
    </w:p>
    <w:p w:rsidRPr="00EB6B72" w:rsidR="00C45C65" w:rsidP="00C45C65" w:rsidRDefault="00C45C65" w14:paraId="126BA5EA" w14:textId="77777777">
      <w:pPr>
        <w:jc w:val="center"/>
        <w:rPr>
          <w:b/>
          <w:szCs w:val="24"/>
        </w:rPr>
      </w:pPr>
      <w:r w:rsidRPr="00EB6B72">
        <w:rPr>
          <w:b/>
          <w:szCs w:val="24"/>
        </w:rPr>
        <w:t>V. REIKALAVIMAI PIRKIMO OBJEKTUI</w:t>
      </w:r>
    </w:p>
    <w:p w:rsidRPr="00EB6B72" w:rsidR="00C45C65" w:rsidP="00C45C65" w:rsidRDefault="00C45C65" w14:paraId="46C8B1AA" w14:textId="77777777">
      <w:pPr>
        <w:jc w:val="both"/>
        <w:rPr>
          <w:szCs w:val="24"/>
        </w:rPr>
      </w:pPr>
    </w:p>
    <w:p w:rsidR="003B6C0F" w:rsidP="00C45C65" w:rsidRDefault="00C45C65" w14:paraId="72EDCAC6" w14:textId="1CE02766">
      <w:pPr>
        <w:ind w:firstLine="709"/>
        <w:jc w:val="both"/>
        <w:rPr>
          <w:szCs w:val="24"/>
        </w:rPr>
      </w:pPr>
      <w:r w:rsidRPr="00EB6B72">
        <w:rPr>
          <w:szCs w:val="24"/>
        </w:rPr>
        <w:t xml:space="preserve">7.  Reikalavimai </w:t>
      </w:r>
      <w:r w:rsidR="003B6C0F">
        <w:rPr>
          <w:szCs w:val="24"/>
        </w:rPr>
        <w:t>I pirkimo daliai „Skaitmeninės kompetencijos mokymai„</w:t>
      </w:r>
      <w:r w:rsidR="00840866">
        <w:rPr>
          <w:szCs w:val="24"/>
        </w:rPr>
        <w:t xml:space="preserve"> (8 ak. val.)</w:t>
      </w:r>
    </w:p>
    <w:p w:rsidRPr="00EB6B72" w:rsidR="00C45C65" w:rsidP="00C45C65" w:rsidRDefault="00C45C65" w14:paraId="1C548E51" w14:textId="5E90C54C">
      <w:pPr>
        <w:ind w:firstLine="709"/>
        <w:jc w:val="both"/>
        <w:rPr>
          <w:szCs w:val="24"/>
        </w:rPr>
      </w:pPr>
      <w:r w:rsidRPr="00EB6B72">
        <w:rPr>
          <w:szCs w:val="24"/>
        </w:rPr>
        <w:t xml:space="preserve"> </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gridCol w:w="2011"/>
        <w:gridCol w:w="6919"/>
      </w:tblGrid>
      <w:tr w:rsidRPr="00EB6B72" w:rsidR="00C45C65" w:rsidTr="18CD1370" w14:paraId="345E9472" w14:textId="77777777">
        <w:trPr>
          <w:tblHeader/>
        </w:trPr>
        <w:tc>
          <w:tcPr>
            <w:tcW w:w="704" w:type="dxa"/>
            <w:shd w:val="clear" w:color="auto" w:fill="C0C0C0"/>
            <w:tcMar/>
            <w:vAlign w:val="center"/>
          </w:tcPr>
          <w:p w:rsidRPr="00EB6B72" w:rsidR="00C45C65" w:rsidP="00B479F8" w:rsidRDefault="00C45C65" w14:paraId="72E47ECE" w14:textId="77777777">
            <w:pPr>
              <w:pStyle w:val="BodyTextIndent"/>
              <w:spacing w:after="0"/>
              <w:ind w:left="29"/>
              <w:jc w:val="center"/>
              <w:rPr>
                <w:b/>
                <w:bCs/>
                <w:szCs w:val="24"/>
              </w:rPr>
            </w:pPr>
            <w:r w:rsidRPr="00EB6B72">
              <w:rPr>
                <w:b/>
                <w:bCs/>
                <w:szCs w:val="24"/>
              </w:rPr>
              <w:t>Eil. Nr.</w:t>
            </w:r>
          </w:p>
        </w:tc>
        <w:tc>
          <w:tcPr>
            <w:tcW w:w="2011" w:type="dxa"/>
            <w:shd w:val="clear" w:color="auto" w:fill="C0C0C0"/>
            <w:tcMar/>
            <w:vAlign w:val="center"/>
          </w:tcPr>
          <w:p w:rsidRPr="00EB6B72" w:rsidR="00C45C65" w:rsidP="00B479F8" w:rsidRDefault="00C45C65" w14:paraId="42E1ACAE" w14:textId="77777777">
            <w:pPr>
              <w:pStyle w:val="BodyTextIndent"/>
              <w:spacing w:after="0"/>
              <w:jc w:val="center"/>
              <w:rPr>
                <w:b/>
                <w:bCs/>
                <w:szCs w:val="24"/>
              </w:rPr>
            </w:pPr>
            <w:r w:rsidRPr="00EB6B72">
              <w:rPr>
                <w:b/>
                <w:bCs/>
                <w:szCs w:val="24"/>
              </w:rPr>
              <w:t>Paslaugos komponentai</w:t>
            </w:r>
          </w:p>
        </w:tc>
        <w:tc>
          <w:tcPr>
            <w:tcW w:w="6919" w:type="dxa"/>
            <w:shd w:val="clear" w:color="auto" w:fill="C0C0C0"/>
            <w:tcMar/>
            <w:vAlign w:val="center"/>
          </w:tcPr>
          <w:p w:rsidRPr="00EB6B72" w:rsidR="00C45C65" w:rsidP="00B479F8" w:rsidRDefault="00C45C65" w14:paraId="66AA7530" w14:textId="77777777">
            <w:pPr>
              <w:pStyle w:val="BodyTextIndent"/>
              <w:spacing w:after="0"/>
              <w:jc w:val="center"/>
              <w:rPr>
                <w:b/>
                <w:bCs/>
                <w:szCs w:val="24"/>
              </w:rPr>
            </w:pPr>
            <w:r w:rsidRPr="00EB6B72">
              <w:rPr>
                <w:b/>
                <w:bCs/>
                <w:szCs w:val="24"/>
              </w:rPr>
              <w:t>Paslaugai keliami reikalavimai</w:t>
            </w:r>
          </w:p>
        </w:tc>
      </w:tr>
      <w:tr w:rsidRPr="00EB6B72" w:rsidR="00C45C65" w:rsidTr="18CD1370" w14:paraId="4B2838FF" w14:textId="77777777">
        <w:tc>
          <w:tcPr>
            <w:tcW w:w="704" w:type="dxa"/>
            <w:tcMar/>
          </w:tcPr>
          <w:p w:rsidRPr="00EB6B72" w:rsidR="00C45C65" w:rsidP="00C45C65" w:rsidRDefault="00C45C65" w14:paraId="2B71A35F" w14:textId="77777777">
            <w:pPr>
              <w:pStyle w:val="BodyTextIndent"/>
              <w:numPr>
                <w:ilvl w:val="0"/>
                <w:numId w:val="1"/>
              </w:numPr>
              <w:spacing w:after="0"/>
              <w:jc w:val="both"/>
              <w:rPr>
                <w:b/>
                <w:bCs/>
                <w:szCs w:val="24"/>
              </w:rPr>
            </w:pPr>
          </w:p>
        </w:tc>
        <w:tc>
          <w:tcPr>
            <w:tcW w:w="2011" w:type="dxa"/>
            <w:tcMar/>
          </w:tcPr>
          <w:p w:rsidRPr="00EB6B72" w:rsidR="00C45C65" w:rsidP="00B479F8" w:rsidRDefault="00C45C65" w14:paraId="419531B4" w14:textId="77777777">
            <w:pPr>
              <w:pStyle w:val="BodyTextIndent"/>
              <w:spacing w:after="0"/>
              <w:rPr>
                <w:b/>
                <w:bCs/>
                <w:szCs w:val="24"/>
              </w:rPr>
            </w:pPr>
            <w:r w:rsidRPr="00EB6B72">
              <w:rPr>
                <w:b/>
                <w:bCs/>
                <w:szCs w:val="24"/>
              </w:rPr>
              <w:t>Mokymų turinys</w:t>
            </w:r>
          </w:p>
        </w:tc>
        <w:tc>
          <w:tcPr>
            <w:tcW w:w="6919" w:type="dxa"/>
            <w:tcMar/>
          </w:tcPr>
          <w:p w:rsidR="00C45C65" w:rsidP="00B479F8" w:rsidRDefault="00C45C65" w14:paraId="13A09717" w14:textId="3AAEFB52">
            <w:pPr>
              <w:jc w:val="both"/>
            </w:pPr>
            <w:r w:rsidRPr="00EB6B72">
              <w:rPr>
                <w:szCs w:val="24"/>
              </w:rPr>
              <w:t xml:space="preserve">Šių mokymų tikslas – </w:t>
            </w:r>
            <w:r>
              <w:t xml:space="preserve">tobulinti </w:t>
            </w:r>
            <w:r w:rsidR="003B6C0F">
              <w:t>skaitmeninės kompetencijos</w:t>
            </w:r>
            <w:r>
              <w:t xml:space="preserve"> gebėjimus ir įgūdžius.</w:t>
            </w:r>
          </w:p>
          <w:p w:rsidR="003B6C0F" w:rsidP="00B479F8" w:rsidRDefault="003B6C0F" w14:paraId="36FC92B8" w14:textId="77777777">
            <w:pPr>
              <w:jc w:val="both"/>
            </w:pPr>
          </w:p>
          <w:p w:rsidR="00E94C70" w:rsidP="00B479F8" w:rsidRDefault="003B6C0F" w14:paraId="740A79CC" w14:textId="77777777">
            <w:pPr>
              <w:jc w:val="both"/>
            </w:pPr>
            <w:r>
              <w:t xml:space="preserve">Mokymų temos : </w:t>
            </w:r>
          </w:p>
          <w:p w:rsidR="003B6C0F" w:rsidP="18CD1370" w:rsidRDefault="003B6C0F" w14:paraId="6B6836A2" w14:textId="795D7F3F">
            <w:pPr>
              <w:pStyle w:val="ListParagraph"/>
              <w:numPr>
                <w:ilvl w:val="0"/>
                <w:numId w:val="2"/>
              </w:numPr>
              <w:jc w:val="both"/>
              <w:rPr>
                <w:sz w:val="24"/>
                <w:szCs w:val="24"/>
              </w:rPr>
            </w:pPr>
            <w:r w:rsidRPr="18CD1370" w:rsidR="00095B2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Pažangios skaitmeninės strategijos ir inovacijos</w:t>
            </w:r>
            <w:r w:rsidR="00E94C70">
              <w:rPr/>
              <w:t xml:space="preserve"> (</w:t>
            </w:r>
            <w:r w:rsidR="00E94C70">
              <w:rPr/>
              <w:t>4</w:t>
            </w:r>
            <w:r w:rsidR="00E94C70">
              <w:rPr/>
              <w:t xml:space="preserve"> ak. val.);</w:t>
            </w:r>
          </w:p>
          <w:p w:rsidR="00E94C70" w:rsidP="00E94C70" w:rsidRDefault="00E94C70" w14:paraId="79C06119" w14:textId="4B778E4F">
            <w:pPr>
              <w:pStyle w:val="ListParagraph"/>
              <w:numPr>
                <w:ilvl w:val="0"/>
                <w:numId w:val="2"/>
              </w:numPr>
              <w:jc w:val="both"/>
            </w:pPr>
            <w:r>
              <w:t>Dirbtinio intelekto praktinė sesija (</w:t>
            </w:r>
            <w:r>
              <w:rPr>
                <w:lang w:val="en-US"/>
              </w:rPr>
              <w:t xml:space="preserve">4 </w:t>
            </w:r>
            <w:proofErr w:type="spellStart"/>
            <w:r>
              <w:rPr>
                <w:lang w:val="en-US"/>
              </w:rPr>
              <w:t>ak</w:t>
            </w:r>
            <w:proofErr w:type="spellEnd"/>
            <w:r>
              <w:rPr>
                <w:lang w:val="en-US"/>
              </w:rPr>
              <w:t>. val.)</w:t>
            </w:r>
          </w:p>
          <w:p w:rsidRPr="00E94C70" w:rsidR="00E94C70" w:rsidP="00B479F8" w:rsidRDefault="00E94C70" w14:paraId="06877720" w14:textId="77777777">
            <w:pPr>
              <w:jc w:val="both"/>
            </w:pPr>
          </w:p>
          <w:p w:rsidRPr="00EB6B72" w:rsidR="00C45C65" w:rsidP="00B479F8" w:rsidRDefault="00C45C65" w14:paraId="12D118E3" w14:textId="05FD6B95">
            <w:pPr>
              <w:pStyle w:val="BodyTextIndent"/>
              <w:spacing w:after="0"/>
              <w:ind w:left="0"/>
              <w:rPr>
                <w:bCs/>
                <w:szCs w:val="24"/>
              </w:rPr>
            </w:pPr>
            <w:r w:rsidRPr="00EB6B72">
              <w:rPr>
                <w:b/>
                <w:bCs/>
                <w:szCs w:val="24"/>
              </w:rPr>
              <w:t xml:space="preserve">Mokymo metodai: </w:t>
            </w:r>
            <w:r>
              <w:t>Mokymo programos teorinė dalis turi būti susieta su tikslinės mokymo grupės darbinės veiklos specifika ir sudaryti ne daugiau nei 15 proc. viso mokymo laiko; praktinė mokymo programos dalis turi būti paremta interaktyviais mokymo metodais: situacijų modeliavimu ir jų analize, praktiniais patarimai</w:t>
            </w:r>
            <w:r w:rsidR="00B51093">
              <w:t>s i</w:t>
            </w:r>
            <w:r>
              <w:t>r kt.</w:t>
            </w:r>
          </w:p>
          <w:p w:rsidRPr="0032354E" w:rsidR="00C45C65" w:rsidP="00B479F8" w:rsidRDefault="00C45C65" w14:paraId="7AB47389" w14:textId="77777777">
            <w:pPr>
              <w:pStyle w:val="BodyTextIndent"/>
              <w:spacing w:after="0"/>
              <w:ind w:left="0"/>
              <w:rPr>
                <w:bCs/>
                <w:szCs w:val="24"/>
              </w:rPr>
            </w:pPr>
            <w:r w:rsidRPr="0032354E">
              <w:rPr>
                <w:b/>
                <w:bCs/>
                <w:szCs w:val="24"/>
              </w:rPr>
              <w:t xml:space="preserve">Mokymo kalba: </w:t>
            </w:r>
            <w:r w:rsidRPr="0032354E">
              <w:rPr>
                <w:bCs/>
                <w:szCs w:val="24"/>
              </w:rPr>
              <w:t xml:space="preserve">lietuvių kalba. </w:t>
            </w:r>
          </w:p>
          <w:p w:rsidRPr="00EB6B72" w:rsidR="00C45C65" w:rsidP="00B479F8" w:rsidRDefault="00C45C65" w14:paraId="77C13C03" w14:textId="62A79AC7">
            <w:pPr>
              <w:jc w:val="both"/>
              <w:rPr>
                <w:bCs/>
                <w:szCs w:val="24"/>
              </w:rPr>
            </w:pPr>
          </w:p>
        </w:tc>
      </w:tr>
      <w:tr w:rsidRPr="00EB6B72" w:rsidR="00C45C65" w:rsidTr="18CD1370" w14:paraId="41BC5C81" w14:textId="77777777">
        <w:tc>
          <w:tcPr>
            <w:tcW w:w="704" w:type="dxa"/>
            <w:tcMar/>
          </w:tcPr>
          <w:p w:rsidRPr="00EB6B72" w:rsidR="00C45C65" w:rsidP="00C45C65" w:rsidRDefault="00C45C65" w14:paraId="611F7CDB" w14:textId="77777777">
            <w:pPr>
              <w:pStyle w:val="BodyTextIndent"/>
              <w:numPr>
                <w:ilvl w:val="0"/>
                <w:numId w:val="1"/>
              </w:numPr>
              <w:spacing w:after="0"/>
              <w:jc w:val="both"/>
              <w:rPr>
                <w:b/>
                <w:bCs/>
                <w:szCs w:val="24"/>
              </w:rPr>
            </w:pPr>
          </w:p>
        </w:tc>
        <w:tc>
          <w:tcPr>
            <w:tcW w:w="2011" w:type="dxa"/>
            <w:tcMar/>
          </w:tcPr>
          <w:p w:rsidRPr="00EB6B72" w:rsidR="00C45C65" w:rsidP="00B479F8" w:rsidRDefault="00C45C65" w14:paraId="1005BED2" w14:textId="77777777">
            <w:pPr>
              <w:pStyle w:val="BodyTextIndent"/>
              <w:spacing w:after="0"/>
              <w:rPr>
                <w:b/>
                <w:bCs/>
                <w:szCs w:val="24"/>
              </w:rPr>
            </w:pPr>
            <w:r w:rsidRPr="00EB6B72">
              <w:rPr>
                <w:b/>
                <w:bCs/>
                <w:szCs w:val="24"/>
              </w:rPr>
              <w:t>Mokymų apimtis</w:t>
            </w:r>
          </w:p>
        </w:tc>
        <w:tc>
          <w:tcPr>
            <w:tcW w:w="6919" w:type="dxa"/>
            <w:tcMar/>
          </w:tcPr>
          <w:p w:rsidRPr="00EB6B72" w:rsidR="00C45C65" w:rsidP="00B479F8" w:rsidRDefault="00C45C65" w14:paraId="477628EC" w14:textId="56AFE1DE">
            <w:pPr>
              <w:pStyle w:val="BodyTextIndent"/>
              <w:spacing w:after="0"/>
              <w:ind w:left="5"/>
            </w:pPr>
            <w:r w:rsidR="00C45C65">
              <w:rPr/>
              <w:t xml:space="preserve">Mokymuose </w:t>
            </w:r>
            <w:r w:rsidR="003B6C0F">
              <w:rPr/>
              <w:t>nuotoliu</w:t>
            </w:r>
            <w:r w:rsidR="00F314CA">
              <w:rPr/>
              <w:t xml:space="preserve"> bendrai</w:t>
            </w:r>
            <w:r w:rsidR="003B6C0F">
              <w:rPr/>
              <w:t xml:space="preserve"> </w:t>
            </w:r>
            <w:r w:rsidR="00C45C65">
              <w:rPr/>
              <w:t xml:space="preserve">dalyvaus </w:t>
            </w:r>
            <w:r w:rsidR="00A30668">
              <w:rPr/>
              <w:t>4</w:t>
            </w:r>
            <w:r w:rsidR="1528B684">
              <w:rPr/>
              <w:t>000</w:t>
            </w:r>
            <w:r w:rsidR="00C45C65">
              <w:rPr/>
              <w:t xml:space="preserve"> asmenų.</w:t>
            </w:r>
          </w:p>
          <w:p w:rsidRPr="00EB6B72" w:rsidR="00C45C65" w:rsidP="020F9938" w:rsidRDefault="00C45C65" w14:paraId="6B391C44" w14:textId="580E2210">
            <w:pPr>
              <w:pStyle w:val="BodyTextIndent"/>
              <w:spacing w:after="0"/>
              <w:ind w:left="5"/>
              <w:jc w:val="both"/>
            </w:pPr>
            <w:r>
              <w:t xml:space="preserve">Mokymų bendra trukmė vienai grupei 24 akad. val. </w:t>
            </w:r>
          </w:p>
          <w:p w:rsidRPr="00B51093" w:rsidR="00C45C65" w:rsidP="020F9938" w:rsidRDefault="00C45C65" w14:paraId="552684AA" w14:textId="6DA76993">
            <w:pPr>
              <w:pStyle w:val="BodyTextIndent"/>
              <w:spacing w:after="0"/>
              <w:ind w:left="5"/>
              <w:jc w:val="both"/>
            </w:pPr>
            <w:r w:rsidR="00C45C65">
              <w:rPr/>
              <w:t xml:space="preserve">Iš viso pagal mokymo programą turės būti suorganizuota ne mažiau nei </w:t>
            </w:r>
            <w:r w:rsidR="00840866">
              <w:rPr/>
              <w:t>20</w:t>
            </w:r>
            <w:r w:rsidR="00E94C70">
              <w:rPr/>
              <w:t xml:space="preserve"> </w:t>
            </w:r>
            <w:r w:rsidR="00C45C65">
              <w:rPr/>
              <w:t xml:space="preserve"> mokymo renginių</w:t>
            </w:r>
            <w:r w:rsidR="00E94C70">
              <w:rPr/>
              <w:t xml:space="preserve"> kiekvienai temai</w:t>
            </w:r>
            <w:r w:rsidR="00C45C65">
              <w:rPr/>
              <w:t xml:space="preserve">. </w:t>
            </w:r>
            <w:r w:rsidR="00B51093">
              <w:rPr/>
              <w:t>Mokymų renginys turi būti pritaikytas dideliam dalyvių kiekiui (gali būti ir 200/300/400/500)</w:t>
            </w:r>
          </w:p>
        </w:tc>
      </w:tr>
    </w:tbl>
    <w:p w:rsidRPr="00EB6B72" w:rsidR="00C45C65" w:rsidP="00C45C65" w:rsidRDefault="00C45C65" w14:paraId="0AB0A9C4" w14:textId="77777777">
      <w:pPr>
        <w:jc w:val="both"/>
        <w:rPr>
          <w:b/>
          <w:szCs w:val="24"/>
        </w:rPr>
      </w:pPr>
    </w:p>
    <w:p w:rsidRPr="00EB6B72" w:rsidR="00C45C65" w:rsidP="00C45C65" w:rsidRDefault="00C45C65" w14:paraId="366D6A1E" w14:textId="7B75D765">
      <w:pPr>
        <w:ind w:firstLine="709"/>
        <w:jc w:val="both"/>
      </w:pPr>
      <w:r w:rsidR="00C45C65">
        <w:rPr/>
        <w:t>8. Reikalavimai II pirkimo daliai – mokymai „</w:t>
      </w:r>
      <w:r w:rsidR="00B51093">
        <w:rPr/>
        <w:t>Lyderystės kompetencijos mokymai</w:t>
      </w:r>
      <w:r w:rsidR="00C45C65">
        <w:rPr/>
        <w:t>“ (</w:t>
      </w:r>
      <w:r w:rsidR="6CC7957C">
        <w:rPr/>
        <w:t>32</w:t>
      </w:r>
      <w:r w:rsidR="7408A84F">
        <w:rPr/>
        <w:t xml:space="preserve"> </w:t>
      </w:r>
      <w:r w:rsidR="00C45C65">
        <w:rPr/>
        <w:t>akad. val.):</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2011"/>
        <w:gridCol w:w="6919"/>
      </w:tblGrid>
      <w:tr w:rsidRPr="00EB6B72" w:rsidR="00C45C65" w:rsidTr="18CD1370" w14:paraId="07E1BFF8" w14:textId="77777777">
        <w:trPr>
          <w:tblHeader/>
        </w:trPr>
        <w:tc>
          <w:tcPr>
            <w:tcW w:w="704" w:type="dxa"/>
            <w:shd w:val="clear" w:color="auto" w:fill="C0C0C0"/>
            <w:tcMar/>
            <w:vAlign w:val="center"/>
          </w:tcPr>
          <w:p w:rsidRPr="00EB6B72" w:rsidR="00C45C65" w:rsidP="00B479F8" w:rsidRDefault="00C45C65" w14:paraId="1E8CD74B" w14:textId="77777777">
            <w:pPr>
              <w:pStyle w:val="BodyTextIndent"/>
              <w:spacing w:after="0"/>
              <w:ind w:left="29"/>
              <w:jc w:val="center"/>
              <w:rPr>
                <w:b/>
                <w:bCs/>
                <w:szCs w:val="24"/>
              </w:rPr>
            </w:pPr>
            <w:r w:rsidRPr="00EB6B72">
              <w:rPr>
                <w:b/>
                <w:bCs/>
                <w:szCs w:val="24"/>
              </w:rPr>
              <w:t>Eil. Nr.</w:t>
            </w:r>
          </w:p>
        </w:tc>
        <w:tc>
          <w:tcPr>
            <w:tcW w:w="2011" w:type="dxa"/>
            <w:shd w:val="clear" w:color="auto" w:fill="C0C0C0"/>
            <w:tcMar/>
            <w:vAlign w:val="center"/>
          </w:tcPr>
          <w:p w:rsidRPr="00EB6B72" w:rsidR="00C45C65" w:rsidP="00B479F8" w:rsidRDefault="00C45C65" w14:paraId="1C2C1C49" w14:textId="77777777">
            <w:pPr>
              <w:pStyle w:val="BodyTextIndent"/>
              <w:spacing w:after="0"/>
              <w:ind w:left="29"/>
              <w:jc w:val="center"/>
              <w:rPr>
                <w:b/>
                <w:bCs/>
                <w:szCs w:val="24"/>
              </w:rPr>
            </w:pPr>
            <w:r w:rsidRPr="00EB6B72">
              <w:rPr>
                <w:b/>
                <w:bCs/>
                <w:szCs w:val="24"/>
              </w:rPr>
              <w:t>Paslaugos komponentai</w:t>
            </w:r>
          </w:p>
        </w:tc>
        <w:tc>
          <w:tcPr>
            <w:tcW w:w="6919" w:type="dxa"/>
            <w:shd w:val="clear" w:color="auto" w:fill="C0C0C0"/>
            <w:tcMar/>
            <w:vAlign w:val="center"/>
          </w:tcPr>
          <w:p w:rsidRPr="00EB6B72" w:rsidR="00C45C65" w:rsidP="00B479F8" w:rsidRDefault="00C45C65" w14:paraId="6345CD4C" w14:textId="77777777">
            <w:pPr>
              <w:pStyle w:val="BodyTextIndent"/>
              <w:spacing w:after="0"/>
              <w:ind w:left="29"/>
              <w:jc w:val="center"/>
              <w:rPr>
                <w:b/>
                <w:bCs/>
                <w:szCs w:val="24"/>
              </w:rPr>
            </w:pPr>
            <w:r w:rsidRPr="00EB6B72">
              <w:rPr>
                <w:b/>
                <w:bCs/>
                <w:szCs w:val="24"/>
              </w:rPr>
              <w:t>Paslaugai keliami reikalavimai</w:t>
            </w:r>
          </w:p>
        </w:tc>
      </w:tr>
      <w:tr w:rsidRPr="00EB6B72" w:rsidR="00C45C65" w:rsidTr="18CD1370" w14:paraId="080B4AF3" w14:textId="77777777">
        <w:tc>
          <w:tcPr>
            <w:tcW w:w="704" w:type="dxa"/>
            <w:tcMar/>
          </w:tcPr>
          <w:p w:rsidRPr="00EB6B72" w:rsidR="00C45C65" w:rsidP="00B479F8" w:rsidRDefault="00C45C65" w14:paraId="7A8E3B06" w14:textId="77777777">
            <w:pPr>
              <w:pStyle w:val="BodyTextIndent"/>
              <w:spacing w:after="0"/>
              <w:ind w:left="0"/>
              <w:rPr>
                <w:b/>
                <w:bCs/>
                <w:szCs w:val="24"/>
              </w:rPr>
            </w:pPr>
            <w:r w:rsidRPr="00EB6B72">
              <w:rPr>
                <w:b/>
                <w:bCs/>
                <w:szCs w:val="24"/>
              </w:rPr>
              <w:t>1.</w:t>
            </w:r>
          </w:p>
        </w:tc>
        <w:tc>
          <w:tcPr>
            <w:tcW w:w="2011" w:type="dxa"/>
            <w:tcMar/>
          </w:tcPr>
          <w:p w:rsidRPr="00EB6B72" w:rsidR="00C45C65" w:rsidP="00B479F8" w:rsidRDefault="00C45C65" w14:paraId="3D7B3C48" w14:textId="77777777">
            <w:pPr>
              <w:pStyle w:val="BodyTextIndent"/>
              <w:spacing w:after="0"/>
              <w:rPr>
                <w:b/>
                <w:bCs/>
                <w:szCs w:val="24"/>
              </w:rPr>
            </w:pPr>
            <w:r w:rsidRPr="00EB6B72">
              <w:rPr>
                <w:b/>
                <w:bCs/>
                <w:szCs w:val="24"/>
              </w:rPr>
              <w:t>Mokymų turinys</w:t>
            </w:r>
          </w:p>
        </w:tc>
        <w:tc>
          <w:tcPr>
            <w:tcW w:w="6919" w:type="dxa"/>
            <w:tcMar/>
          </w:tcPr>
          <w:p w:rsidR="00B51093" w:rsidP="00B479F8" w:rsidRDefault="00B51093" w14:paraId="05CCA031" w14:textId="77777777">
            <w:pPr>
              <w:pStyle w:val="BodyTextIndent"/>
              <w:spacing w:after="0"/>
              <w:ind w:left="7"/>
              <w:rPr>
                <w:szCs w:val="24"/>
              </w:rPr>
            </w:pPr>
            <w:r>
              <w:rPr>
                <w:szCs w:val="24"/>
              </w:rPr>
              <w:t>Mokymų temos:</w:t>
            </w:r>
          </w:p>
          <w:p w:rsidRPr="00A30668" w:rsidR="00A30668" w:rsidP="18CD1370" w:rsidRDefault="00A30668" w14:paraId="30129D21" w14:textId="0EDCA577">
            <w:pPr>
              <w:pStyle w:val="BodyTextIndent"/>
              <w:numPr>
                <w:ilvl w:val="0"/>
                <w:numId w:val="3"/>
              </w:numPr>
              <w:spacing w:after="0"/>
              <w:rPr>
                <w:rFonts w:ascii="Times New Roman" w:hAnsi="Times New Roman" w:eastAsia="Times New Roman" w:cs="Times New Roman"/>
                <w:lang w:eastAsia="lt-LT"/>
              </w:rPr>
            </w:pPr>
            <w:r w:rsidRPr="18CD1370" w:rsidR="00A30668">
              <w:rPr>
                <w:rFonts w:ascii="Times New Roman" w:hAnsi="Times New Roman" w:eastAsia="Times New Roman" w:cs="Times New Roman"/>
                <w:lang w:eastAsia="lt-LT"/>
              </w:rPr>
              <w:t xml:space="preserve">Lyderystė projektinėse komandose - Inovatyvumas ir kūrybiškumas    </w:t>
            </w:r>
            <w:r w:rsidRPr="18CD1370" w:rsidR="26E05E89">
              <w:rPr>
                <w:rFonts w:ascii="Times New Roman" w:hAnsi="Times New Roman" w:eastAsia="Times New Roman" w:cs="Times New Roman"/>
                <w:lang w:eastAsia="lt-LT"/>
              </w:rPr>
              <w:t>(</w:t>
            </w:r>
            <w:r w:rsidRPr="18CD1370" w:rsidR="00A30668">
              <w:rPr>
                <w:rFonts w:ascii="Times New Roman" w:hAnsi="Times New Roman" w:eastAsia="Times New Roman" w:cs="Times New Roman"/>
                <w:lang w:eastAsia="lt-LT"/>
              </w:rPr>
              <w:t xml:space="preserve">8 ak. </w:t>
            </w:r>
            <w:r w:rsidRPr="18CD1370" w:rsidR="41775802">
              <w:rPr>
                <w:rFonts w:ascii="Times New Roman" w:hAnsi="Times New Roman" w:eastAsia="Times New Roman" w:cs="Times New Roman"/>
                <w:lang w:eastAsia="lt-LT"/>
              </w:rPr>
              <w:t>v</w:t>
            </w:r>
            <w:r w:rsidRPr="18CD1370" w:rsidR="00A30668">
              <w:rPr>
                <w:rFonts w:ascii="Times New Roman" w:hAnsi="Times New Roman" w:eastAsia="Times New Roman" w:cs="Times New Roman"/>
                <w:lang w:eastAsia="lt-LT"/>
              </w:rPr>
              <w:t>al.</w:t>
            </w:r>
            <w:r w:rsidRPr="18CD1370" w:rsidR="687EB081">
              <w:rPr>
                <w:rFonts w:ascii="Times New Roman" w:hAnsi="Times New Roman" w:eastAsia="Times New Roman" w:cs="Times New Roman"/>
                <w:lang w:eastAsia="lt-LT"/>
              </w:rPr>
              <w:t>)</w:t>
            </w:r>
            <w:r w:rsidRPr="18CD1370" w:rsidR="00A30668">
              <w:rPr>
                <w:rFonts w:ascii="Times New Roman" w:hAnsi="Times New Roman" w:eastAsia="Times New Roman" w:cs="Times New Roman"/>
                <w:lang w:eastAsia="lt-LT"/>
              </w:rPr>
              <w:t>;</w:t>
            </w:r>
          </w:p>
          <w:p w:rsidR="00A30668" w:rsidP="00A30668" w:rsidRDefault="00A30668" w14:paraId="7D748130" w14:textId="4F5EA6D5">
            <w:pPr>
              <w:pStyle w:val="BodyTextIndent"/>
              <w:numPr>
                <w:ilvl w:val="0"/>
                <w:numId w:val="3"/>
              </w:numPr>
              <w:spacing w:after="0"/>
              <w:rPr/>
            </w:pPr>
            <w:r w:rsidR="00A30668">
              <w:rPr/>
              <w:t xml:space="preserve">Bendradarbiavimas  komandose: kaip susitarti ir pasiekti rezultatų  </w:t>
            </w:r>
            <w:r w:rsidR="01B49744">
              <w:rPr/>
              <w:t>(</w:t>
            </w:r>
            <w:r w:rsidR="00A30668">
              <w:rPr/>
              <w:t>4</w:t>
            </w:r>
            <w:r w:rsidR="00A30668">
              <w:rPr/>
              <w:t xml:space="preserve"> ak. </w:t>
            </w:r>
            <w:r w:rsidR="583C2FFD">
              <w:rPr/>
              <w:t>v</w:t>
            </w:r>
            <w:r w:rsidR="00A30668">
              <w:rPr/>
              <w:t>al.</w:t>
            </w:r>
            <w:r w:rsidR="17D4737B">
              <w:rPr/>
              <w:t>)</w:t>
            </w:r>
            <w:r w:rsidR="00A30668">
              <w:rPr/>
              <w:t xml:space="preserve"> </w:t>
            </w:r>
          </w:p>
          <w:p w:rsidR="00A30668" w:rsidP="00A30668" w:rsidRDefault="00A30668" w14:paraId="117A8F54" w14:textId="03A4D7F5">
            <w:pPr>
              <w:pStyle w:val="BodyTextIndent"/>
              <w:numPr>
                <w:ilvl w:val="0"/>
                <w:numId w:val="3"/>
              </w:numPr>
              <w:spacing w:after="0"/>
              <w:rPr/>
            </w:pPr>
            <w:r w:rsidR="00A30668">
              <w:rPr/>
              <w:t xml:space="preserve">Suinteresuotųjų šalių vadyba  </w:t>
            </w:r>
            <w:r w:rsidR="2FF1441D">
              <w:rPr/>
              <w:t>(</w:t>
            </w:r>
            <w:r w:rsidR="00A30668">
              <w:rPr/>
              <w:t xml:space="preserve">4 ak. </w:t>
            </w:r>
            <w:r w:rsidR="63043262">
              <w:rPr/>
              <w:t>v</w:t>
            </w:r>
            <w:r w:rsidR="00A30668">
              <w:rPr/>
              <w:t>al.</w:t>
            </w:r>
            <w:r w:rsidR="2C05026F">
              <w:rPr/>
              <w:t>)</w:t>
            </w:r>
            <w:r w:rsidR="00A30668">
              <w:rPr/>
              <w:t xml:space="preserve"> </w:t>
            </w:r>
            <w:r w:rsidR="00A30668">
              <w:rPr/>
              <w:t>;</w:t>
            </w:r>
          </w:p>
          <w:p w:rsidR="00A30668" w:rsidP="00A30668" w:rsidRDefault="00A30668" w14:paraId="37920707" w14:textId="641AE04B">
            <w:pPr>
              <w:pStyle w:val="BodyTextIndent"/>
              <w:numPr>
                <w:ilvl w:val="0"/>
                <w:numId w:val="3"/>
              </w:numPr>
              <w:spacing w:after="0"/>
              <w:rPr/>
            </w:pPr>
            <w:r w:rsidR="00A30668">
              <w:rPr/>
              <w:t xml:space="preserve">Konfliktų valdymas </w:t>
            </w:r>
            <w:r w:rsidR="0DC5C5AC">
              <w:rPr/>
              <w:t>(</w:t>
            </w:r>
            <w:r w:rsidR="00A30668">
              <w:rPr/>
              <w:t>4 ak val.</w:t>
            </w:r>
            <w:r w:rsidR="225FE137">
              <w:rPr/>
              <w:t>)</w:t>
            </w:r>
            <w:r w:rsidR="00A30668">
              <w:rPr/>
              <w:t>;</w:t>
            </w:r>
          </w:p>
          <w:p w:rsidR="00A30668" w:rsidP="00A30668" w:rsidRDefault="00A30668" w14:paraId="338702D6" w14:textId="7B04FCAF">
            <w:pPr>
              <w:pStyle w:val="BodyTextIndent"/>
              <w:numPr>
                <w:ilvl w:val="0"/>
                <w:numId w:val="3"/>
              </w:numPr>
              <w:spacing w:after="0"/>
              <w:rPr/>
            </w:pPr>
            <w:r w:rsidR="00A30668">
              <w:rPr/>
              <w:t>Pasirengimas deryboms ir jų vedimas link sutarimo</w:t>
            </w:r>
            <w:r w:rsidR="00A30668">
              <w:rPr/>
              <w:t xml:space="preserve"> </w:t>
            </w:r>
            <w:r w:rsidR="3A086745">
              <w:rPr/>
              <w:t>(</w:t>
            </w:r>
            <w:r w:rsidR="00A30668">
              <w:rPr/>
              <w:t xml:space="preserve">4 ak. </w:t>
            </w:r>
            <w:r w:rsidR="4D795D8E">
              <w:rPr/>
              <w:t>v</w:t>
            </w:r>
            <w:r w:rsidR="00A30668">
              <w:rPr/>
              <w:t>al.</w:t>
            </w:r>
            <w:r w:rsidR="3F4B7ABC">
              <w:rPr/>
              <w:t>)</w:t>
            </w:r>
          </w:p>
          <w:p w:rsidR="00A30668" w:rsidP="00A30668" w:rsidRDefault="00A30668" w14:paraId="247B6274" w14:textId="41F1E6D3">
            <w:pPr>
              <w:pStyle w:val="BodyTextIndent"/>
              <w:numPr>
                <w:ilvl w:val="0"/>
                <w:numId w:val="3"/>
              </w:numPr>
              <w:spacing w:after="0"/>
              <w:rPr/>
            </w:pPr>
            <w:r w:rsidR="00A30668">
              <w:rPr/>
              <w:t xml:space="preserve">Pokyčių iniciavimas ir  valdymas </w:t>
            </w:r>
            <w:r w:rsidR="79D251F6">
              <w:rPr/>
              <w:t>(</w:t>
            </w:r>
            <w:r w:rsidR="00A30668">
              <w:rPr/>
              <w:t>4</w:t>
            </w:r>
            <w:r w:rsidR="00A30668">
              <w:rPr/>
              <w:t xml:space="preserve"> ak. </w:t>
            </w:r>
            <w:r w:rsidR="46BC5D9B">
              <w:rPr/>
              <w:t>v</w:t>
            </w:r>
            <w:r w:rsidR="00A30668">
              <w:rPr/>
              <w:t>al.</w:t>
            </w:r>
            <w:r w:rsidR="324C3EF9">
              <w:rPr/>
              <w:t>)</w:t>
            </w:r>
            <w:r w:rsidR="00A30668">
              <w:rPr/>
              <w:t>;</w:t>
            </w:r>
          </w:p>
          <w:p w:rsidRPr="00A30668" w:rsidR="00B51093" w:rsidP="00A30668" w:rsidRDefault="00A30668" w14:paraId="5C42FB3E" w14:textId="3620D916">
            <w:pPr>
              <w:pStyle w:val="BodyTextIndent"/>
              <w:numPr>
                <w:ilvl w:val="0"/>
                <w:numId w:val="3"/>
              </w:numPr>
              <w:spacing w:after="0"/>
              <w:rPr/>
            </w:pPr>
            <w:r w:rsidR="00A30668">
              <w:rPr/>
              <w:t xml:space="preserve">Krizių vadyba ir komunikacija </w:t>
            </w:r>
            <w:r w:rsidR="136E9E06">
              <w:rPr/>
              <w:t>(</w:t>
            </w:r>
            <w:r w:rsidR="00A30668">
              <w:rPr/>
              <w:t>4</w:t>
            </w:r>
            <w:r w:rsidR="00A30668">
              <w:rPr/>
              <w:t xml:space="preserve"> ak. </w:t>
            </w:r>
            <w:r w:rsidR="0F4A86E2">
              <w:rPr/>
              <w:t>v</w:t>
            </w:r>
            <w:r w:rsidR="00A30668">
              <w:rPr/>
              <w:t>al.</w:t>
            </w:r>
            <w:r w:rsidR="13A28C99">
              <w:rPr/>
              <w:t>).</w:t>
            </w:r>
          </w:p>
          <w:p w:rsidR="00B51093" w:rsidP="00B479F8" w:rsidRDefault="00B51093" w14:paraId="694C0FF0" w14:textId="77777777">
            <w:pPr>
              <w:pStyle w:val="BodyTextIndent"/>
              <w:spacing w:after="0"/>
              <w:ind w:left="7"/>
              <w:rPr>
                <w:szCs w:val="24"/>
              </w:rPr>
            </w:pPr>
          </w:p>
          <w:p w:rsidR="00B51093" w:rsidP="00F314CA" w:rsidRDefault="00B51093" w14:paraId="6A23E694" w14:textId="77777777">
            <w:pPr>
              <w:pStyle w:val="BodyTextIndent"/>
              <w:spacing w:after="0"/>
              <w:ind w:left="0"/>
              <w:rPr>
                <w:szCs w:val="24"/>
              </w:rPr>
            </w:pPr>
          </w:p>
          <w:p w:rsidRPr="0032354E" w:rsidR="00C45C65" w:rsidP="00B479F8" w:rsidRDefault="00C45C65" w14:paraId="79AD5F72" w14:textId="447D3E9E">
            <w:pPr>
              <w:pStyle w:val="BodyTextIndent"/>
              <w:spacing w:after="0"/>
              <w:ind w:left="7"/>
              <w:rPr>
                <w:bCs/>
                <w:szCs w:val="24"/>
              </w:rPr>
            </w:pPr>
            <w:r w:rsidRPr="00EB6B72">
              <w:rPr>
                <w:b/>
                <w:bCs/>
                <w:szCs w:val="24"/>
              </w:rPr>
              <w:t xml:space="preserve">Mokymo metodai: </w:t>
            </w:r>
            <w:r>
              <w:t>Mokymo programos teorinė dalis turi būti susieta su tikslinės mokymo grupės darbinės veiklos specifika ir sudaryti ne daugiau nei 15 proc. viso mokymo laiko; praktinė mokymo programos dalis turi būti paremta interaktyviais mokymo metodais: situacijų modeliavimu ir jų analize, praktiniais patarimais</w:t>
            </w:r>
            <w:r w:rsidR="00A30668">
              <w:t xml:space="preserve"> </w:t>
            </w:r>
            <w:r w:rsidRPr="0032354E">
              <w:t>ir kt.</w:t>
            </w:r>
          </w:p>
          <w:p w:rsidRPr="0032354E" w:rsidR="00C45C65" w:rsidP="00B479F8" w:rsidRDefault="00C45C65" w14:paraId="0B338297" w14:textId="77777777">
            <w:pPr>
              <w:pStyle w:val="BodyTextIndent"/>
              <w:spacing w:after="0"/>
              <w:ind w:left="7"/>
              <w:rPr>
                <w:bCs/>
                <w:szCs w:val="24"/>
              </w:rPr>
            </w:pPr>
            <w:r w:rsidRPr="0032354E">
              <w:rPr>
                <w:b/>
                <w:bCs/>
                <w:szCs w:val="24"/>
              </w:rPr>
              <w:t xml:space="preserve">Mokymo kalba: </w:t>
            </w:r>
            <w:r w:rsidRPr="0032354E">
              <w:rPr>
                <w:bCs/>
                <w:szCs w:val="24"/>
              </w:rPr>
              <w:t xml:space="preserve">lietuvių kalba. </w:t>
            </w:r>
          </w:p>
          <w:p w:rsidRPr="00EB6B72" w:rsidR="00C45C65" w:rsidP="00B479F8" w:rsidRDefault="00C45C65" w14:paraId="52259D2B" w14:textId="13D7FBEF">
            <w:pPr>
              <w:pStyle w:val="BodyTextIndent"/>
              <w:spacing w:after="0"/>
              <w:ind w:left="7"/>
              <w:rPr>
                <w:bCs/>
                <w:szCs w:val="24"/>
              </w:rPr>
            </w:pPr>
          </w:p>
        </w:tc>
      </w:tr>
      <w:tr w:rsidRPr="00EB6B72" w:rsidR="00C45C65" w:rsidTr="18CD1370" w14:paraId="0390D428" w14:textId="77777777">
        <w:tc>
          <w:tcPr>
            <w:tcW w:w="704" w:type="dxa"/>
            <w:tcMar/>
          </w:tcPr>
          <w:p w:rsidRPr="00EB6B72" w:rsidR="00C45C65" w:rsidP="00B479F8" w:rsidRDefault="00C45C65" w14:paraId="3446F4F7" w14:textId="77777777">
            <w:pPr>
              <w:pStyle w:val="BodyTextIndent"/>
              <w:spacing w:after="0"/>
              <w:ind w:left="29"/>
              <w:rPr>
                <w:b/>
                <w:bCs/>
                <w:szCs w:val="24"/>
              </w:rPr>
            </w:pPr>
            <w:r w:rsidRPr="00EB6B72">
              <w:rPr>
                <w:b/>
                <w:bCs/>
                <w:szCs w:val="24"/>
              </w:rPr>
              <w:t>2.</w:t>
            </w:r>
          </w:p>
        </w:tc>
        <w:tc>
          <w:tcPr>
            <w:tcW w:w="2011" w:type="dxa"/>
            <w:tcMar/>
          </w:tcPr>
          <w:p w:rsidRPr="00EB6B72" w:rsidR="00C45C65" w:rsidP="00B479F8" w:rsidRDefault="00C45C65" w14:paraId="21307369" w14:textId="77777777">
            <w:pPr>
              <w:pStyle w:val="BodyTextIndent"/>
              <w:spacing w:after="0"/>
              <w:rPr>
                <w:b/>
                <w:bCs/>
                <w:szCs w:val="24"/>
              </w:rPr>
            </w:pPr>
            <w:r w:rsidRPr="00EB6B72">
              <w:rPr>
                <w:b/>
                <w:bCs/>
                <w:szCs w:val="24"/>
              </w:rPr>
              <w:t>Mokymų apimtis</w:t>
            </w:r>
          </w:p>
        </w:tc>
        <w:tc>
          <w:tcPr>
            <w:tcW w:w="6919" w:type="dxa"/>
            <w:tcMar/>
          </w:tcPr>
          <w:p w:rsidRPr="00EB6B72" w:rsidR="00C45C65" w:rsidP="00B479F8" w:rsidRDefault="00C45C65" w14:paraId="5AC84827" w14:textId="5BFBCCD6">
            <w:pPr>
              <w:pStyle w:val="BodyTextIndent"/>
              <w:spacing w:after="0"/>
              <w:ind w:left="7"/>
              <w:rPr>
                <w:bCs/>
                <w:szCs w:val="24"/>
              </w:rPr>
            </w:pPr>
            <w:r w:rsidRPr="00EB6B72">
              <w:rPr>
                <w:bCs/>
                <w:szCs w:val="24"/>
              </w:rPr>
              <w:t xml:space="preserve">Mokymuose dalyvaus </w:t>
            </w:r>
            <w:r w:rsidRPr="00940539" w:rsidR="003B6C0F">
              <w:rPr>
                <w:bCs/>
                <w:szCs w:val="24"/>
              </w:rPr>
              <w:t>40</w:t>
            </w:r>
            <w:r w:rsidRPr="00EB6B72">
              <w:rPr>
                <w:bCs/>
                <w:szCs w:val="24"/>
              </w:rPr>
              <w:t>00 asmenų.</w:t>
            </w:r>
          </w:p>
          <w:p w:rsidRPr="00EB6B72" w:rsidR="00C45C65" w:rsidP="00B479F8" w:rsidRDefault="00940539" w14:paraId="15589D22" w14:textId="4E116467">
            <w:pPr>
              <w:pStyle w:val="BodyTextIndent"/>
              <w:spacing w:after="0"/>
              <w:ind w:left="7"/>
              <w:rPr>
                <w:bCs/>
                <w:szCs w:val="24"/>
              </w:rPr>
            </w:pPr>
            <w:r>
              <w:t xml:space="preserve">Iš viso pagal mokymo programą turės būti suorganizuota ne mažiau nei </w:t>
            </w:r>
            <w:r>
              <w:t>5</w:t>
            </w:r>
            <w:r>
              <w:t xml:space="preserve">  mokymo renginių kiekvienai temai. Mokymų renginys turi būti pritaikytas dideliam dalyvių kiekiui ( gali būti ir 200/300/400/500)</w:t>
            </w:r>
          </w:p>
        </w:tc>
      </w:tr>
    </w:tbl>
    <w:p w:rsidRPr="00EB6B72" w:rsidR="00C45C65" w:rsidP="00C45C65" w:rsidRDefault="00C45C65" w14:paraId="10F4DA70" w14:textId="77777777">
      <w:pPr>
        <w:jc w:val="both"/>
        <w:rPr>
          <w:szCs w:val="24"/>
        </w:rPr>
      </w:pPr>
    </w:p>
    <w:p w:rsidR="00465289" w:rsidP="00C45C65" w:rsidRDefault="00465289" w14:paraId="0D63F128" w14:textId="77777777">
      <w:pPr>
        <w:ind w:firstLine="851"/>
        <w:jc w:val="both"/>
        <w:rPr>
          <w:szCs w:val="24"/>
        </w:rPr>
      </w:pPr>
    </w:p>
    <w:p w:rsidR="00C45C65" w:rsidP="00C45C65" w:rsidRDefault="00C45C65" w14:paraId="1C6CB356" w14:textId="18E8D3A4">
      <w:pPr>
        <w:ind w:firstLine="851"/>
        <w:jc w:val="both"/>
      </w:pPr>
      <w:r w:rsidR="00C45C65">
        <w:rPr/>
        <w:t>9. Reikalavimai III pirkimo daliai – mokymai „</w:t>
      </w:r>
      <w:r w:rsidR="00940539">
        <w:rPr/>
        <w:t>Finansinė</w:t>
      </w:r>
      <w:r w:rsidR="00465289">
        <w:rPr/>
        <w:t xml:space="preserve">s </w:t>
      </w:r>
      <w:r w:rsidR="001268A7">
        <w:rPr/>
        <w:t>- analitinės</w:t>
      </w:r>
      <w:r w:rsidR="00940539">
        <w:rPr/>
        <w:t xml:space="preserve"> komp</w:t>
      </w:r>
      <w:r w:rsidR="00465289">
        <w:rPr/>
        <w:t>e</w:t>
      </w:r>
      <w:r w:rsidR="00940539">
        <w:rPr/>
        <w:t>tencijos mokymai</w:t>
      </w:r>
      <w:r w:rsidR="00C45C65">
        <w:rPr/>
        <w:t>“ (</w:t>
      </w:r>
      <w:r w:rsidR="76DEE27E">
        <w:rPr/>
        <w:t>24</w:t>
      </w:r>
      <w:r w:rsidR="00C45C65">
        <w:rPr/>
        <w:t xml:space="preserve"> akad. val.):</w:t>
      </w:r>
    </w:p>
    <w:p w:rsidRPr="00EB6B72" w:rsidR="00465289" w:rsidP="00C45C65" w:rsidRDefault="00465289" w14:paraId="55BC9DF6" w14:textId="77777777">
      <w:pPr>
        <w:ind w:firstLine="851"/>
        <w:jc w:val="both"/>
        <w:rPr>
          <w:szCs w:val="24"/>
        </w:rPr>
      </w:pPr>
    </w:p>
    <w:tbl>
      <w:tblPr>
        <w:tblW w:w="9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04"/>
        <w:gridCol w:w="2006"/>
        <w:gridCol w:w="6775"/>
      </w:tblGrid>
      <w:tr w:rsidRPr="00EB6B72" w:rsidR="00C45C65" w:rsidTr="18CD1370" w14:paraId="22BB7173" w14:textId="77777777">
        <w:trPr>
          <w:tblHeader/>
        </w:trPr>
        <w:tc>
          <w:tcPr>
            <w:tcW w:w="704" w:type="dxa"/>
            <w:shd w:val="clear" w:color="auto" w:fill="C0C0C0"/>
            <w:tcMar/>
            <w:vAlign w:val="center"/>
          </w:tcPr>
          <w:p w:rsidRPr="00EB6B72" w:rsidR="00C45C65" w:rsidP="00B479F8" w:rsidRDefault="00C45C65" w14:paraId="1128AA02" w14:textId="77777777">
            <w:pPr>
              <w:pStyle w:val="BodyTextIndent"/>
              <w:spacing w:after="0"/>
              <w:ind w:left="29"/>
              <w:jc w:val="center"/>
              <w:rPr>
                <w:b/>
                <w:bCs/>
                <w:szCs w:val="24"/>
              </w:rPr>
            </w:pPr>
            <w:r w:rsidRPr="00EB6B72">
              <w:rPr>
                <w:b/>
                <w:bCs/>
                <w:szCs w:val="24"/>
              </w:rPr>
              <w:t>Eil. Nr.</w:t>
            </w:r>
          </w:p>
        </w:tc>
        <w:tc>
          <w:tcPr>
            <w:tcW w:w="2006" w:type="dxa"/>
            <w:shd w:val="clear" w:color="auto" w:fill="C0C0C0"/>
            <w:tcMar/>
            <w:vAlign w:val="center"/>
          </w:tcPr>
          <w:p w:rsidRPr="00EB6B72" w:rsidR="00C45C65" w:rsidP="00B479F8" w:rsidRDefault="00C45C65" w14:paraId="600ED84E" w14:textId="77777777">
            <w:pPr>
              <w:pStyle w:val="BodyTextIndent"/>
              <w:spacing w:after="0"/>
              <w:ind w:left="29"/>
              <w:jc w:val="center"/>
              <w:rPr>
                <w:b/>
                <w:bCs/>
                <w:szCs w:val="24"/>
              </w:rPr>
            </w:pPr>
            <w:r w:rsidRPr="00EB6B72">
              <w:rPr>
                <w:b/>
                <w:bCs/>
                <w:szCs w:val="24"/>
              </w:rPr>
              <w:t>Paslaugos komponentai</w:t>
            </w:r>
          </w:p>
        </w:tc>
        <w:tc>
          <w:tcPr>
            <w:tcW w:w="6775" w:type="dxa"/>
            <w:shd w:val="clear" w:color="auto" w:fill="C0C0C0"/>
            <w:tcMar/>
            <w:vAlign w:val="center"/>
          </w:tcPr>
          <w:p w:rsidRPr="00EB6B72" w:rsidR="00C45C65" w:rsidP="00B479F8" w:rsidRDefault="00C45C65" w14:paraId="348D106A" w14:textId="77777777">
            <w:pPr>
              <w:pStyle w:val="BodyTextIndent"/>
              <w:spacing w:after="0"/>
              <w:ind w:left="29"/>
              <w:jc w:val="center"/>
              <w:rPr>
                <w:b/>
                <w:bCs/>
                <w:szCs w:val="24"/>
              </w:rPr>
            </w:pPr>
            <w:r w:rsidRPr="00EB6B72">
              <w:rPr>
                <w:b/>
                <w:bCs/>
                <w:szCs w:val="24"/>
              </w:rPr>
              <w:t>Paslaugai keliami reikalavimai</w:t>
            </w:r>
          </w:p>
        </w:tc>
      </w:tr>
      <w:tr w:rsidRPr="00EB6B72" w:rsidR="00C45C65" w:rsidTr="18CD1370" w14:paraId="3E26A850" w14:textId="77777777">
        <w:tc>
          <w:tcPr>
            <w:tcW w:w="704" w:type="dxa"/>
            <w:tcMar/>
          </w:tcPr>
          <w:p w:rsidRPr="00EB6B72" w:rsidR="00C45C65" w:rsidP="00B479F8" w:rsidRDefault="00C45C65" w14:paraId="0BFC126F" w14:textId="77777777">
            <w:pPr>
              <w:pStyle w:val="BodyTextIndent"/>
              <w:spacing w:after="0"/>
              <w:ind w:left="0"/>
              <w:rPr>
                <w:b/>
                <w:bCs/>
                <w:szCs w:val="24"/>
              </w:rPr>
            </w:pPr>
            <w:r w:rsidRPr="00EB6B72">
              <w:rPr>
                <w:b/>
                <w:bCs/>
                <w:szCs w:val="24"/>
              </w:rPr>
              <w:t>1.</w:t>
            </w:r>
          </w:p>
        </w:tc>
        <w:tc>
          <w:tcPr>
            <w:tcW w:w="2006" w:type="dxa"/>
            <w:tcMar/>
          </w:tcPr>
          <w:p w:rsidRPr="00EB6B72" w:rsidR="00C45C65" w:rsidP="00B479F8" w:rsidRDefault="00C45C65" w14:paraId="605BF501" w14:textId="77777777">
            <w:pPr>
              <w:pStyle w:val="BodyTextIndent"/>
              <w:spacing w:after="0"/>
              <w:rPr>
                <w:b/>
                <w:bCs/>
                <w:szCs w:val="24"/>
              </w:rPr>
            </w:pPr>
            <w:r w:rsidRPr="00EB6B72">
              <w:rPr>
                <w:b/>
                <w:bCs/>
                <w:szCs w:val="24"/>
              </w:rPr>
              <w:t>Mokymų turinys</w:t>
            </w:r>
          </w:p>
        </w:tc>
        <w:tc>
          <w:tcPr>
            <w:tcW w:w="6775" w:type="dxa"/>
            <w:tcMar/>
          </w:tcPr>
          <w:p w:rsidR="00F314CA" w:rsidP="00B479F8" w:rsidRDefault="00A704BE" w14:paraId="190ECDCA" w14:textId="2588CCC5">
            <w:pPr>
              <w:pStyle w:val="BodyTextIndent"/>
              <w:spacing w:after="0"/>
              <w:ind w:left="12"/>
              <w:rPr>
                <w:szCs w:val="24"/>
              </w:rPr>
            </w:pPr>
            <w:r>
              <w:rPr>
                <w:szCs w:val="24"/>
              </w:rPr>
              <w:t>Mokymų temos :</w:t>
            </w:r>
          </w:p>
          <w:p w:rsidRPr="00A704BE" w:rsidR="00A704BE" w:rsidP="18CD1370" w:rsidRDefault="00A704BE" w14:paraId="43B2AE39" w14:textId="3D260E70">
            <w:pPr>
              <w:pStyle w:val="BodyTextIndent"/>
              <w:ind w:left="12"/>
            </w:pPr>
            <w:r w:rsidR="00A704BE">
              <w:rPr/>
              <w:t>1.</w:t>
            </w:r>
            <w:r w:rsidRPr="18CD1370" w:rsidR="73E6D57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 xml:space="preserve"> Duomenų vizualizacijos pagrindai</w:t>
            </w:r>
            <w:r w:rsidR="00A704BE">
              <w:rPr/>
              <w:t xml:space="preserve"> </w:t>
            </w:r>
            <w:r w:rsidR="66C9F311">
              <w:rPr/>
              <w:t>(</w:t>
            </w:r>
            <w:r w:rsidR="00A704BE">
              <w:rPr/>
              <w:t xml:space="preserve">4 ak. </w:t>
            </w:r>
            <w:r w:rsidR="074AB511">
              <w:rPr/>
              <w:t>v</w:t>
            </w:r>
            <w:r w:rsidR="00A704BE">
              <w:rPr/>
              <w:t>al.</w:t>
            </w:r>
            <w:r w:rsidR="125E034C">
              <w:rPr/>
              <w:t>)</w:t>
            </w:r>
            <w:r w:rsidR="3EECE558">
              <w:rPr/>
              <w:t>;</w:t>
            </w:r>
          </w:p>
          <w:p w:rsidRPr="00A704BE" w:rsidR="00A704BE" w:rsidP="00A704BE" w:rsidRDefault="00A704BE" w14:paraId="38D28FC2" w14:textId="036C6352">
            <w:pPr>
              <w:pStyle w:val="BodyTextIndent"/>
              <w:ind w:left="12"/>
            </w:pPr>
            <w:r w:rsidR="00A704BE">
              <w:rPr/>
              <w:t>2.</w:t>
            </w:r>
            <w:r w:rsidR="73946E1A">
              <w:rPr/>
              <w:t xml:space="preserve"> </w:t>
            </w:r>
            <w:r w:rsidR="00A704BE">
              <w:rPr/>
              <w:t xml:space="preserve">Biudžetų sudarymas pagal strateginio valdymo principus ir metinius planus </w:t>
            </w:r>
            <w:r w:rsidR="42911771">
              <w:rPr/>
              <w:t>(</w:t>
            </w:r>
            <w:r w:rsidR="00A704BE">
              <w:rPr/>
              <w:t xml:space="preserve">4 ak. </w:t>
            </w:r>
            <w:r w:rsidR="00A704BE">
              <w:rPr/>
              <w:t>al.</w:t>
            </w:r>
            <w:r w:rsidR="051FAD3F">
              <w:rPr/>
              <w:t>)</w:t>
            </w:r>
            <w:r w:rsidR="49EDAA5A">
              <w:rPr/>
              <w:t>;</w:t>
            </w:r>
          </w:p>
          <w:p w:rsidRPr="00A704BE" w:rsidR="00A704BE" w:rsidP="00A704BE" w:rsidRDefault="00A704BE" w14:paraId="00E1D129" w14:textId="23B78343">
            <w:pPr>
              <w:pStyle w:val="BodyTextIndent"/>
              <w:ind w:left="12"/>
            </w:pPr>
            <w:r w:rsidR="00A704BE">
              <w:rPr/>
              <w:t>3.</w:t>
            </w:r>
            <w:r w:rsidR="4B1E5A4B">
              <w:rPr/>
              <w:t xml:space="preserve"> </w:t>
            </w:r>
            <w:r w:rsidR="00A704BE">
              <w:rPr/>
              <w:t>Viešojo sektoriaus subjektų finansinės ataskaitos</w:t>
            </w:r>
            <w:r w:rsidR="00A704BE">
              <w:rPr/>
              <w:t xml:space="preserve"> </w:t>
            </w:r>
            <w:r w:rsidR="00A704BE">
              <w:rPr/>
              <w:t xml:space="preserve"> </w:t>
            </w:r>
            <w:r w:rsidR="6CC199A4">
              <w:rPr/>
              <w:t>(</w:t>
            </w:r>
            <w:r w:rsidR="00A704BE">
              <w:rPr/>
              <w:t xml:space="preserve">4 ak. </w:t>
            </w:r>
            <w:r w:rsidR="023F97E5">
              <w:rPr/>
              <w:t>v</w:t>
            </w:r>
            <w:r w:rsidR="00A704BE">
              <w:rPr/>
              <w:t>al.</w:t>
            </w:r>
            <w:r w:rsidR="524EF213">
              <w:rPr/>
              <w:t>)</w:t>
            </w:r>
          </w:p>
          <w:p w:rsidRPr="00A704BE" w:rsidR="00A704BE" w:rsidP="18CD1370" w:rsidRDefault="00A704BE" w14:paraId="7221B08A" w14:textId="738439AD">
            <w:pPr>
              <w:pStyle w:val="BodyTextIndent"/>
              <w:ind w:left="12"/>
              <w:rPr>
                <w:lang w:val="en-US"/>
              </w:rPr>
            </w:pPr>
            <w:r w:rsidR="00A704BE">
              <w:rPr/>
              <w:t>4.</w:t>
            </w:r>
            <w:r w:rsidR="0E8544DD">
              <w:rPr/>
              <w:t xml:space="preserve"> </w:t>
            </w:r>
            <w:r w:rsidRPr="18CD1370" w:rsidR="5ECD31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lt-LT"/>
              </w:rPr>
              <w:t xml:space="preserve">Viešojo sektoriaus biudžetų valdymas ir kontrolė </w:t>
            </w:r>
            <w:r w:rsidRPr="18CD1370" w:rsidR="5ECD31B1">
              <w:rPr>
                <w:noProof w:val="0"/>
                <w:lang w:val="lt-LT"/>
              </w:rPr>
              <w:t xml:space="preserve"> </w:t>
            </w:r>
            <w:r w:rsidR="00A704BE">
              <w:rPr/>
              <w:t xml:space="preserve"> </w:t>
            </w:r>
            <w:r w:rsidR="68220F76">
              <w:rPr/>
              <w:t>(</w:t>
            </w:r>
            <w:r w:rsidR="00A704BE">
              <w:rPr/>
              <w:t xml:space="preserve">4 ak. </w:t>
            </w:r>
            <w:r w:rsidR="5217424E">
              <w:rPr/>
              <w:t>v</w:t>
            </w:r>
            <w:r w:rsidR="00A704BE">
              <w:rPr/>
              <w:t>al.</w:t>
            </w:r>
            <w:r w:rsidR="2B62A7DF">
              <w:rPr/>
              <w:t>);</w:t>
            </w:r>
          </w:p>
          <w:p w:rsidRPr="00A704BE" w:rsidR="00A704BE" w:rsidP="00A704BE" w:rsidRDefault="00A704BE" w14:paraId="3D79B566" w14:textId="2EA9EC13">
            <w:pPr>
              <w:pStyle w:val="BodyTextIndent"/>
              <w:ind w:left="12"/>
            </w:pPr>
            <w:r w:rsidR="00A704BE">
              <w:rPr/>
              <w:t>5.</w:t>
            </w:r>
            <w:r w:rsidR="087B97A0">
              <w:rPr/>
              <w:t xml:space="preserve"> </w:t>
            </w:r>
            <w:r w:rsidR="00A704BE">
              <w:rPr/>
              <w:t xml:space="preserve">Viešojo sektoriaus biudžetų valdymas ir kontrolė </w:t>
            </w:r>
            <w:r w:rsidR="49DD7C33">
              <w:rPr/>
              <w:t>(</w:t>
            </w:r>
            <w:r w:rsidR="689A27BA">
              <w:rPr/>
              <w:t>4</w:t>
            </w:r>
            <w:r w:rsidR="00A704BE">
              <w:rPr/>
              <w:t xml:space="preserve"> </w:t>
            </w:r>
            <w:r w:rsidR="437B9219">
              <w:rPr/>
              <w:t>ak.</w:t>
            </w:r>
            <w:r w:rsidR="00A704BE">
              <w:rPr/>
              <w:t>val</w:t>
            </w:r>
            <w:r w:rsidR="00A704BE">
              <w:rPr/>
              <w:t>.</w:t>
            </w:r>
            <w:r w:rsidR="2E5D6E74">
              <w:rPr/>
              <w:t>)</w:t>
            </w:r>
            <w:r w:rsidR="00A704BE">
              <w:rPr/>
              <w:t xml:space="preserve">  </w:t>
            </w:r>
          </w:p>
          <w:p w:rsidR="00A704BE" w:rsidP="18CD1370" w:rsidRDefault="00D61C85" w14:paraId="693B5487" w14:textId="14AB4C9C">
            <w:pPr>
              <w:pStyle w:val="BodyTextIndent"/>
              <w:spacing w:after="0"/>
              <w:ind w:left="12"/>
            </w:pPr>
            <w:r w:rsidR="79C0DFDB">
              <w:rPr/>
              <w:t>6</w:t>
            </w:r>
            <w:r w:rsidR="001268A7">
              <w:rPr/>
              <w:t>.</w:t>
            </w:r>
            <w:r w:rsidR="0754CC28">
              <w:rPr/>
              <w:t xml:space="preserve"> </w:t>
            </w:r>
            <w:r w:rsidR="001268A7">
              <w:rPr/>
              <w:t>Duomenimis grįstas sprendimų priėmimas ir analizė  (praktiniai Power BI mokymai)</w:t>
            </w:r>
            <w:r w:rsidR="001268A7">
              <w:rPr/>
              <w:t xml:space="preserve">  </w:t>
            </w:r>
            <w:r w:rsidR="13ECB6B8">
              <w:rPr/>
              <w:t>(</w:t>
            </w:r>
            <w:r w:rsidR="001268A7">
              <w:rPr/>
              <w:t xml:space="preserve">4 ak. </w:t>
            </w:r>
            <w:r w:rsidR="102F2188">
              <w:rPr/>
              <w:t>v</w:t>
            </w:r>
            <w:r w:rsidR="001268A7">
              <w:rPr/>
              <w:t>al</w:t>
            </w:r>
            <w:r w:rsidR="6C8D1FCA">
              <w:rPr/>
              <w:t>)</w:t>
            </w:r>
          </w:p>
          <w:p w:rsidR="00F314CA" w:rsidP="00B479F8" w:rsidRDefault="00F314CA" w14:paraId="6877CC3F" w14:textId="77777777">
            <w:pPr>
              <w:pStyle w:val="BodyTextIndent"/>
              <w:spacing w:after="0"/>
              <w:ind w:left="12"/>
              <w:rPr>
                <w:szCs w:val="24"/>
              </w:rPr>
            </w:pPr>
          </w:p>
          <w:p w:rsidRPr="00EB6B72" w:rsidR="00C45C65" w:rsidP="00B479F8" w:rsidRDefault="00C45C65" w14:paraId="34FBACE4" w14:textId="51F4B6F2">
            <w:pPr>
              <w:pStyle w:val="BodyTextIndent"/>
              <w:spacing w:after="0"/>
              <w:ind w:left="12"/>
              <w:rPr>
                <w:bCs/>
                <w:szCs w:val="24"/>
              </w:rPr>
            </w:pPr>
            <w:r w:rsidRPr="00EB6B72">
              <w:rPr>
                <w:b/>
                <w:bCs/>
                <w:szCs w:val="24"/>
              </w:rPr>
              <w:t xml:space="preserve">Mokymo metodai: </w:t>
            </w:r>
            <w:r>
              <w:t xml:space="preserve">Mokymo programos teorinė dalis turi būti susieta su tikslinės mokymo grupės darbinės veiklos specifika ir sudaryti ne daugiau nei 15 proc. viso mokymo laiko; praktinė mokymo programos dalis turi būti paremta interaktyviais mokymo </w:t>
            </w:r>
            <w:r>
              <w:t>metodais: situacijų modeliavimu ir jų analize, praktiniais patarimais</w:t>
            </w:r>
            <w:r w:rsidR="00940539">
              <w:t xml:space="preserve"> </w:t>
            </w:r>
            <w:r>
              <w:t>ir kt.</w:t>
            </w:r>
            <w:r w:rsidRPr="00EB6B72">
              <w:rPr>
                <w:bCs/>
                <w:szCs w:val="24"/>
              </w:rPr>
              <w:t>.</w:t>
            </w:r>
          </w:p>
          <w:p w:rsidRPr="0032354E" w:rsidR="00C45C65" w:rsidP="00B479F8" w:rsidRDefault="00C45C65" w14:paraId="36246BFD" w14:textId="77777777">
            <w:pPr>
              <w:pStyle w:val="BodyTextIndent"/>
              <w:spacing w:after="0"/>
              <w:ind w:left="12"/>
              <w:rPr>
                <w:bCs/>
                <w:szCs w:val="24"/>
              </w:rPr>
            </w:pPr>
            <w:r w:rsidRPr="0032354E">
              <w:rPr>
                <w:b/>
                <w:bCs/>
                <w:szCs w:val="24"/>
              </w:rPr>
              <w:t xml:space="preserve">Mokymo kalba: </w:t>
            </w:r>
            <w:r w:rsidRPr="0032354E">
              <w:rPr>
                <w:bCs/>
                <w:szCs w:val="24"/>
              </w:rPr>
              <w:t xml:space="preserve">lietuvių kalba. </w:t>
            </w:r>
          </w:p>
          <w:p w:rsidRPr="00EB6B72" w:rsidR="00C45C65" w:rsidP="00B479F8" w:rsidRDefault="00C45C65" w14:paraId="2E4F957D" w14:textId="0C45970B">
            <w:pPr>
              <w:pStyle w:val="BodyTextIndent"/>
              <w:spacing w:after="0"/>
              <w:ind w:left="12"/>
              <w:rPr>
                <w:bCs/>
                <w:szCs w:val="24"/>
              </w:rPr>
            </w:pPr>
          </w:p>
        </w:tc>
      </w:tr>
      <w:tr w:rsidRPr="00EB6B72" w:rsidR="00C45C65" w:rsidTr="18CD1370" w14:paraId="772787F7" w14:textId="77777777">
        <w:tc>
          <w:tcPr>
            <w:tcW w:w="704" w:type="dxa"/>
            <w:tcMar/>
          </w:tcPr>
          <w:p w:rsidRPr="00EB6B72" w:rsidR="00C45C65" w:rsidP="00B479F8" w:rsidRDefault="00C45C65" w14:paraId="6C13DEF9" w14:textId="77777777">
            <w:pPr>
              <w:pStyle w:val="BodyTextIndent"/>
              <w:spacing w:after="0"/>
              <w:ind w:left="0"/>
              <w:rPr>
                <w:b/>
                <w:bCs/>
                <w:szCs w:val="24"/>
              </w:rPr>
            </w:pPr>
            <w:r w:rsidRPr="00EB6B72">
              <w:rPr>
                <w:b/>
                <w:bCs/>
                <w:szCs w:val="24"/>
              </w:rPr>
              <w:t>2.</w:t>
            </w:r>
          </w:p>
        </w:tc>
        <w:tc>
          <w:tcPr>
            <w:tcW w:w="2006" w:type="dxa"/>
            <w:tcMar/>
          </w:tcPr>
          <w:p w:rsidRPr="00EB6B72" w:rsidR="00C45C65" w:rsidP="00B479F8" w:rsidRDefault="00C45C65" w14:paraId="515DF576" w14:textId="77777777">
            <w:pPr>
              <w:pStyle w:val="BodyTextIndent"/>
              <w:spacing w:after="0"/>
              <w:rPr>
                <w:b/>
                <w:bCs/>
                <w:szCs w:val="24"/>
              </w:rPr>
            </w:pPr>
            <w:r w:rsidRPr="00EB6B72">
              <w:rPr>
                <w:b/>
                <w:bCs/>
                <w:szCs w:val="24"/>
              </w:rPr>
              <w:t>Mokymų apimtis</w:t>
            </w:r>
          </w:p>
        </w:tc>
        <w:tc>
          <w:tcPr>
            <w:tcW w:w="6775" w:type="dxa"/>
            <w:tcMar/>
          </w:tcPr>
          <w:p w:rsidRPr="00EB6B72" w:rsidR="00C45C65" w:rsidP="00B479F8" w:rsidRDefault="00C45C65" w14:paraId="1C9E8537" w14:textId="1E5F4F5D">
            <w:pPr>
              <w:pStyle w:val="BodyTextIndent"/>
              <w:spacing w:after="0"/>
              <w:ind w:left="12"/>
              <w:rPr>
                <w:bCs/>
                <w:szCs w:val="24"/>
              </w:rPr>
            </w:pPr>
            <w:r w:rsidRPr="00EB6B72">
              <w:rPr>
                <w:bCs/>
                <w:szCs w:val="24"/>
              </w:rPr>
              <w:t>Mokymuose dalyvaus</w:t>
            </w:r>
            <w:r w:rsidR="00F314CA">
              <w:rPr>
                <w:bCs/>
                <w:szCs w:val="24"/>
              </w:rPr>
              <w:t xml:space="preserve"> 4000</w:t>
            </w:r>
            <w:r w:rsidRPr="00EB6B72">
              <w:rPr>
                <w:bCs/>
                <w:szCs w:val="24"/>
              </w:rPr>
              <w:t xml:space="preserve"> asmenų.</w:t>
            </w:r>
          </w:p>
          <w:p w:rsidRPr="00EB6B72" w:rsidR="00C45C65" w:rsidP="00F314CA" w:rsidRDefault="00C45C65" w14:paraId="08693E30" w14:textId="0F0FBAA9">
            <w:pPr>
              <w:pStyle w:val="BodyTextIndent"/>
              <w:spacing w:after="0"/>
              <w:ind w:left="0"/>
              <w:rPr>
                <w:bCs/>
                <w:szCs w:val="24"/>
              </w:rPr>
            </w:pPr>
            <w:r w:rsidRPr="00EB6B72">
              <w:rPr>
                <w:bCs/>
                <w:szCs w:val="24"/>
              </w:rPr>
              <w:t xml:space="preserve"> </w:t>
            </w:r>
          </w:p>
          <w:p w:rsidRPr="00EB6B72" w:rsidR="00C45C65" w:rsidP="00B479F8" w:rsidRDefault="00940539" w14:paraId="48837B8C" w14:textId="3B006AC5">
            <w:pPr>
              <w:pStyle w:val="BodyTextIndent"/>
              <w:spacing w:after="0"/>
              <w:ind w:left="12"/>
              <w:rPr>
                <w:b/>
                <w:bCs/>
                <w:szCs w:val="24"/>
              </w:rPr>
            </w:pPr>
            <w:r>
              <w:t>Iš viso pagal mokymo programą turės būti suorganizuota ne mažiau nei 10  mokymo renginių kiekvienai temai. Mokymų renginys turi būti pritaikytas dideliam dalyvių kiekiui ( gali būti ir 200/300/400/500)</w:t>
            </w:r>
          </w:p>
        </w:tc>
      </w:tr>
    </w:tbl>
    <w:p w:rsidRPr="00EB6B72" w:rsidR="00C45C65" w:rsidP="00C45C65" w:rsidRDefault="00C45C65" w14:paraId="5535FB9D" w14:textId="77777777">
      <w:pPr>
        <w:jc w:val="both"/>
        <w:rPr>
          <w:szCs w:val="24"/>
        </w:rPr>
      </w:pPr>
    </w:p>
    <w:p w:rsidRPr="00EB6B72" w:rsidR="00C45C65" w:rsidP="00C45C65" w:rsidRDefault="00C45C65" w14:paraId="70DDFD0F" w14:textId="77777777">
      <w:pPr>
        <w:pStyle w:val="BodyTextIndent"/>
        <w:jc w:val="center"/>
        <w:rPr>
          <w:szCs w:val="24"/>
        </w:rPr>
      </w:pPr>
    </w:p>
    <w:p w:rsidRPr="00EB6B72" w:rsidR="00C45C65" w:rsidP="00C45C65" w:rsidRDefault="00C45C65" w14:paraId="0F421001" w14:textId="38263360">
      <w:pPr>
        <w:ind w:firstLine="851"/>
        <w:jc w:val="both"/>
        <w:rPr>
          <w:szCs w:val="24"/>
        </w:rPr>
      </w:pPr>
      <w:r w:rsidRPr="00EB6B72">
        <w:rPr>
          <w:szCs w:val="24"/>
        </w:rPr>
        <w:t>1</w:t>
      </w:r>
      <w:r w:rsidR="00465289">
        <w:rPr>
          <w:szCs w:val="24"/>
        </w:rPr>
        <w:t>0</w:t>
      </w:r>
      <w:r w:rsidRPr="00EB6B72">
        <w:rPr>
          <w:szCs w:val="24"/>
        </w:rPr>
        <w:t>. Bendrieji reikalavimai visoms pirkimo dalims:</w:t>
      </w:r>
    </w:p>
    <w:p w:rsidRPr="00EB6B72" w:rsidR="00C45C65" w:rsidP="00C45C65" w:rsidRDefault="00C45C65" w14:paraId="746CAB09" w14:textId="56DEE68A">
      <w:pPr>
        <w:ind w:firstLine="851"/>
        <w:jc w:val="both"/>
        <w:rPr>
          <w:szCs w:val="24"/>
        </w:rPr>
      </w:pPr>
      <w:r w:rsidRPr="00EB6B72">
        <w:rPr>
          <w:szCs w:val="24"/>
        </w:rPr>
        <w:t>1</w:t>
      </w:r>
      <w:r w:rsidR="00465289">
        <w:rPr>
          <w:szCs w:val="24"/>
        </w:rPr>
        <w:t>0</w:t>
      </w:r>
      <w:r w:rsidRPr="00EB6B72">
        <w:rPr>
          <w:szCs w:val="24"/>
        </w:rPr>
        <w:t xml:space="preserve">.1. Mokymai turi būti įgyvendinti </w:t>
      </w:r>
      <w:r>
        <w:rPr>
          <w:szCs w:val="24"/>
        </w:rPr>
        <w:t>iki 202</w:t>
      </w:r>
      <w:r w:rsidR="001165EA">
        <w:rPr>
          <w:szCs w:val="24"/>
        </w:rPr>
        <w:t>6</w:t>
      </w:r>
      <w:r>
        <w:rPr>
          <w:szCs w:val="24"/>
        </w:rPr>
        <w:t xml:space="preserve"> m. kovo </w:t>
      </w:r>
      <w:r w:rsidR="001165EA">
        <w:rPr>
          <w:szCs w:val="24"/>
        </w:rPr>
        <w:t>01</w:t>
      </w:r>
      <w:r>
        <w:rPr>
          <w:szCs w:val="24"/>
        </w:rPr>
        <w:t xml:space="preserve"> d</w:t>
      </w:r>
      <w:r w:rsidRPr="00EB6B72">
        <w:rPr>
          <w:szCs w:val="24"/>
        </w:rPr>
        <w:t>.</w:t>
      </w:r>
    </w:p>
    <w:p w:rsidRPr="00EB6B72" w:rsidR="00C45C65" w:rsidP="00C45C65" w:rsidRDefault="00C45C65" w14:paraId="07EA6CB6" w14:textId="4E5D6D16">
      <w:pPr>
        <w:ind w:firstLine="851"/>
        <w:jc w:val="both"/>
        <w:rPr>
          <w:rFonts w:eastAsia="Calibri"/>
        </w:rPr>
      </w:pPr>
      <w:r w:rsidRPr="00EB6B72">
        <w:rPr>
          <w:szCs w:val="24"/>
        </w:rPr>
        <w:t>1</w:t>
      </w:r>
      <w:r w:rsidR="00465289">
        <w:rPr>
          <w:szCs w:val="24"/>
        </w:rPr>
        <w:t>0</w:t>
      </w:r>
      <w:r w:rsidRPr="00EB6B72">
        <w:rPr>
          <w:szCs w:val="24"/>
        </w:rPr>
        <w:t xml:space="preserve">.2. </w:t>
      </w:r>
      <w:r w:rsidRPr="00EB6B72">
        <w:rPr>
          <w:rFonts w:eastAsia="Calibri"/>
        </w:rPr>
        <w:t>Paslaugų teikėjas apmoka visas su mokymais susijusias išlaidas (įskaitant visas išlaidas reikalingas tinkamai užtikrinti šioje Paslaugų techninėje specifikacijoje numatytų veiksmų įgyvendinimą).</w:t>
      </w:r>
      <w:r w:rsidRPr="00EB6B72">
        <w:t xml:space="preserve"> </w:t>
      </w:r>
      <w:r w:rsidRPr="00EB6B72">
        <w:rPr>
          <w:rFonts w:eastAsia="Calibri"/>
        </w:rPr>
        <w:t>Į mokymų kainą turi būti įtrauktos visos lektoriaus kelionės, darbo ir išlaikymo išlaidos.</w:t>
      </w:r>
    </w:p>
    <w:p w:rsidRPr="00EB6B72" w:rsidR="00C45C65" w:rsidP="00C45C65" w:rsidRDefault="00C45C65" w14:paraId="47594015" w14:textId="2ADA11DA">
      <w:pPr>
        <w:ind w:firstLine="851"/>
        <w:jc w:val="both"/>
        <w:rPr>
          <w:szCs w:val="24"/>
        </w:rPr>
      </w:pPr>
      <w:r w:rsidRPr="00EB6B72">
        <w:rPr>
          <w:szCs w:val="24"/>
        </w:rPr>
        <w:t>1</w:t>
      </w:r>
      <w:r w:rsidR="00465289">
        <w:rPr>
          <w:szCs w:val="24"/>
        </w:rPr>
        <w:t>0</w:t>
      </w:r>
      <w:r w:rsidRPr="00EB6B72">
        <w:rPr>
          <w:szCs w:val="24"/>
        </w:rPr>
        <w:t>.</w:t>
      </w:r>
      <w:r>
        <w:rPr>
          <w:szCs w:val="24"/>
        </w:rPr>
        <w:t>3</w:t>
      </w:r>
      <w:r w:rsidRPr="00EB6B72">
        <w:rPr>
          <w:szCs w:val="24"/>
        </w:rPr>
        <w:t xml:space="preserve">. </w:t>
      </w:r>
      <w:r w:rsidRPr="002E21DB">
        <w:rPr>
          <w:szCs w:val="24"/>
        </w:rPr>
        <w:t>Paslaugų teikėjas turi pasirašytinai suderinti su V</w:t>
      </w:r>
      <w:r w:rsidR="001165EA">
        <w:rPr>
          <w:szCs w:val="24"/>
        </w:rPr>
        <w:t xml:space="preserve">VA </w:t>
      </w:r>
      <w:r w:rsidRPr="002E21DB">
        <w:rPr>
          <w:szCs w:val="24"/>
        </w:rPr>
        <w:t xml:space="preserve">visas pirkimo objekto dalis paslaugų pirkimo sutartyje nustatytais terminais ir tvarka. Pirkimo objekto dalys, pateiktos </w:t>
      </w:r>
      <w:r w:rsidR="001165EA">
        <w:rPr>
          <w:szCs w:val="24"/>
        </w:rPr>
        <w:t xml:space="preserve">VVA </w:t>
      </w:r>
      <w:r w:rsidRPr="002E21DB">
        <w:rPr>
          <w:szCs w:val="24"/>
        </w:rPr>
        <w:t>derinimui, laikomos įgyvendintos nuo to momento, kai jos yra pasirašytinai suderintos su V</w:t>
      </w:r>
      <w:r w:rsidR="001165EA">
        <w:rPr>
          <w:szCs w:val="24"/>
        </w:rPr>
        <w:t>VA</w:t>
      </w:r>
      <w:r w:rsidRPr="002E21DB">
        <w:rPr>
          <w:szCs w:val="24"/>
        </w:rPr>
        <w:t>.</w:t>
      </w:r>
    </w:p>
    <w:p w:rsidR="00C45C65" w:rsidP="00C45C65" w:rsidRDefault="00C45C65" w14:paraId="45FC47C9" w14:textId="733C1B8E">
      <w:pPr>
        <w:ind w:firstLine="851"/>
        <w:jc w:val="both"/>
        <w:rPr>
          <w:rFonts w:eastAsia="Calibri"/>
        </w:rPr>
      </w:pPr>
      <w:r>
        <w:rPr>
          <w:rFonts w:eastAsia="Calibri"/>
          <w:bCs/>
          <w:noProof/>
        </w:rPr>
        <w:t>1</w:t>
      </w:r>
      <w:r w:rsidR="00465289">
        <w:rPr>
          <w:rFonts w:eastAsia="Calibri"/>
          <w:bCs/>
          <w:noProof/>
        </w:rPr>
        <w:t>0</w:t>
      </w:r>
      <w:r>
        <w:rPr>
          <w:rFonts w:eastAsia="Calibri"/>
          <w:bCs/>
          <w:noProof/>
        </w:rPr>
        <w:t>.4</w:t>
      </w:r>
      <w:r w:rsidRPr="002E21DB">
        <w:rPr>
          <w:rFonts w:eastAsia="Calibri"/>
          <w:bCs/>
          <w:noProof/>
        </w:rPr>
        <w:t>.</w:t>
      </w:r>
      <w:r w:rsidRPr="00907078">
        <w:rPr>
          <w:rFonts w:eastAsia="Calibri"/>
        </w:rPr>
        <w:t xml:space="preserve"> Paslaugų teikėjas prieš pradėdamas mokymus kiekvieną mėnesį su perkančiąja organizacija turi suderinti dalyvių sąrašus, mokymų grafiką su mokymų datomis ir pateikti perkančiajai organizacijai.</w:t>
      </w:r>
    </w:p>
    <w:p w:rsidR="00C45C65" w:rsidP="00C45C65" w:rsidRDefault="00C45C65" w14:paraId="038FE732" w14:textId="0D8266F6">
      <w:pPr>
        <w:ind w:firstLine="851"/>
        <w:jc w:val="both"/>
        <w:rPr>
          <w:rFonts w:eastAsia="Calibri"/>
        </w:rPr>
      </w:pPr>
      <w:r>
        <w:rPr>
          <w:rFonts w:eastAsia="Calibri"/>
        </w:rPr>
        <w:t>1</w:t>
      </w:r>
      <w:r w:rsidR="00465289">
        <w:rPr>
          <w:rFonts w:eastAsia="Calibri"/>
        </w:rPr>
        <w:t>0</w:t>
      </w:r>
      <w:r w:rsidRPr="00294051">
        <w:rPr>
          <w:rFonts w:eastAsia="Calibri"/>
        </w:rPr>
        <w:t>.5. Kiekvieną mėnesį paslaugų teikėjas turi V</w:t>
      </w:r>
      <w:r w:rsidR="001165EA">
        <w:rPr>
          <w:rFonts w:eastAsia="Calibri"/>
        </w:rPr>
        <w:t>VA</w:t>
      </w:r>
      <w:r w:rsidRPr="00294051">
        <w:rPr>
          <w:rFonts w:eastAsia="Calibri"/>
        </w:rPr>
        <w:t xml:space="preserve"> pateikti apklausos apie mokymo kokybę rezultatų suvestinę ne vėliau kaip per 5 darbo dienas nuo praėjusio mėnesio pabaigos. Visų mokymų pabaigoje ne vėliau kaip per 5 darbo dienas nuo jų pabaigos </w:t>
      </w:r>
      <w:r w:rsidR="001165EA">
        <w:rPr>
          <w:rFonts w:eastAsia="Calibri"/>
        </w:rPr>
        <w:t>VVA</w:t>
      </w:r>
      <w:r w:rsidRPr="00294051">
        <w:rPr>
          <w:rFonts w:eastAsia="Calibri"/>
        </w:rPr>
        <w:t xml:space="preserve"> pateikti bendrą apklausos rezultatų suvestinę. </w:t>
      </w:r>
    </w:p>
    <w:p w:rsidRPr="00EB6B72" w:rsidR="00C45C65" w:rsidP="00C45C65" w:rsidRDefault="00C45C65" w14:paraId="069DF61C" w14:textId="53D9A3A5">
      <w:pPr>
        <w:ind w:firstLine="851"/>
        <w:jc w:val="both"/>
        <w:rPr>
          <w:rFonts w:eastAsia="Calibri"/>
          <w:color w:val="000000"/>
        </w:rPr>
      </w:pPr>
      <w:r w:rsidRPr="00FD4F00">
        <w:rPr>
          <w:rFonts w:eastAsia="Calibri"/>
          <w:color w:val="000000"/>
        </w:rPr>
        <w:t>1</w:t>
      </w:r>
      <w:r w:rsidR="00465289">
        <w:rPr>
          <w:rFonts w:eastAsia="Calibri"/>
          <w:color w:val="000000"/>
        </w:rPr>
        <w:t>0</w:t>
      </w:r>
      <w:r w:rsidRPr="00FD4F00">
        <w:rPr>
          <w:rFonts w:eastAsia="Calibri"/>
          <w:color w:val="000000"/>
        </w:rPr>
        <w:t>.</w:t>
      </w:r>
      <w:r w:rsidR="001165EA">
        <w:rPr>
          <w:rFonts w:eastAsia="Calibri"/>
          <w:color w:val="000000"/>
        </w:rPr>
        <w:t>6</w:t>
      </w:r>
      <w:r w:rsidRPr="00FD4F00">
        <w:rPr>
          <w:rFonts w:eastAsia="Calibri"/>
          <w:color w:val="000000"/>
        </w:rPr>
        <w:t>. Paslaugų teikėjas turi pateikti V</w:t>
      </w:r>
      <w:r w:rsidR="001165EA">
        <w:rPr>
          <w:rFonts w:eastAsia="Calibri"/>
          <w:color w:val="000000"/>
        </w:rPr>
        <w:t>VA</w:t>
      </w:r>
      <w:r w:rsidRPr="00FD4F00">
        <w:rPr>
          <w:rFonts w:eastAsia="Calibri"/>
          <w:color w:val="000000"/>
        </w:rPr>
        <w:t xml:space="preserve"> visą reikalingą dokumentaciją, pagrindžiančią</w:t>
      </w:r>
      <w:r w:rsidRPr="00EB6B72">
        <w:rPr>
          <w:rFonts w:eastAsia="Calibri"/>
          <w:color w:val="000000"/>
        </w:rPr>
        <w:t xml:space="preserve"> išlaidų atitiktį išlaidų tinkamumo finansuoti reikalavimams.</w:t>
      </w:r>
    </w:p>
    <w:p w:rsidRPr="00EB6B72" w:rsidR="00C45C65" w:rsidP="00C45C65" w:rsidRDefault="00C45C65" w14:paraId="4A86C486" w14:textId="2F75E2D1">
      <w:pPr>
        <w:ind w:firstLine="851"/>
        <w:jc w:val="both"/>
        <w:rPr>
          <w:rFonts w:eastAsia="Calibri"/>
        </w:rPr>
      </w:pPr>
      <w:r w:rsidRPr="00EB6B72">
        <w:rPr>
          <w:rFonts w:eastAsia="Calibri"/>
        </w:rPr>
        <w:t>1</w:t>
      </w:r>
      <w:r w:rsidR="00465289">
        <w:rPr>
          <w:rFonts w:eastAsia="Calibri"/>
        </w:rPr>
        <w:t>0</w:t>
      </w:r>
      <w:r w:rsidRPr="00EB6B72">
        <w:rPr>
          <w:rFonts w:eastAsia="Calibri"/>
        </w:rPr>
        <w:t>.</w:t>
      </w:r>
      <w:r w:rsidR="001165EA">
        <w:rPr>
          <w:rFonts w:eastAsia="Calibri"/>
        </w:rPr>
        <w:t>7</w:t>
      </w:r>
      <w:r w:rsidRPr="00EB6B72">
        <w:rPr>
          <w:rFonts w:eastAsia="Calibri"/>
        </w:rPr>
        <w:t xml:space="preserve">. </w:t>
      </w:r>
      <w:r>
        <w:rPr>
          <w:rFonts w:eastAsia="Calibri"/>
        </w:rPr>
        <w:t>VVA</w:t>
      </w:r>
      <w:r w:rsidRPr="00EB6B72">
        <w:rPr>
          <w:rFonts w:eastAsia="Calibri"/>
        </w:rPr>
        <w:t xml:space="preserve"> bet kuriuo metu pareikalavus, paslaugų teikėjas privalo pateikti veiklos vykdymą įrodančius dokumentus ir bet kokią kitą prašomą informaciją, susijusią su veiklos vykdymu nedelsiant (per protingą terminą, per kurį įmanoma tai padaryti).</w:t>
      </w:r>
    </w:p>
    <w:p w:rsidRPr="00EB6B72" w:rsidR="00C45C65" w:rsidP="00C45C65" w:rsidRDefault="00C45C65" w14:paraId="2F2E1D93" w14:textId="77777777">
      <w:pPr>
        <w:ind w:firstLine="851"/>
        <w:jc w:val="both"/>
        <w:rPr>
          <w:szCs w:val="24"/>
        </w:rPr>
      </w:pPr>
    </w:p>
    <w:p w:rsidRPr="00C45C65" w:rsidR="00C45C65" w:rsidP="00C45C65" w:rsidRDefault="00C45C65" w14:paraId="13D8389C" w14:textId="1D353317">
      <w:pPr>
        <w:jc w:val="center"/>
        <w:rPr>
          <w:b/>
          <w:bCs/>
          <w:szCs w:val="24"/>
        </w:rPr>
      </w:pPr>
      <w:r w:rsidRPr="00EB6B72">
        <w:t>_________</w:t>
      </w:r>
    </w:p>
    <w:sectPr w:rsidRPr="00C45C65" w:rsidR="00C45C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3F0"/>
    <w:multiLevelType w:val="multilevel"/>
    <w:tmpl w:val="6B028260"/>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1FDE35BB"/>
    <w:multiLevelType w:val="hybridMultilevel"/>
    <w:tmpl w:val="4AFAB334"/>
    <w:lvl w:ilvl="0" w:tplc="1C80ABA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22716"/>
    <w:multiLevelType w:val="hybridMultilevel"/>
    <w:tmpl w:val="E9CE290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hint="default" w:ascii="Symbol" w:hAnsi="Symbol"/>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42503681"/>
    <w:multiLevelType w:val="hybridMultilevel"/>
    <w:tmpl w:val="EE4EB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D4051B"/>
    <w:multiLevelType w:val="multilevel"/>
    <w:tmpl w:val="78B416F8"/>
    <w:lvl w:ilvl="0">
      <w:start w:val="1"/>
      <w:numFmt w:val="upperRoman"/>
      <w:lvlText w:val="%1."/>
      <w:lvlJc w:val="left"/>
      <w:pPr>
        <w:ind w:left="1080" w:hanging="720"/>
      </w:pPr>
      <w:rPr>
        <w:rFonts w:hint="default"/>
      </w:rPr>
    </w:lvl>
    <w:lvl w:ilvl="1">
      <w:start w:val="7"/>
      <w:numFmt w:val="decimal"/>
      <w:isLgl/>
      <w:lvlText w:val="%1.%2."/>
      <w:lvlJc w:val="left"/>
      <w:pPr>
        <w:ind w:left="1217" w:hanging="61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5" w15:restartNumberingAfterBreak="0">
    <w:nsid w:val="784C5EB8"/>
    <w:multiLevelType w:val="hybridMultilevel"/>
    <w:tmpl w:val="38322630"/>
    <w:lvl w:ilvl="0" w:tplc="396C6A22">
      <w:start w:val="1"/>
      <w:numFmt w:val="decimal"/>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num w:numId="1" w16cid:durableId="506674292">
    <w:abstractNumId w:val="2"/>
  </w:num>
  <w:num w:numId="2" w16cid:durableId="1526287854">
    <w:abstractNumId w:val="3"/>
  </w:num>
  <w:num w:numId="3" w16cid:durableId="1176118768">
    <w:abstractNumId w:val="5"/>
  </w:num>
  <w:num w:numId="4" w16cid:durableId="790124698">
    <w:abstractNumId w:val="4"/>
  </w:num>
  <w:num w:numId="5" w16cid:durableId="1036849883">
    <w:abstractNumId w:val="0"/>
  </w:num>
  <w:num w:numId="6" w16cid:durableId="10206613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65"/>
    <w:rsid w:val="00095B24"/>
    <w:rsid w:val="00096AE0"/>
    <w:rsid w:val="001135D2"/>
    <w:rsid w:val="001165EA"/>
    <w:rsid w:val="001268A7"/>
    <w:rsid w:val="003B6C0F"/>
    <w:rsid w:val="0045059D"/>
    <w:rsid w:val="00465289"/>
    <w:rsid w:val="004A25FA"/>
    <w:rsid w:val="00840866"/>
    <w:rsid w:val="00895E12"/>
    <w:rsid w:val="00940539"/>
    <w:rsid w:val="009561CA"/>
    <w:rsid w:val="00A30668"/>
    <w:rsid w:val="00A704BE"/>
    <w:rsid w:val="00B51093"/>
    <w:rsid w:val="00C45C65"/>
    <w:rsid w:val="00D61C85"/>
    <w:rsid w:val="00E94C70"/>
    <w:rsid w:val="00EC4E1E"/>
    <w:rsid w:val="00F314CA"/>
    <w:rsid w:val="01B49744"/>
    <w:rsid w:val="020F9938"/>
    <w:rsid w:val="023F97E5"/>
    <w:rsid w:val="034BA7E0"/>
    <w:rsid w:val="051FAD3F"/>
    <w:rsid w:val="0572C138"/>
    <w:rsid w:val="074AB511"/>
    <w:rsid w:val="0754CC28"/>
    <w:rsid w:val="0792ED10"/>
    <w:rsid w:val="087B97A0"/>
    <w:rsid w:val="08A2E578"/>
    <w:rsid w:val="09BC1BA1"/>
    <w:rsid w:val="0AE74C8A"/>
    <w:rsid w:val="0D1D2A7D"/>
    <w:rsid w:val="0DC5C5AC"/>
    <w:rsid w:val="0E60E1A1"/>
    <w:rsid w:val="0E8544DD"/>
    <w:rsid w:val="0F4A86E2"/>
    <w:rsid w:val="0FC013A1"/>
    <w:rsid w:val="102F2188"/>
    <w:rsid w:val="1218D2B1"/>
    <w:rsid w:val="125E034C"/>
    <w:rsid w:val="136E9E06"/>
    <w:rsid w:val="13A28C99"/>
    <w:rsid w:val="13A46499"/>
    <w:rsid w:val="13ECB6B8"/>
    <w:rsid w:val="14F60847"/>
    <w:rsid w:val="1528B684"/>
    <w:rsid w:val="17274B5E"/>
    <w:rsid w:val="176063E7"/>
    <w:rsid w:val="17D4737B"/>
    <w:rsid w:val="189C0641"/>
    <w:rsid w:val="18C38F68"/>
    <w:rsid w:val="18CD1370"/>
    <w:rsid w:val="1A6EAF27"/>
    <w:rsid w:val="1BC5FA79"/>
    <w:rsid w:val="1C8ECAD4"/>
    <w:rsid w:val="1F6E6D7D"/>
    <w:rsid w:val="225FE137"/>
    <w:rsid w:val="236772C0"/>
    <w:rsid w:val="24B67B30"/>
    <w:rsid w:val="26D14C0D"/>
    <w:rsid w:val="26E05E89"/>
    <w:rsid w:val="29F7BFD6"/>
    <w:rsid w:val="2B62A7DF"/>
    <w:rsid w:val="2BCF4BB1"/>
    <w:rsid w:val="2BDF0A03"/>
    <w:rsid w:val="2C05026F"/>
    <w:rsid w:val="2D832E33"/>
    <w:rsid w:val="2DA8BA95"/>
    <w:rsid w:val="2DEEF2C1"/>
    <w:rsid w:val="2E5D6E74"/>
    <w:rsid w:val="2E9C1B34"/>
    <w:rsid w:val="2FF1441D"/>
    <w:rsid w:val="311CCCAB"/>
    <w:rsid w:val="324C3EF9"/>
    <w:rsid w:val="3373FD8D"/>
    <w:rsid w:val="36B1F5C9"/>
    <w:rsid w:val="37B786B0"/>
    <w:rsid w:val="37DD72A1"/>
    <w:rsid w:val="3A086745"/>
    <w:rsid w:val="3B65FAB8"/>
    <w:rsid w:val="3CDE2CEE"/>
    <w:rsid w:val="3DB0DD28"/>
    <w:rsid w:val="3EC86356"/>
    <w:rsid w:val="3EECE558"/>
    <w:rsid w:val="3F4B7ABC"/>
    <w:rsid w:val="3FF56DFA"/>
    <w:rsid w:val="41775802"/>
    <w:rsid w:val="41C8C530"/>
    <w:rsid w:val="41DD57E2"/>
    <w:rsid w:val="42911771"/>
    <w:rsid w:val="43464D7F"/>
    <w:rsid w:val="437B9219"/>
    <w:rsid w:val="4546A8A2"/>
    <w:rsid w:val="467CCC09"/>
    <w:rsid w:val="468D077F"/>
    <w:rsid w:val="46BC5D9B"/>
    <w:rsid w:val="470C114A"/>
    <w:rsid w:val="4742005E"/>
    <w:rsid w:val="49DD7C33"/>
    <w:rsid w:val="49EDAA5A"/>
    <w:rsid w:val="4B1E5A4B"/>
    <w:rsid w:val="4BAE0725"/>
    <w:rsid w:val="4C98A078"/>
    <w:rsid w:val="4D795D8E"/>
    <w:rsid w:val="4DF73F64"/>
    <w:rsid w:val="4ED71B6F"/>
    <w:rsid w:val="4F1BA485"/>
    <w:rsid w:val="4FE26412"/>
    <w:rsid w:val="514EF30C"/>
    <w:rsid w:val="5217424E"/>
    <w:rsid w:val="524EF213"/>
    <w:rsid w:val="528F8B2E"/>
    <w:rsid w:val="5350019A"/>
    <w:rsid w:val="55311446"/>
    <w:rsid w:val="56606D89"/>
    <w:rsid w:val="583C2FFD"/>
    <w:rsid w:val="5870EDC8"/>
    <w:rsid w:val="5A169656"/>
    <w:rsid w:val="5DA07AED"/>
    <w:rsid w:val="5ECD31B1"/>
    <w:rsid w:val="60EB0E61"/>
    <w:rsid w:val="6128E935"/>
    <w:rsid w:val="628BE6E0"/>
    <w:rsid w:val="63043262"/>
    <w:rsid w:val="636B2AB8"/>
    <w:rsid w:val="66C9F311"/>
    <w:rsid w:val="676A9B9A"/>
    <w:rsid w:val="68220F76"/>
    <w:rsid w:val="687EB081"/>
    <w:rsid w:val="689A27BA"/>
    <w:rsid w:val="6A58442B"/>
    <w:rsid w:val="6A9DEC93"/>
    <w:rsid w:val="6B4F41E1"/>
    <w:rsid w:val="6C15D8BB"/>
    <w:rsid w:val="6C8D1FCA"/>
    <w:rsid w:val="6CC199A4"/>
    <w:rsid w:val="6CC7957C"/>
    <w:rsid w:val="6CF7A6E8"/>
    <w:rsid w:val="6FEE35D8"/>
    <w:rsid w:val="6FFC53A2"/>
    <w:rsid w:val="723040A1"/>
    <w:rsid w:val="73946E1A"/>
    <w:rsid w:val="73E6D577"/>
    <w:rsid w:val="7408A84F"/>
    <w:rsid w:val="76CBF717"/>
    <w:rsid w:val="76DEE27E"/>
    <w:rsid w:val="787FBE1A"/>
    <w:rsid w:val="797AF9A6"/>
    <w:rsid w:val="79C0DFDB"/>
    <w:rsid w:val="79D251F6"/>
    <w:rsid w:val="7AA697C7"/>
    <w:rsid w:val="7AB1D213"/>
    <w:rsid w:val="7AC5B2FA"/>
    <w:rsid w:val="7BC0BEA5"/>
    <w:rsid w:val="7D0AD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EC42"/>
  <w15:chartTrackingRefBased/>
  <w15:docId w15:val="{8453EFD0-DFDD-4407-A9D6-F784CEC45E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5C65"/>
    <w:pPr>
      <w:spacing w:after="0" w:line="240" w:lineRule="auto"/>
    </w:pPr>
    <w:rPr>
      <w:rFonts w:ascii="Times New Roman" w:hAnsi="Times New Roman" w:eastAsia="Times New Roman" w:cs="Times New Roman"/>
      <w:kern w:val="0"/>
      <w:szCs w:val="20"/>
      <w:lang w:val="lt-LT"/>
      <w14:ligatures w14:val="none"/>
    </w:rPr>
  </w:style>
  <w:style w:type="paragraph" w:styleId="Heading1">
    <w:name w:val="heading 1"/>
    <w:basedOn w:val="Normal"/>
    <w:next w:val="Normal"/>
    <w:link w:val="Heading1Char"/>
    <w:uiPriority w:val="9"/>
    <w:qFormat/>
    <w:rsid w:val="00C45C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C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C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C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C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C6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5C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5C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5C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5C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5C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5C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5C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5C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5C65"/>
    <w:rPr>
      <w:rFonts w:eastAsiaTheme="majorEastAsia" w:cstheme="majorBidi"/>
      <w:color w:val="272727" w:themeColor="text1" w:themeTint="D8"/>
    </w:rPr>
  </w:style>
  <w:style w:type="paragraph" w:styleId="Title">
    <w:name w:val="Title"/>
    <w:basedOn w:val="Normal"/>
    <w:next w:val="Normal"/>
    <w:link w:val="TitleChar"/>
    <w:uiPriority w:val="10"/>
    <w:qFormat/>
    <w:rsid w:val="00C45C6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5C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5C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5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C65"/>
    <w:pPr>
      <w:spacing w:before="160"/>
      <w:jc w:val="center"/>
    </w:pPr>
    <w:rPr>
      <w:i/>
      <w:iCs/>
      <w:color w:val="404040" w:themeColor="text1" w:themeTint="BF"/>
    </w:rPr>
  </w:style>
  <w:style w:type="character" w:styleId="QuoteChar" w:customStyle="1">
    <w:name w:val="Quote Char"/>
    <w:basedOn w:val="DefaultParagraphFont"/>
    <w:link w:val="Quote"/>
    <w:uiPriority w:val="29"/>
    <w:rsid w:val="00C45C65"/>
    <w:rPr>
      <w:i/>
      <w:iCs/>
      <w:color w:val="404040" w:themeColor="text1" w:themeTint="BF"/>
    </w:rPr>
  </w:style>
  <w:style w:type="paragraph" w:styleId="ListParagraph">
    <w:name w:val="List Paragraph"/>
    <w:aliases w:val="ERP-List Paragraph,List Paragraph1,List Paragraph11,Numbering,List Paragraph Red,Bullet EY,List Paragraph2,lp1,Bullet 1,Use Case List Paragraph,Sąrašo pastraipa1,List Paragraph3,List Paragraph21,Lentele,List Paragraph22"/>
    <w:basedOn w:val="Normal"/>
    <w:link w:val="ListParagraphChar"/>
    <w:uiPriority w:val="34"/>
    <w:qFormat/>
    <w:rsid w:val="00C45C65"/>
    <w:pPr>
      <w:ind w:left="720"/>
      <w:contextualSpacing/>
    </w:pPr>
  </w:style>
  <w:style w:type="character" w:styleId="IntenseEmphasis">
    <w:name w:val="Intense Emphasis"/>
    <w:basedOn w:val="DefaultParagraphFont"/>
    <w:uiPriority w:val="21"/>
    <w:qFormat/>
    <w:rsid w:val="00C45C65"/>
    <w:rPr>
      <w:i/>
      <w:iCs/>
      <w:color w:val="0F4761" w:themeColor="accent1" w:themeShade="BF"/>
    </w:rPr>
  </w:style>
  <w:style w:type="paragraph" w:styleId="IntenseQuote">
    <w:name w:val="Intense Quote"/>
    <w:basedOn w:val="Normal"/>
    <w:next w:val="Normal"/>
    <w:link w:val="IntenseQuoteChar"/>
    <w:uiPriority w:val="30"/>
    <w:qFormat/>
    <w:rsid w:val="00C45C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5C65"/>
    <w:rPr>
      <w:i/>
      <w:iCs/>
      <w:color w:val="0F4761" w:themeColor="accent1" w:themeShade="BF"/>
    </w:rPr>
  </w:style>
  <w:style w:type="character" w:styleId="IntenseReference">
    <w:name w:val="Intense Reference"/>
    <w:basedOn w:val="DefaultParagraphFont"/>
    <w:uiPriority w:val="32"/>
    <w:qFormat/>
    <w:rsid w:val="00C45C65"/>
    <w:rPr>
      <w:b/>
      <w:bCs/>
      <w:smallCaps/>
      <w:color w:val="0F4761" w:themeColor="accent1" w:themeShade="BF"/>
      <w:spacing w:val="5"/>
    </w:rPr>
  </w:style>
  <w:style w:type="paragraph" w:styleId="BodyTextIndent">
    <w:name w:val="Body Text Indent"/>
    <w:basedOn w:val="Normal"/>
    <w:link w:val="BodyTextIndentChar"/>
    <w:rsid w:val="00C45C65"/>
    <w:pPr>
      <w:spacing w:after="120"/>
      <w:ind w:left="283"/>
    </w:pPr>
  </w:style>
  <w:style w:type="character" w:styleId="BodyTextIndentChar" w:customStyle="1">
    <w:name w:val="Body Text Indent Char"/>
    <w:basedOn w:val="DefaultParagraphFont"/>
    <w:link w:val="BodyTextIndent"/>
    <w:rsid w:val="00C45C65"/>
    <w:rPr>
      <w:rFonts w:ascii="Times New Roman" w:hAnsi="Times New Roman" w:eastAsia="Times New Roman" w:cs="Times New Roman"/>
      <w:kern w:val="0"/>
      <w:szCs w:val="20"/>
      <w:lang w:val="lt-LT"/>
      <w14:ligatures w14:val="none"/>
    </w:rPr>
  </w:style>
  <w:style w:type="character" w:styleId="ListParagraphChar" w:customStyle="1">
    <w:name w:val="List Paragraph Char"/>
    <w:aliases w:val="ERP-List Paragraph Char,List Paragraph1 Char,List Paragraph11 Char,Numbering Char,List Paragraph Red Char,Bullet EY Char,List Paragraph2 Char,lp1 Char,Bullet 1 Char,Use Case List Paragraph Char,Sąrašo pastraipa1 Char,Lentele Char"/>
    <w:link w:val="ListParagraph"/>
    <w:uiPriority w:val="34"/>
    <w:qFormat/>
    <w:locked/>
    <w:rsid w:val="009561CA"/>
    <w:rPr>
      <w:rFonts w:ascii="Times New Roman" w:hAnsi="Times New Roman" w:eastAsia="Times New Roman" w:cs="Times New Roman"/>
      <w:kern w:val="0"/>
      <w:szCs w:val="20"/>
      <w:lang w:val="lt-LT"/>
      <w14:ligatures w14:val="none"/>
    </w:rPr>
  </w:style>
  <w:style w:type="paragraph" w:styleId="xparagraph" w:customStyle="1">
    <w:name w:val="x_paragraph"/>
    <w:basedOn w:val="Normal"/>
    <w:rsid w:val="009561CA"/>
    <w:pPr>
      <w:spacing w:before="100" w:beforeAutospacing="1" w:after="100" w:afterAutospacing="1"/>
    </w:pPr>
    <w:rPr>
      <w:szCs w:val="24"/>
      <w:lang w:val="en-US"/>
    </w:rPr>
  </w:style>
  <w:style w:type="character" w:styleId="normaltextrun" w:customStyle="1">
    <w:name w:val="normaltextrun"/>
    <w:basedOn w:val="DefaultParagraphFont"/>
    <w:rsid w:val="0095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27D0AF8AE36E4EA1C615BB02281D10" ma:contentTypeVersion="4" ma:contentTypeDescription="Create a new document." ma:contentTypeScope="" ma:versionID="ded852f5fa6205663e69b15973a9bd22">
  <xsd:schema xmlns:xsd="http://www.w3.org/2001/XMLSchema" xmlns:xs="http://www.w3.org/2001/XMLSchema" xmlns:p="http://schemas.microsoft.com/office/2006/metadata/properties" xmlns:ns2="7edb6559-eab4-4dfc-a068-2732b1a674d5" targetNamespace="http://schemas.microsoft.com/office/2006/metadata/properties" ma:root="true" ma:fieldsID="44d46463c930b58c5d4c37c9c31b04ae" ns2:_="">
    <xsd:import namespace="7edb6559-eab4-4dfc-a068-2732b1a674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b6559-eab4-4dfc-a068-2732b1a67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F1090-EB74-4C86-8276-85149A0949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2612FF-5630-4A87-A9E4-F13AD9FE14EE}">
  <ds:schemaRefs>
    <ds:schemaRef ds:uri="http://schemas.microsoft.com/sharepoint/v3/contenttype/forms"/>
  </ds:schemaRefs>
</ds:datastoreItem>
</file>

<file path=customXml/itemProps3.xml><?xml version="1.0" encoding="utf-8"?>
<ds:datastoreItem xmlns:ds="http://schemas.openxmlformats.org/officeDocument/2006/customXml" ds:itemID="{09C9A553-131B-4ADF-A232-469B0C2430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Giedrė Liaudanskaitė-Baravikovė</dc:creator>
  <keywords/>
  <dc:description/>
  <lastModifiedBy>Stasė Rimkevičienė</lastModifiedBy>
  <revision>13</revision>
  <dcterms:created xsi:type="dcterms:W3CDTF">2025-03-13T21:32:00.0000000Z</dcterms:created>
  <dcterms:modified xsi:type="dcterms:W3CDTF">2025-03-16T18:44:12.7150865Z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0x0101005327D0AF8AE36E4EA1C615BB02281D10</vt:lpwstr>
  </property>
</Properties>
</file>