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F4D1C3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5A3C6B">
            <w:rPr>
              <w:rFonts w:ascii="Times New Roman" w:eastAsia="Times New Roman" w:hAnsi="Times New Roman" w:cs="Times New Roman"/>
              <w:noProof/>
              <w:sz w:val="24"/>
              <w:szCs w:val="24"/>
            </w:rPr>
            <w:t>3-</w:t>
          </w:r>
        </w:p>
        <w:p w14:paraId="2B84068B" w14:textId="435C7F9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133B0">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C06198A" w:rsidR="00D526C8" w:rsidRPr="00B379EE" w:rsidRDefault="008D4B2F" w:rsidP="00B379EE">
          <w:pPr>
            <w:spacing w:line="259" w:lineRule="auto"/>
            <w:jc w:val="center"/>
            <w:rPr>
              <w:rFonts w:ascii="Times New Roman" w:hAnsi="Times New Roman" w:cs="Times New Roman"/>
              <w:b/>
              <w:bCs/>
              <w:sz w:val="28"/>
              <w:szCs w:val="28"/>
            </w:rPr>
          </w:pPr>
          <w:r w:rsidRPr="00B379EE">
            <w:rPr>
              <w:rFonts w:ascii="Times New Roman" w:hAnsi="Times New Roman" w:cs="Times New Roman"/>
              <w:b/>
              <w:bCs/>
              <w:sz w:val="28"/>
              <w:szCs w:val="28"/>
            </w:rPr>
            <w:t>SUP</w:t>
          </w:r>
          <w:r w:rsidR="00FB199C" w:rsidRPr="00B379EE">
            <w:rPr>
              <w:rFonts w:ascii="Times New Roman" w:hAnsi="Times New Roman" w:cs="Times New Roman"/>
              <w:b/>
              <w:bCs/>
              <w:sz w:val="28"/>
              <w:szCs w:val="28"/>
            </w:rPr>
            <w:t>A</w:t>
          </w:r>
          <w:r w:rsidRPr="00B379EE">
            <w:rPr>
              <w:rFonts w:ascii="Times New Roman" w:hAnsi="Times New Roman" w:cs="Times New Roman"/>
              <w:b/>
              <w:bCs/>
              <w:sz w:val="28"/>
              <w:szCs w:val="28"/>
            </w:rPr>
            <w:t>PRASTINTO</w:t>
          </w:r>
          <w:r w:rsidR="007A130B" w:rsidRPr="00B379EE">
            <w:rPr>
              <w:rFonts w:ascii="Times New Roman" w:hAnsi="Times New Roman" w:cs="Times New Roman"/>
              <w:b/>
              <w:bCs/>
              <w:sz w:val="28"/>
              <w:szCs w:val="28"/>
            </w:rPr>
            <w:t xml:space="preserve"> </w:t>
          </w:r>
          <w:r w:rsidR="00D526C8" w:rsidRPr="00B379EE">
            <w:rPr>
              <w:rFonts w:ascii="Times New Roman" w:hAnsi="Times New Roman" w:cs="Times New Roman"/>
              <w:b/>
              <w:bCs/>
              <w:sz w:val="28"/>
              <w:szCs w:val="28"/>
            </w:rPr>
            <w:t>VIEŠOJO PIRKIMO „</w:t>
          </w:r>
          <w:r w:rsidR="00B379EE" w:rsidRPr="00B379EE">
            <w:rPr>
              <w:rFonts w:ascii="Times New Roman" w:hAnsi="Times New Roman" w:cs="Times New Roman"/>
              <w:b/>
              <w:caps/>
              <w:sz w:val="28"/>
              <w:szCs w:val="28"/>
            </w:rPr>
            <w:t>VIENKARTINĖS PRIEMONĖS, ENDOSKOPINIS PIGMENTINIS SUSPENSIJOS RINKINYS, PAŽEIDIMŲ ŽYMĖJIMUI STOROJOJE ŽARNOJE</w:t>
          </w:r>
          <w:r w:rsidR="00D526C8" w:rsidRPr="00B379EE">
            <w:rPr>
              <w:rFonts w:ascii="Times New Roman" w:hAnsi="Times New Roman" w:cs="Times New Roman"/>
              <w:b/>
              <w:bCs/>
              <w:sz w:val="28"/>
              <w:szCs w:val="28"/>
            </w:rPr>
            <w:t>“</w:t>
          </w:r>
        </w:p>
        <w:p w14:paraId="18ACC6AD" w14:textId="4BAFA922" w:rsidR="00D526C8" w:rsidRPr="00B379EE" w:rsidRDefault="00D526C8" w:rsidP="004E4612">
          <w:pPr>
            <w:spacing w:after="120" w:line="20" w:lineRule="atLeast"/>
            <w:contextualSpacing/>
            <w:jc w:val="center"/>
            <w:rPr>
              <w:rFonts w:ascii="Times New Roman" w:hAnsi="Times New Roman" w:cs="Times New Roman"/>
              <w:b/>
              <w:bCs/>
              <w:sz w:val="28"/>
              <w:szCs w:val="28"/>
            </w:rPr>
          </w:pPr>
          <w:r w:rsidRPr="00B379EE">
            <w:rPr>
              <w:rFonts w:ascii="Times New Roman" w:hAnsi="Times New Roman" w:cs="Times New Roman"/>
              <w:b/>
              <w:bCs/>
              <w:sz w:val="28"/>
              <w:szCs w:val="28"/>
            </w:rPr>
            <w:t xml:space="preserve">ATVIRO KONKURSO </w:t>
          </w:r>
          <w:r w:rsidR="00EB164F" w:rsidRPr="00B379EE">
            <w:rPr>
              <w:rFonts w:ascii="Times New Roman" w:hAnsi="Times New Roman" w:cs="Times New Roman"/>
              <w:b/>
              <w:bCs/>
              <w:sz w:val="28"/>
              <w:szCs w:val="28"/>
            </w:rPr>
            <w:t xml:space="preserve">SPECIALIOSIOS </w:t>
          </w:r>
          <w:r w:rsidRPr="00B379EE">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hyperlink>
              <w:r w:rsidR="008B194C">
                <w:t>1</w:t>
              </w:r>
            </w:p>
            <w:p w14:paraId="27193146" w14:textId="71BB410A"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2657072" w:rsidR="00B41C66" w:rsidRPr="00896233" w:rsidRDefault="00B76FBB" w:rsidP="00842406">
      <w:pPr>
        <w:pStyle w:val="NoSpacing"/>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D92A6A">
        <w:rPr>
          <w:rFonts w:ascii="Times New Roman" w:eastAsia="Calibri" w:hAnsi="Times New Roman" w:cs="Times New Roman"/>
          <w:sz w:val="24"/>
          <w:szCs w:val="24"/>
        </w:rPr>
        <w:t>medicinines priemones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6E5213D"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w:t>
      </w:r>
      <w:r w:rsidR="00721B54">
        <w:rPr>
          <w:rFonts w:ascii="Times New Roman" w:hAnsi="Times New Roman" w:cs="Times New Roman"/>
          <w:sz w:val="24"/>
          <w:szCs w:val="24"/>
        </w:rPr>
        <w:t>ne</w:t>
      </w:r>
      <w:r w:rsidR="00835FFB" w:rsidRPr="00D51822">
        <w:rPr>
          <w:rFonts w:ascii="Times New Roman" w:hAnsi="Times New Roman" w:cs="Times New Roman"/>
          <w:sz w:val="24"/>
          <w:szCs w:val="24"/>
        </w:rPr>
        <w:t xml:space="preserve">skaidomas </w:t>
      </w:r>
      <w:r w:rsidR="00835FFB" w:rsidRPr="00DF35F4">
        <w:rPr>
          <w:rFonts w:ascii="Times New Roman" w:hAnsi="Times New Roman" w:cs="Times New Roman"/>
          <w:sz w:val="24"/>
          <w:szCs w:val="24"/>
        </w:rPr>
        <w:t xml:space="preserve">į </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dalis (-ių)</w:t>
      </w:r>
      <w:r w:rsidR="00721B54">
        <w:rPr>
          <w:rFonts w:ascii="Times New Roman" w:hAnsi="Times New Roman" w:cs="Times New Roman"/>
          <w:sz w:val="24"/>
          <w:szCs w:val="24"/>
        </w:rPr>
        <w:t>. Prekių a</w:t>
      </w:r>
      <w:r w:rsidR="00835FFB" w:rsidRPr="00D51822">
        <w:rPr>
          <w:rFonts w:ascii="Times New Roman" w:hAnsi="Times New Roman" w:cs="Times New Roman"/>
          <w:sz w:val="24"/>
          <w:szCs w:val="24"/>
        </w:rPr>
        <w:t xml:space="preserve">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xml:space="preserve">. Perkančioji organizacija sudarys vieną sutartį </w:t>
      </w:r>
      <w:r w:rsidR="00721B54">
        <w:rPr>
          <w:rFonts w:ascii="Times New Roman" w:hAnsi="Times New Roman" w:cs="Times New Roman"/>
          <w:sz w:val="24"/>
          <w:szCs w:val="24"/>
        </w:rPr>
        <w:t>su</w:t>
      </w:r>
      <w:r w:rsidR="00835FFB" w:rsidRPr="00D51822">
        <w:rPr>
          <w:rFonts w:ascii="Times New Roman" w:hAnsi="Times New Roman" w:cs="Times New Roman"/>
          <w:sz w:val="24"/>
          <w:szCs w:val="24"/>
        </w:rPr>
        <w:t xml:space="preserve"> laimėtoju</w:t>
      </w:r>
      <w:r w:rsidR="00721B54">
        <w:rPr>
          <w:rFonts w:ascii="Times New Roman" w:hAnsi="Times New Roman" w:cs="Times New Roman"/>
          <w:sz w:val="24"/>
          <w:szCs w:val="24"/>
        </w:rPr>
        <w:t>.</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ListParagraph"/>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ListParagraph"/>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D92A6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D92A6A" w:rsidRPr="00D51822" w:rsidRDefault="00D92A6A" w:rsidP="00D92A6A">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D92A6A" w:rsidRPr="00D51822" w:rsidRDefault="00D92A6A" w:rsidP="00D92A6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303DB" w:rsidR="00D92A6A" w:rsidRPr="00D51822" w:rsidRDefault="00D92A6A" w:rsidP="00D92A6A">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D92A6A" w:rsidRPr="00D51822" w:rsidRDefault="00D92A6A" w:rsidP="00D92A6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NoSpacing"/>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NoSpacing"/>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yperlink"/>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NoSpacing"/>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ListParagraph"/>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6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54"/>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EE"/>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52D"/>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29301</Words>
  <Characters>16702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9</cp:revision>
  <cp:lastPrinted>2024-08-12T11:05:00Z</cp:lastPrinted>
  <dcterms:created xsi:type="dcterms:W3CDTF">2025-02-12T17:03:00Z</dcterms:created>
  <dcterms:modified xsi:type="dcterms:W3CDTF">2025-03-14T08:16:00Z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