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BFFA1CE"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3E49B4">
            <w:rPr>
              <w:rFonts w:ascii="Times New Roman" w:hAnsi="Times New Roman" w:cs="Times New Roman"/>
              <w:b/>
              <w:sz w:val="24"/>
              <w:szCs w:val="24"/>
              <w:lang w:val="en-US"/>
            </w:rPr>
            <w:t xml:space="preserve"> MOBILIOS TVOROS SEGMENTO, SEGMENTO ATRAMOS, PLASTIKINIO TVOROS PADO IR SEKCIJOS APKABOS</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F01C8D">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F01C8D">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F01C8D">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F01C8D">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F01C8D">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F01C8D">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F01C8D">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F01C8D">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F01C8D"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57C6245A"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640B99">
        <w:rPr>
          <w:rFonts w:ascii="Times New Roman" w:eastAsia="Calibri" w:hAnsi="Times New Roman" w:cs="Times New Roman"/>
          <w:color w:val="000000" w:themeColor="text1"/>
          <w:sz w:val="24"/>
          <w:szCs w:val="24"/>
        </w:rPr>
        <w:t>numato</w:t>
      </w:r>
      <w:r w:rsidR="00D0685A">
        <w:rPr>
          <w:rFonts w:ascii="Times New Roman" w:eastAsia="Calibri" w:hAnsi="Times New Roman" w:cs="Times New Roman"/>
          <w:color w:val="000000" w:themeColor="text1"/>
          <w:sz w:val="24"/>
          <w:szCs w:val="24"/>
        </w:rPr>
        <w:t xml:space="preserve"> įsigyti</w:t>
      </w:r>
      <w:r w:rsidR="003E49B4">
        <w:rPr>
          <w:rFonts w:ascii="Times New Roman" w:eastAsia="Calibri" w:hAnsi="Times New Roman" w:cs="Times New Roman"/>
          <w:color w:val="000000" w:themeColor="text1"/>
          <w:sz w:val="24"/>
          <w:szCs w:val="24"/>
        </w:rPr>
        <w:t xml:space="preserve"> mobilios tvoros segmentus (20</w:t>
      </w:r>
      <w:r w:rsidR="00640B99">
        <w:rPr>
          <w:rFonts w:ascii="Times New Roman" w:eastAsia="Calibri" w:hAnsi="Times New Roman" w:cs="Times New Roman"/>
          <w:color w:val="000000" w:themeColor="text1"/>
          <w:sz w:val="24"/>
          <w:szCs w:val="24"/>
        </w:rPr>
        <w:t>0</w:t>
      </w:r>
      <w:r w:rsidR="00D0685A">
        <w:rPr>
          <w:rFonts w:ascii="Times New Roman" w:eastAsia="Calibri" w:hAnsi="Times New Roman" w:cs="Times New Roman"/>
          <w:color w:val="000000" w:themeColor="text1"/>
          <w:sz w:val="24"/>
          <w:szCs w:val="24"/>
        </w:rPr>
        <w:t xml:space="preserve"> </w:t>
      </w:r>
      <w:r w:rsidR="00547450">
        <w:rPr>
          <w:rFonts w:ascii="Times New Roman" w:eastAsia="Calibri" w:hAnsi="Times New Roman" w:cs="Times New Roman"/>
          <w:color w:val="000000" w:themeColor="text1"/>
          <w:sz w:val="24"/>
          <w:szCs w:val="24"/>
        </w:rPr>
        <w:t>vnt.)</w:t>
      </w:r>
      <w:r w:rsidR="003E49B4">
        <w:rPr>
          <w:rFonts w:ascii="Times New Roman" w:eastAsia="Calibri" w:hAnsi="Times New Roman" w:cs="Times New Roman"/>
          <w:color w:val="000000" w:themeColor="text1"/>
          <w:sz w:val="24"/>
          <w:szCs w:val="24"/>
        </w:rPr>
        <w:t>, mobilios tvoros segmento atramas (270 vnt.),  plastikinius tvoros padus (200 vnt.) ir sekcijos apkabas (200 vnt.)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4A6FDE">
        <w:rPr>
          <w:rFonts w:ascii="Times New Roman" w:hAnsi="Times New Roman" w:cs="Times New Roman"/>
          <w:sz w:val="24"/>
          <w:szCs w:val="24"/>
        </w:rPr>
        <w:t xml:space="preserve">  Prekių pristatymo  terminas</w:t>
      </w:r>
      <w:r w:rsidR="00640B99">
        <w:rPr>
          <w:rFonts w:ascii="Times New Roman" w:hAnsi="Times New Roman" w:cs="Times New Roman"/>
          <w:sz w:val="24"/>
          <w:szCs w:val="24"/>
        </w:rPr>
        <w:t xml:space="preserve"> iki 2025-05-01</w:t>
      </w:r>
      <w:r w:rsidR="005002E7">
        <w:rPr>
          <w:rFonts w:ascii="Times New Roman" w:hAnsi="Times New Roman" w:cs="Times New Roman"/>
          <w:sz w:val="24"/>
          <w:szCs w:val="24"/>
        </w:rPr>
        <w:t xml:space="preserve">. </w:t>
      </w:r>
      <w:r w:rsidR="00E8741D">
        <w:rPr>
          <w:rFonts w:ascii="Times New Roman" w:hAnsi="Times New Roman" w:cs="Times New Roman"/>
          <w:sz w:val="24"/>
          <w:szCs w:val="24"/>
        </w:rPr>
        <w:t xml:space="preserve"> </w:t>
      </w:r>
    </w:p>
    <w:p w14:paraId="49117D58" w14:textId="2854CEBB"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A4AAD">
        <w:rPr>
          <w:rFonts w:ascii="Times New Roman" w:hAnsi="Times New Roman" w:cs="Times New Roman"/>
          <w:color w:val="000000" w:themeColor="text1"/>
          <w:sz w:val="24"/>
          <w:szCs w:val="24"/>
        </w:rPr>
        <w:t xml:space="preserve"> </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67FB8F4C" w14:textId="6FAA7627" w:rsidR="00A62366" w:rsidRPr="00255918" w:rsidRDefault="00255918" w:rsidP="00255918">
      <w:pPr>
        <w:pStyle w:val="paragrafesrasas2lygis"/>
        <w:ind w:firstLine="360"/>
        <w:rPr>
          <w:b/>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00A62366" w:rsidRPr="00255918">
        <w:rPr>
          <w:sz w:val="24"/>
          <w:szCs w:val="24"/>
        </w:rPr>
        <w:t>Padniestrės</w:t>
      </w:r>
      <w:proofErr w:type="spellEnd"/>
      <w:r w:rsidR="00A62366" w:rsidRPr="00255918">
        <w:rPr>
          <w:sz w:val="24"/>
          <w:szCs w:val="24"/>
        </w:rPr>
        <w:t xml:space="preserve"> teritorija, </w:t>
      </w:r>
      <w:proofErr w:type="spellStart"/>
      <w:r w:rsidR="00A62366" w:rsidRPr="00255918">
        <w:rPr>
          <w:sz w:val="24"/>
          <w:szCs w:val="24"/>
        </w:rPr>
        <w:t>Sakartvelo</w:t>
      </w:r>
      <w:proofErr w:type="spellEnd"/>
      <w:r w:rsidR="00A62366" w:rsidRPr="00255918">
        <w:rPr>
          <w:sz w:val="24"/>
          <w:szCs w:val="24"/>
        </w:rPr>
        <w:t xml:space="preserve"> vyriausybės nekontroliuojamos Abchazijos ir Pietų Osetijos teritorijos.</w:t>
      </w:r>
      <w:r w:rsidR="003471E9" w:rsidRPr="00255918">
        <w:rPr>
          <w:sz w:val="24"/>
          <w:szCs w:val="24"/>
        </w:rPr>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172324">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E67ECB8" w14:textId="26438C16" w:rsidR="00EC790E" w:rsidRPr="00172324" w:rsidRDefault="00F5411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E92A64" w:rsidRPr="00E92A64">
        <w:rPr>
          <w:rStyle w:val="cf01"/>
          <w:rFonts w:ascii="Times New Roman" w:hAnsi="Times New Roman" w:cs="Times New Roman"/>
          <w:b/>
          <w:sz w:val="24"/>
          <w:szCs w:val="24"/>
        </w:rPr>
        <w:t xml:space="preserve"> deklaraciją </w:t>
      </w:r>
      <w:r w:rsidR="00BE5F2A">
        <w:rPr>
          <w:rStyle w:val="cf01"/>
          <w:rFonts w:ascii="Times New Roman" w:hAnsi="Times New Roman" w:cs="Times New Roman"/>
          <w:b/>
          <w:sz w:val="24"/>
          <w:szCs w:val="24"/>
        </w:rPr>
        <w:t xml:space="preserve">apie </w:t>
      </w:r>
      <w:r w:rsidR="00E92A64" w:rsidRPr="00E92A64">
        <w:rPr>
          <w:rStyle w:val="cf01"/>
          <w:rFonts w:ascii="Times New Roman" w:hAnsi="Times New Roman" w:cs="Times New Roman"/>
          <w:b/>
          <w:sz w:val="24"/>
          <w:szCs w:val="24"/>
        </w:rPr>
        <w:t>prekės kilmę</w:t>
      </w:r>
      <w:r w:rsidR="00337F64">
        <w:rPr>
          <w:rStyle w:val="cf01"/>
          <w:rFonts w:ascii="Times New Roman" w:hAnsi="Times New Roman" w:cs="Times New Roman"/>
          <w:b/>
          <w:sz w:val="24"/>
          <w:szCs w:val="24"/>
        </w:rPr>
        <w:t xml:space="preserve"> ir laisvos formos tiekėjo deklaracija</w:t>
      </w:r>
      <w:r w:rsidR="00025010">
        <w:rPr>
          <w:rStyle w:val="cf01"/>
          <w:rFonts w:ascii="Times New Roman" w:hAnsi="Times New Roman" w:cs="Times New Roman"/>
          <w:b/>
          <w:sz w:val="24"/>
          <w:szCs w:val="24"/>
        </w:rPr>
        <w:t xml:space="preserve"> </w:t>
      </w:r>
      <w:r w:rsidR="00B03EF6" w:rsidRPr="00172324">
        <w:rPr>
          <w:b/>
          <w:bCs/>
          <w:color w:val="000000"/>
          <w:sz w:val="24"/>
          <w:szCs w:val="24"/>
        </w:rPr>
        <w:t>Aplinkos apsaugos vadybos</w:t>
      </w:r>
      <w:r w:rsidR="00B03EF6">
        <w:rPr>
          <w:b/>
          <w:bCs/>
          <w:color w:val="000000"/>
          <w:sz w:val="24"/>
          <w:szCs w:val="24"/>
        </w:rPr>
        <w:t xml:space="preserve"> </w:t>
      </w:r>
      <w:r w:rsidR="003E49B4">
        <w:rPr>
          <w:b/>
          <w:bCs/>
          <w:color w:val="000000"/>
          <w:sz w:val="24"/>
          <w:szCs w:val="24"/>
        </w:rPr>
        <w:t>reikalavimams taip pat laisvos formos tiekėjo deklaracija, kad jam nėra taikomi pašalinimo pagrindai</w:t>
      </w:r>
      <w:r w:rsidR="004658B8">
        <w:rPr>
          <w:b/>
          <w:bCs/>
          <w:color w:val="000000"/>
          <w:sz w:val="24"/>
          <w:szCs w:val="24"/>
        </w:rPr>
        <w:t xml:space="preserve"> (pirkimo sąlygų 1 priedas)</w:t>
      </w:r>
      <w:r w:rsidR="003E49B4">
        <w:rPr>
          <w:b/>
          <w:bCs/>
          <w:color w:val="000000"/>
          <w:sz w:val="24"/>
          <w:szCs w:val="24"/>
        </w:rPr>
        <w:t>.</w:t>
      </w: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bookmarkStart w:id="17" w:name="_GoBack"/>
      <w:bookmarkEnd w:id="17"/>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337F64" w:rsidRDefault="00440E78" w:rsidP="008E50AC">
      <w:pPr>
        <w:ind w:firstLine="720"/>
        <w:rPr>
          <w:rFonts w:ascii="Times New Roman" w:eastAsia="Arial" w:hAnsi="Times New Roman" w:cs="Times New Roman"/>
          <w:sz w:val="24"/>
          <w:szCs w:val="24"/>
        </w:rPr>
      </w:pPr>
      <w:r w:rsidRPr="00337F64">
        <w:rPr>
          <w:rFonts w:ascii="Times New Roman" w:eastAsia="Arial" w:hAnsi="Times New Roman" w:cs="Times New Roman"/>
          <w:sz w:val="24"/>
          <w:szCs w:val="24"/>
        </w:rPr>
        <w:t>Perkančioji organizacija atmeta tiekėjo pasiūlym</w:t>
      </w:r>
      <w:r w:rsidR="00CB237B" w:rsidRPr="00337F64">
        <w:rPr>
          <w:rFonts w:ascii="Times New Roman" w:eastAsia="Arial" w:hAnsi="Times New Roman" w:cs="Times New Roman"/>
          <w:sz w:val="24"/>
          <w:szCs w:val="24"/>
        </w:rPr>
        <w:t>ą</w:t>
      </w:r>
      <w:r w:rsidRPr="00337F64">
        <w:rPr>
          <w:rFonts w:ascii="Times New Roman" w:eastAsia="Arial" w:hAnsi="Times New Roman" w:cs="Times New Roman"/>
          <w:sz w:val="24"/>
          <w:szCs w:val="24"/>
        </w:rPr>
        <w:t xml:space="preserve">, jeigu: </w:t>
      </w:r>
    </w:p>
    <w:p w14:paraId="5833966D" w14:textId="07260701" w:rsidR="006D67EE" w:rsidRPr="00337F64" w:rsidRDefault="008B2E27" w:rsidP="00CB237B">
      <w:pPr>
        <w:pStyle w:val="NoSpacing"/>
        <w:ind w:firstLine="720"/>
        <w:rPr>
          <w:rFonts w:ascii="Times New Roman" w:eastAsia="Yu Mincho" w:hAnsi="Times New Roman" w:cs="Times New Roman"/>
          <w:b/>
          <w:bCs/>
          <w:color w:val="000000" w:themeColor="text1"/>
          <w:sz w:val="24"/>
          <w:szCs w:val="24"/>
        </w:rPr>
      </w:pPr>
      <w:r w:rsidRPr="00337F64">
        <w:rPr>
          <w:rFonts w:ascii="Times New Roman" w:eastAsia="Arial" w:hAnsi="Times New Roman" w:cs="Times New Roman"/>
          <w:sz w:val="24"/>
          <w:szCs w:val="24"/>
        </w:rPr>
        <w:t xml:space="preserve">1. </w:t>
      </w:r>
      <w:r w:rsidR="00AC0420" w:rsidRPr="00337F6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337F64">
        <w:rPr>
          <w:rFonts w:ascii="Times New Roman" w:hAnsi="Times New Roman" w:cs="Times New Roman"/>
          <w:sz w:val="24"/>
          <w:szCs w:val="24"/>
        </w:rPr>
        <w:t xml:space="preserve"> </w:t>
      </w:r>
      <w:r w:rsidR="00C11375" w:rsidRPr="00337F64">
        <w:rPr>
          <w:rFonts w:ascii="Times New Roman" w:hAnsi="Times New Roman" w:cs="Times New Roman"/>
          <w:b/>
          <w:color w:val="000000" w:themeColor="text1"/>
          <w:sz w:val="24"/>
          <w:szCs w:val="24"/>
        </w:rPr>
        <w:t>(</w:t>
      </w:r>
      <w:r w:rsidR="00C11375" w:rsidRPr="00337F64">
        <w:rPr>
          <w:rFonts w:ascii="Times New Roman" w:eastAsia="Yu Mincho" w:hAnsi="Times New Roman" w:cs="Times New Roman"/>
          <w:b/>
          <w:color w:val="000000" w:themeColor="text1"/>
          <w:sz w:val="24"/>
          <w:szCs w:val="24"/>
        </w:rPr>
        <w:t>VPĮ 46 straipsnio 4 dalies 1 punktas</w:t>
      </w:r>
      <w:r w:rsidR="00C11375" w:rsidRPr="00337F64">
        <w:rPr>
          <w:rFonts w:ascii="Times New Roman" w:eastAsia="Arial" w:hAnsi="Times New Roman" w:cs="Times New Roman"/>
          <w:color w:val="000000" w:themeColor="text1"/>
          <w:sz w:val="24"/>
          <w:szCs w:val="24"/>
        </w:rPr>
        <w:t>).</w:t>
      </w:r>
    </w:p>
    <w:p w14:paraId="3417C9CD" w14:textId="1083D667" w:rsidR="006D67EE" w:rsidRPr="00337F64" w:rsidRDefault="006D67EE" w:rsidP="00CB237B">
      <w:pPr>
        <w:pStyle w:val="NoSpacing"/>
        <w:ind w:firstLine="720"/>
        <w:rPr>
          <w:rFonts w:ascii="Times New Roman" w:hAnsi="Times New Roman" w:cs="Times New Roman"/>
          <w:b/>
          <w:color w:val="000000" w:themeColor="text1"/>
          <w:sz w:val="24"/>
          <w:szCs w:val="24"/>
        </w:rPr>
      </w:pPr>
      <w:r w:rsidRPr="00337F64">
        <w:rPr>
          <w:rFonts w:ascii="Times New Roman" w:eastAsia="Arial" w:hAnsi="Times New Roman" w:cs="Times New Roman"/>
          <w:sz w:val="24"/>
          <w:szCs w:val="24"/>
        </w:rPr>
        <w:t>2.</w:t>
      </w:r>
      <w:r w:rsidR="00C11375" w:rsidRPr="00337F64">
        <w:rPr>
          <w:rFonts w:ascii="Times New Roman" w:eastAsia="Arial" w:hAnsi="Times New Roman" w:cs="Times New Roman"/>
          <w:sz w:val="24"/>
          <w:szCs w:val="24"/>
        </w:rPr>
        <w:t xml:space="preserve"> </w:t>
      </w:r>
      <w:r w:rsidR="00277655" w:rsidRPr="00337F64">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337F64">
        <w:rPr>
          <w:rFonts w:ascii="Times New Roman" w:hAnsi="Times New Roman" w:cs="Times New Roman"/>
          <w:sz w:val="24"/>
          <w:szCs w:val="24"/>
        </w:rPr>
        <w:t xml:space="preserve"> </w:t>
      </w:r>
      <w:r w:rsidR="00277655" w:rsidRPr="00337F6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37F64">
        <w:rPr>
          <w:rFonts w:ascii="Times New Roman" w:hAnsi="Times New Roman" w:cs="Times New Roman"/>
          <w:sz w:val="24"/>
          <w:szCs w:val="24"/>
        </w:rPr>
        <w:t xml:space="preserve"> </w:t>
      </w:r>
      <w:r w:rsidR="008A37DA" w:rsidRPr="00337F64">
        <w:rPr>
          <w:rFonts w:ascii="Times New Roman" w:hAnsi="Times New Roman" w:cs="Times New Roman"/>
          <w:b/>
          <w:color w:val="000000" w:themeColor="text1"/>
          <w:sz w:val="24"/>
          <w:szCs w:val="24"/>
        </w:rPr>
        <w:t>(</w:t>
      </w:r>
      <w:r w:rsidR="008A37DA" w:rsidRPr="00337F64">
        <w:rPr>
          <w:rFonts w:ascii="Times New Roman" w:eastAsia="Yu Mincho" w:hAnsi="Times New Roman" w:cs="Times New Roman"/>
          <w:b/>
          <w:color w:val="000000" w:themeColor="text1"/>
          <w:sz w:val="24"/>
          <w:szCs w:val="24"/>
        </w:rPr>
        <w:t>VPĮ 46 straipsnio 4 dalies 2 punktas)</w:t>
      </w:r>
      <w:r w:rsidR="00277655" w:rsidRPr="00337F64">
        <w:rPr>
          <w:rFonts w:ascii="Times New Roman" w:hAnsi="Times New Roman" w:cs="Times New Roman"/>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337F64">
        <w:rPr>
          <w:rFonts w:ascii="Times New Roman" w:eastAsia="Arial" w:hAnsi="Times New Roman" w:cs="Times New Roman"/>
          <w:sz w:val="24"/>
          <w:szCs w:val="24"/>
        </w:rPr>
        <w:t>4</w:t>
      </w:r>
      <w:r w:rsidRPr="00172324">
        <w:rPr>
          <w:rFonts w:ascii="Times New Roman" w:eastAsia="Arial" w:hAnsi="Times New Roman" w:cs="Times New Roman"/>
          <w:i/>
          <w:sz w:val="24"/>
          <w:szCs w:val="24"/>
        </w:rPr>
        <w:t>.</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3784F87"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E93AF7C" w14:textId="3F3CDA42" w:rsidR="00EF61F5" w:rsidRPr="00EF61F5" w:rsidRDefault="00DB3730" w:rsidP="00EF61F5">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sidR="00EF61F5">
        <w:rPr>
          <w:rFonts w:ascii="Times New Roman" w:eastAsia="Yu Mincho" w:hAnsi="Times New Roman" w:cs="Times New Roman"/>
          <w:color w:val="000000" w:themeColor="text1"/>
          <w:sz w:val="24"/>
          <w:szCs w:val="24"/>
        </w:rPr>
        <w:t xml:space="preserve"> </w:t>
      </w:r>
      <w:r w:rsidR="00EF61F5" w:rsidRPr="007F0873">
        <w:rPr>
          <w:rFonts w:ascii="Times New Roman" w:eastAsia="Calibri" w:hAnsi="Times New Roman" w:cs="Times New Roman"/>
          <w:sz w:val="24"/>
          <w:szCs w:val="24"/>
          <w:shd w:val="clear" w:color="auto" w:fill="FFFFFF"/>
        </w:rPr>
        <w:t>Nuo 2025-02-01 įsigaliojo nauja</w:t>
      </w:r>
      <w:r w:rsidR="00EF61F5" w:rsidRPr="007F0873">
        <w:rPr>
          <w:rFonts w:ascii="Arial" w:eastAsia="Calibri" w:hAnsi="Arial" w:cs="Arial"/>
          <w:shd w:val="clear" w:color="auto" w:fill="FFFFFF"/>
        </w:rPr>
        <w:t xml:space="preserve"> </w:t>
      </w:r>
      <w:r w:rsidR="00EF61F5" w:rsidRPr="007F0873">
        <w:rPr>
          <w:rFonts w:ascii="Times New Roman" w:eastAsia="Calibri" w:hAnsi="Times New Roman" w:cs="Times New Roman"/>
          <w:sz w:val="24"/>
          <w:szCs w:val="24"/>
          <w:bdr w:val="none" w:sz="0" w:space="0" w:color="auto" w:frame="1"/>
          <w:shd w:val="clear" w:color="auto" w:fill="FFFFFF"/>
        </w:rPr>
        <w:t>VPĮ 46 str. 2</w:t>
      </w:r>
      <w:r w:rsidR="00EF61F5" w:rsidRPr="007F0873">
        <w:rPr>
          <w:rFonts w:ascii="Times New Roman" w:eastAsia="Calibri" w:hAnsi="Times New Roman" w:cs="Times New Roman"/>
          <w:sz w:val="24"/>
          <w:szCs w:val="24"/>
          <w:bdr w:val="none" w:sz="0" w:space="0" w:color="auto" w:frame="1"/>
          <w:shd w:val="clear" w:color="auto" w:fill="FFFFFF"/>
          <w:vertAlign w:val="superscript"/>
        </w:rPr>
        <w:t>1 </w:t>
      </w:r>
      <w:r w:rsidR="00EF61F5"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00EF61F5"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EF61F5"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2BFFC7E" w14:textId="77777777" w:rsidR="00EF61F5" w:rsidRPr="00EF61F5" w:rsidRDefault="00EF61F5" w:rsidP="00EF61F5">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EF61F5" w:rsidRDefault="006D67EE" w:rsidP="008E50AC">
      <w:pPr>
        <w:ind w:firstLine="720"/>
        <w:rPr>
          <w:rFonts w:ascii="Times New Roman" w:eastAsia="Arial" w:hAnsi="Times New Roman" w:cs="Times New Roman"/>
          <w:b/>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F01C8D"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3D67596E" w14:textId="77777777" w:rsidR="00D0685A" w:rsidRDefault="00EF61F5" w:rsidP="00EF61F5">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75F645B3" w14:textId="41F70AD5" w:rsidR="00EF61F5" w:rsidRDefault="00EF61F5" w:rsidP="00EF61F5">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w:t>
            </w:r>
            <w:r w:rsidRPr="00EF61F5">
              <w:rPr>
                <w:sz w:val="24"/>
                <w:szCs w:val="24"/>
              </w:rPr>
              <w:lastRenderedPageBreak/>
              <w:t>turi būti pateikti tik elektroniniu formatu (nebent Sutartyje ir jos prieduose nenumatyta kitaip). Išimtiniais atvejais su 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6FA39875" w14:textId="49484E72" w:rsidR="000B1465" w:rsidRPr="00172324" w:rsidRDefault="00EF61F5" w:rsidP="00EF61F5">
            <w:pPr>
              <w:pStyle w:val="ListParagraph"/>
              <w:ind w:left="0" w:firstLine="0"/>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0C10990A" w14:textId="290DB71C" w:rsidR="000B1465" w:rsidRPr="00172324" w:rsidRDefault="00EF61F5" w:rsidP="000B1465">
            <w:pPr>
              <w:autoSpaceDE w:val="0"/>
              <w:autoSpaceDN w:val="0"/>
              <w:adjustRightInd w:val="0"/>
              <w:ind w:firstLine="0"/>
              <w:rPr>
                <w:color w:val="000000"/>
                <w:sz w:val="24"/>
                <w:szCs w:val="24"/>
              </w:rPr>
            </w:pPr>
            <w:r>
              <w:rPr>
                <w:color w:val="000000"/>
                <w:sz w:val="24"/>
                <w:szCs w:val="24"/>
              </w:rPr>
              <w:lastRenderedPageBreak/>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0B1465" w:rsidRPr="005002E7" w:rsidRDefault="000B1465"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w:t>
            </w:r>
            <w:r w:rsidRPr="005002E7">
              <w:rPr>
                <w:sz w:val="24"/>
                <w:szCs w:val="24"/>
              </w:rPr>
              <w:lastRenderedPageBreak/>
              <w:t xml:space="preserve">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002E7" w:rsidRPr="005002E7" w:rsidRDefault="003A5EB8" w:rsidP="005002E7">
            <w:pPr>
              <w:pStyle w:val="paragrafesrasas2lygis"/>
              <w:rPr>
                <w:sz w:val="24"/>
                <w:szCs w:val="24"/>
              </w:rPr>
            </w:pPr>
            <w:r>
              <w:rPr>
                <w:sz w:val="24"/>
                <w:szCs w:val="24"/>
              </w:rPr>
              <w:lastRenderedPageBreak/>
              <w:t>Pateikiama</w:t>
            </w:r>
            <w:r w:rsidR="005002E7" w:rsidRPr="005002E7">
              <w:rPr>
                <w:color w:val="000000"/>
                <w:sz w:val="24"/>
                <w:szCs w:val="24"/>
              </w:rPr>
              <w:t xml:space="preserve"> tiekėjo deklaracija</w:t>
            </w:r>
            <w:r>
              <w:rPr>
                <w:color w:val="000000"/>
                <w:sz w:val="24"/>
                <w:szCs w:val="24"/>
              </w:rPr>
              <w:t xml:space="preserve"> (dokumentas pridedamas)</w:t>
            </w:r>
            <w:r w:rsidR="005002E7" w:rsidRPr="005002E7">
              <w:rPr>
                <w:color w:val="000000"/>
                <w:sz w:val="24"/>
                <w:szCs w:val="24"/>
              </w:rPr>
              <w:t>.</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2265BF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sidR="00D0685A">
        <w:rPr>
          <w:rFonts w:ascii="Times New Roman" w:hAnsi="Times New Roman" w:cs="Times New Roman"/>
          <w:sz w:val="24"/>
          <w:szCs w:val="24"/>
        </w:rPr>
        <w:t>pridedama atskirais dokumentais.</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65978" w14:textId="77777777" w:rsidR="00F01C8D" w:rsidRDefault="00F01C8D" w:rsidP="00D05666">
      <w:r>
        <w:separator/>
      </w:r>
    </w:p>
  </w:endnote>
  <w:endnote w:type="continuationSeparator" w:id="0">
    <w:p w14:paraId="46E63895" w14:textId="77777777" w:rsidR="00F01C8D" w:rsidRDefault="00F01C8D" w:rsidP="00D05666">
      <w:r>
        <w:continuationSeparator/>
      </w:r>
    </w:p>
  </w:endnote>
  <w:endnote w:type="continuationNotice" w:id="1">
    <w:p w14:paraId="1A8A83B7" w14:textId="77777777" w:rsidR="00F01C8D" w:rsidRDefault="00F01C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9AB01" w14:textId="77777777" w:rsidR="00F01C8D" w:rsidRDefault="00F01C8D" w:rsidP="00D05666">
      <w:r>
        <w:separator/>
      </w:r>
    </w:p>
  </w:footnote>
  <w:footnote w:type="continuationSeparator" w:id="0">
    <w:p w14:paraId="6C9074A8" w14:textId="77777777" w:rsidR="00F01C8D" w:rsidRDefault="00F01C8D" w:rsidP="00D05666">
      <w:r>
        <w:continuationSeparator/>
      </w:r>
    </w:p>
  </w:footnote>
  <w:footnote w:type="continuationNotice" w:id="1">
    <w:p w14:paraId="0FCE5246" w14:textId="77777777" w:rsidR="00F01C8D" w:rsidRDefault="00F01C8D">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5FF0A55" w:rsidR="00285B02" w:rsidRDefault="00285B02">
        <w:pPr>
          <w:pStyle w:val="Header"/>
          <w:jc w:val="center"/>
        </w:pPr>
        <w:r>
          <w:fldChar w:fldCharType="begin"/>
        </w:r>
        <w:r>
          <w:instrText>PAGE   \* MERGEFORMAT</w:instrText>
        </w:r>
        <w:r>
          <w:fldChar w:fldCharType="separate"/>
        </w:r>
        <w:r w:rsidR="004658B8">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3B54990"/>
    <w:multiLevelType w:val="hybridMultilevel"/>
    <w:tmpl w:val="C1A8BFB2"/>
    <w:lvl w:ilvl="0" w:tplc="0409000F">
      <w:start w:val="1"/>
      <w:numFmt w:val="decimal"/>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8"/>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1CE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D6A"/>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9A"/>
    <w:rsid w:val="00333BFA"/>
    <w:rsid w:val="00333C3E"/>
    <w:rsid w:val="00334EB8"/>
    <w:rsid w:val="0033575F"/>
    <w:rsid w:val="00335A01"/>
    <w:rsid w:val="00335DA5"/>
    <w:rsid w:val="00336B1D"/>
    <w:rsid w:val="00337F64"/>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9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8"/>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3C0"/>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45"/>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BF9"/>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AD"/>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85A"/>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DC"/>
    <w:rsid w:val="00DB2857"/>
    <w:rsid w:val="00DB35AF"/>
    <w:rsid w:val="00DB373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3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1F5"/>
    <w:rsid w:val="00EF67DA"/>
    <w:rsid w:val="00EF7124"/>
    <w:rsid w:val="00EF7384"/>
    <w:rsid w:val="00F00EAA"/>
    <w:rsid w:val="00F01880"/>
    <w:rsid w:val="00F01B51"/>
    <w:rsid w:val="00F01C8D"/>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292"/>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499"/>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5E29"/>
    <w:rsid w:val="00084222"/>
    <w:rsid w:val="000E3D5E"/>
    <w:rsid w:val="000E62D1"/>
    <w:rsid w:val="001014FF"/>
    <w:rsid w:val="001251FC"/>
    <w:rsid w:val="00127A9E"/>
    <w:rsid w:val="001E3B26"/>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D38E9"/>
    <w:rsid w:val="00525232"/>
    <w:rsid w:val="00545370"/>
    <w:rsid w:val="005879CC"/>
    <w:rsid w:val="00595659"/>
    <w:rsid w:val="005A149D"/>
    <w:rsid w:val="00652F79"/>
    <w:rsid w:val="006D77F5"/>
    <w:rsid w:val="00731487"/>
    <w:rsid w:val="0078514A"/>
    <w:rsid w:val="007C7D73"/>
    <w:rsid w:val="007E27AB"/>
    <w:rsid w:val="007F25D7"/>
    <w:rsid w:val="00800E3B"/>
    <w:rsid w:val="00810A25"/>
    <w:rsid w:val="0085014A"/>
    <w:rsid w:val="00877EC7"/>
    <w:rsid w:val="008D6E2A"/>
    <w:rsid w:val="00906FC8"/>
    <w:rsid w:val="00926BF1"/>
    <w:rsid w:val="009520DA"/>
    <w:rsid w:val="00967526"/>
    <w:rsid w:val="00975C18"/>
    <w:rsid w:val="009C5E39"/>
    <w:rsid w:val="009E6FBD"/>
    <w:rsid w:val="00A02E8E"/>
    <w:rsid w:val="00A660F1"/>
    <w:rsid w:val="00A87851"/>
    <w:rsid w:val="00AD09B5"/>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F420148-A58D-4F5C-A6DA-6F6E5895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2800</Words>
  <Characters>15965</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37</cp:revision>
  <cp:lastPrinted>2021-11-02T20:49:00Z</cp:lastPrinted>
  <dcterms:created xsi:type="dcterms:W3CDTF">2024-03-14T11:21:00Z</dcterms:created>
  <dcterms:modified xsi:type="dcterms:W3CDTF">2025-03-18T08:17:00Z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