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media/image1.wmf" ContentType="image/x-wmf"/>
  <Override PartName="/word/media/image2.wmf" ContentType="image/x-wmf"/>
  <Override PartName="/word/media/image3.wmf" ContentType="image/x-wmf"/>
  <Override PartName="/word/media/image4.png" ContentType="image/png"/>
  <Override PartName="/word/media/image10.wmf" ContentType="image/x-wmf"/>
  <Override PartName="/word/media/image5.wmf" ContentType="image/x-wmf"/>
  <Override PartName="/word/media/image11.wmf" ContentType="image/x-wmf"/>
  <Override PartName="/word/media/image6.wmf" ContentType="image/x-wmf"/>
  <Override PartName="/word/media/image7.wmf" ContentType="image/x-wmf"/>
  <Override PartName="/word/media/image12.wmf" ContentType="image/x-wmf"/>
  <Override PartName="/word/media/image8.wmf" ContentType="image/x-wmf"/>
  <Override PartName="/word/media/image9.png" ContentType="image/png"/>
  <Override PartName="/word/media/image13.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3.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itemProps4.xml" ContentType="application/vnd.openxmlformats-officedocument.customXmlProperties+xml"/>
  <Override PartName="/customXml/itemProps2.xml" ContentType="application/vnd.openxmlformats-officedocument.customXmlProperties+xml"/>
  <Override PartName="/customXml/item3.xml" ContentType="application/xml"/>
  <Override PartName="/customXml/item4.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Cover Pages"/>
          <w:docPartUnique w:val="true"/>
        </w:docPartObj>
        <w:id w:val="-1724750495"/>
      </w:sdtPr>
      <w:sdtContent>
        <w:p>
          <w:pPr>
            <w:pStyle w:val="Normal"/>
            <w:spacing w:lineRule="auto" w:line="240" w:before="40" w:after="0"/>
            <w:jc w:val="center"/>
            <w:rPr>
              <w:rFonts w:eastAsia="Times New Roman" w:cs="Times New Roman"/>
              <w:szCs w:val="24"/>
              <w:lang w:val="lt-LT"/>
            </w:rPr>
          </w:pPr>
          <w:r>
            <w:rPr>
              <w:rFonts w:eastAsia="Times New Roman" w:cs="Times New Roman"/>
              <w:szCs w:val="24"/>
              <w:lang w:val="lt-LT"/>
            </w:rPr>
            <w:t>Higienos institutas</w:t>
          </w:r>
        </w:p>
        <w:p>
          <w:pPr>
            <w:pStyle w:val="Normal"/>
            <w:spacing w:lineRule="auto" w:line="240" w:before="40" w:after="0"/>
            <w:jc w:val="center"/>
            <w:rPr/>
          </w:pPr>
          <w:r>
            <w:rPr/>
          </w:r>
        </w:p>
        <w:p>
          <w:pPr>
            <w:pStyle w:val="Normal"/>
            <w:spacing w:lineRule="auto" w:line="240" w:before="40" w:after="0"/>
            <w:jc w:val="center"/>
            <w:rPr/>
          </w:pPr>
          <w:r>
            <w:rPr/>
          </w:r>
        </w:p>
        <w:p>
          <w:pPr>
            <w:pStyle w:val="Normal"/>
            <w:spacing w:before="40" w:after="0"/>
            <w:jc w:val="right"/>
            <w:rPr>
              <w:rFonts w:eastAsia="Times New Roman" w:cs="Times New Roman"/>
              <w:szCs w:val="24"/>
              <w:lang w:val="lt-LT"/>
            </w:rPr>
          </w:pPr>
          <w:r>
            <w:rPr>
              <w:rFonts w:eastAsia="Times New Roman" w:cs="Times New Roman"/>
              <w:szCs w:val="24"/>
              <w:lang w:val="lt-LT"/>
            </w:rPr>
            <w:t>TVIRTINU</w:t>
          </w:r>
        </w:p>
        <w:p>
          <w:pPr>
            <w:pStyle w:val="Normal"/>
            <w:spacing w:before="40" w:after="0"/>
            <w:jc w:val="right"/>
            <w:rPr>
              <w:rFonts w:eastAsia="Times New Roman" w:cs="Times New Roman"/>
              <w:szCs w:val="24"/>
              <w:lang w:val="lt-LT"/>
            </w:rPr>
          </w:pPr>
          <w:r>
            <w:rPr>
              <w:rFonts w:eastAsia="Times New Roman" w:cs="Times New Roman"/>
              <w:szCs w:val="24"/>
              <w:lang w:val="lt-LT"/>
            </w:rPr>
            <w:t>Higienos instituto direktorius</w:t>
          </w:r>
        </w:p>
        <w:p>
          <w:pPr>
            <w:pStyle w:val="Normal"/>
            <w:spacing w:before="40" w:after="0"/>
            <w:jc w:val="right"/>
            <w:rPr>
              <w:rFonts w:eastAsia="Times New Roman" w:cs="Times New Roman"/>
              <w:szCs w:val="24"/>
              <w:lang w:val="lt-LT"/>
            </w:rPr>
          </w:pPr>
          <w:r>
            <w:rPr>
              <w:rFonts w:eastAsia="Times New Roman" w:cs="Times New Roman"/>
              <w:szCs w:val="24"/>
              <w:lang w:val="lt-LT"/>
            </w:rPr>
            <w:t>Šarūnas Alasauskas</w:t>
          </w:r>
        </w:p>
        <w:p>
          <w:pPr>
            <w:pStyle w:val="Normal"/>
            <w:spacing w:lineRule="auto" w:line="240" w:before="40" w:after="0"/>
            <w:jc w:val="center"/>
            <w:rPr/>
          </w:pPr>
          <w:r>
            <w:rPr/>
          </w:r>
        </w:p>
        <w:p>
          <w:pPr>
            <w:pStyle w:val="Normal"/>
            <w:spacing w:lineRule="auto" w:line="240" w:before="40" w:after="0"/>
            <w:jc w:val="center"/>
            <w:rPr/>
          </w:pPr>
          <w:r>
            <w:rPr/>
          </w:r>
        </w:p>
        <w:p>
          <w:pPr>
            <w:pStyle w:val="Normal"/>
            <w:spacing w:lineRule="auto" w:line="240" w:before="40" w:after="0"/>
            <w:jc w:val="center"/>
            <w:rPr/>
          </w:pPr>
          <w:r>
            <w:rPr/>
          </w:r>
        </w:p>
        <w:p>
          <w:pPr>
            <w:pStyle w:val="Normal"/>
            <w:spacing w:lineRule="auto" w:line="240" w:before="40" w:after="0"/>
            <w:jc w:val="center"/>
            <w:rPr/>
          </w:pPr>
          <w:r>
            <w:rPr/>
          </w:r>
        </w:p>
        <w:p>
          <w:pPr>
            <w:pStyle w:val="Normal"/>
            <w:spacing w:lineRule="auto" w:line="240" w:before="40" w:after="0"/>
            <w:jc w:val="center"/>
            <w:rPr/>
          </w:pPr>
          <w:r>
            <w:rPr/>
          </w:r>
        </w:p>
        <w:p>
          <w:pPr>
            <w:pStyle w:val="Normal"/>
            <w:spacing w:lineRule="auto" w:line="240" w:before="40" w:after="0"/>
            <w:jc w:val="center"/>
            <w:rPr/>
          </w:pPr>
          <w:r>
            <w:rPr/>
          </w:r>
        </w:p>
        <w:p>
          <w:pPr>
            <w:pStyle w:val="Normal"/>
            <w:spacing w:lineRule="auto" w:line="240" w:before="40" w:after="0"/>
            <w:rPr>
              <w:b/>
            </w:rPr>
          </w:pPr>
          <w:r>
            <w:rPr>
              <w:b/>
            </w:rPr>
          </w:r>
        </w:p>
        <w:p>
          <w:pPr>
            <w:pStyle w:val="Normal"/>
            <w:spacing w:lineRule="auto" w:line="240" w:before="40" w:after="0"/>
            <w:jc w:val="center"/>
            <w:rPr>
              <w:rFonts w:eastAsia="Times New Roman"/>
              <w:b/>
              <w:bCs/>
              <w:caps/>
            </w:rPr>
          </w:pPr>
          <w:r>
            <w:rPr>
              <w:rFonts w:eastAsia="Times New Roman"/>
              <w:b/>
              <w:bCs/>
              <w:caps/>
            </w:rPr>
            <w:t xml:space="preserve">Visuomenės sveikatos stiprinimo paslaugų valdymo tobulinimo poreikiams gerinti </w:t>
          </w:r>
          <w:r>
            <w:rPr>
              <w:rFonts w:eastAsia="Times New Roman" w:cs="Times New Roman"/>
              <w:b/>
              <w:bCs/>
              <w:szCs w:val="24"/>
              <w:lang w:val="lt-LT"/>
            </w:rPr>
            <w:t xml:space="preserve">INFORMACINIŲ TECHNOLOGIJŲ SPRENDIMO </w:t>
          </w:r>
        </w:p>
        <w:p>
          <w:pPr>
            <w:pStyle w:val="Normal"/>
            <w:spacing w:lineRule="auto" w:line="240" w:before="40" w:after="0"/>
            <w:jc w:val="center"/>
            <w:rPr>
              <w:rFonts w:eastAsia="Times New Roman"/>
              <w:b/>
              <w:bCs/>
              <w:caps/>
            </w:rPr>
          </w:pPr>
          <w:r>
            <w:rPr>
              <w:rFonts w:eastAsia="Times New Roman"/>
              <w:b/>
              <w:bCs/>
              <w:caps/>
            </w:rPr>
          </w:r>
        </w:p>
        <w:p>
          <w:pPr>
            <w:pStyle w:val="Normal"/>
            <w:spacing w:lineRule="auto" w:line="240" w:before="40" w:after="0"/>
            <w:jc w:val="center"/>
            <w:rPr>
              <w:b/>
              <w:bCs/>
            </w:rPr>
          </w:pPr>
          <w:r>
            <w:rPr>
              <w:b/>
              <w:bCs/>
            </w:rPr>
            <w:t>TECHNINISAPRAŠYMAS (SPECIFIKACIJA)</w:t>
          </w:r>
        </w:p>
        <w:p>
          <w:pPr>
            <w:pStyle w:val="Normal"/>
            <w:spacing w:lineRule="auto" w:line="240" w:before="40" w:after="0"/>
            <w:jc w:val="center"/>
            <w:rPr>
              <w:b/>
              <w:bCs/>
            </w:rPr>
          </w:pPr>
          <w:r>
            <w:rPr>
              <w:b/>
              <w:bCs/>
            </w:rPr>
          </w:r>
        </w:p>
        <w:p>
          <w:pPr>
            <w:pStyle w:val="Normal"/>
            <w:spacing w:lineRule="auto" w:line="240" w:before="40" w:after="0"/>
            <w:jc w:val="center"/>
            <w:rPr>
              <w:rFonts w:eastAsia="Times New Roman" w:cs="Times New Roman"/>
              <w:szCs w:val="24"/>
              <w:u w:val="single"/>
              <w:lang w:val="lt-LT"/>
            </w:rPr>
          </w:pPr>
          <w:r>
            <w:rPr>
              <w:rFonts w:eastAsia="Times New Roman" w:cs="Times New Roman"/>
              <w:szCs w:val="24"/>
              <w:u w:val="single"/>
              <w:lang w:val="lt-LT"/>
            </w:rPr>
            <w:t>V1.0</w:t>
          </w:r>
        </w:p>
        <w:p>
          <w:pPr>
            <w:pStyle w:val="Normal"/>
            <w:spacing w:lineRule="auto" w:line="240" w:before="40" w:after="0"/>
            <w:jc w:val="center"/>
            <w:rPr>
              <w:rFonts w:eastAsia="Times New Roman" w:cs="Times New Roman"/>
              <w:sz w:val="20"/>
              <w:lang w:val="lt-LT"/>
            </w:rPr>
          </w:pPr>
          <w:r>
            <w:rPr>
              <w:rFonts w:eastAsia="Times New Roman" w:cs="Times New Roman"/>
              <w:sz w:val="20"/>
              <w:lang w:val="lt-LT"/>
            </w:rPr>
            <w:t>Data, versijos numeris</w:t>
          </w:r>
        </w:p>
        <w:p>
          <w:pPr>
            <w:pStyle w:val="Normal"/>
            <w:spacing w:lineRule="auto" w:line="240" w:before="40" w:after="0"/>
            <w:jc w:val="center"/>
            <w:rPr>
              <w:rFonts w:eastAsia="Times New Roman" w:cs="Times New Roman"/>
              <w:sz w:val="20"/>
              <w:lang w:val="lt-LT"/>
            </w:rPr>
          </w:pPr>
          <w:r>
            <w:rPr>
              <w:rFonts w:eastAsia="Times New Roman" w:cs="Times New Roman"/>
              <w:sz w:val="20"/>
              <w:lang w:val="lt-LT"/>
            </w:rPr>
          </w:r>
        </w:p>
        <w:p>
          <w:pPr>
            <w:pStyle w:val="Normal"/>
            <w:spacing w:lineRule="auto" w:line="240" w:before="40" w:after="0"/>
            <w:jc w:val="center"/>
            <w:rPr>
              <w:rFonts w:eastAsia="Times New Roman" w:cs="Times New Roman"/>
              <w:sz w:val="20"/>
              <w:lang w:val="lt-LT"/>
            </w:rPr>
          </w:pPr>
          <w:r>
            <w:rPr>
              <w:rFonts w:eastAsia="Times New Roman" w:cs="Times New Roman"/>
              <w:sz w:val="20"/>
              <w:lang w:val="lt-LT"/>
            </w:rPr>
          </w:r>
        </w:p>
        <w:p>
          <w:pPr>
            <w:pStyle w:val="Normal"/>
            <w:spacing w:lineRule="auto" w:line="240" w:before="40" w:after="0"/>
            <w:jc w:val="center"/>
            <w:rPr>
              <w:rFonts w:eastAsia="Times New Roman" w:cs="Times New Roman"/>
              <w:sz w:val="20"/>
              <w:lang w:val="lt-LT"/>
            </w:rPr>
          </w:pPr>
          <w:r>
            <w:rPr>
              <w:rFonts w:eastAsia="Times New Roman" w:cs="Times New Roman"/>
              <w:sz w:val="20"/>
              <w:lang w:val="lt-LT"/>
            </w:rPr>
          </w:r>
        </w:p>
      </w:sdtContent>
    </w:sdt>
    <w:tbl>
      <w:tblPr>
        <w:tblW w:w="9120"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9120"/>
      </w:tblGrid>
      <w:tr>
        <w:trPr>
          <w:trHeight w:val="300" w:hRule="atLeast"/>
        </w:trPr>
        <w:tc>
          <w:tcPr>
            <w:tcW w:w="9120" w:type="dxa"/>
            <w:tcBorders/>
          </w:tcPr>
          <w:p>
            <w:pPr>
              <w:pStyle w:val="Normal"/>
              <w:spacing w:lineRule="auto" w:line="256" w:before="40" w:after="0"/>
              <w:rPr>
                <w:rFonts w:eastAsia="Times New Roman" w:cs="Times New Roman"/>
                <w:szCs w:val="24"/>
                <w:lang w:val="lt-LT"/>
              </w:rPr>
            </w:pPr>
            <w:r>
              <w:rPr>
                <w:rFonts w:eastAsia="Times New Roman" w:cs="Times New Roman"/>
                <w:szCs w:val="24"/>
                <w:lang w:val="lt-LT"/>
              </w:rPr>
              <w:t>SUDERINTA</w:t>
            </w:r>
          </w:p>
        </w:tc>
      </w:tr>
      <w:tr>
        <w:trPr>
          <w:trHeight w:val="300" w:hRule="atLeast"/>
        </w:trPr>
        <w:tc>
          <w:tcPr>
            <w:tcW w:w="9120" w:type="dxa"/>
            <w:tcBorders/>
          </w:tcPr>
          <w:p>
            <w:pPr>
              <w:pStyle w:val="Normal"/>
              <w:spacing w:lineRule="auto" w:line="256" w:before="40" w:after="0"/>
              <w:rPr>
                <w:rFonts w:eastAsia="Times New Roman" w:cs="Times New Roman"/>
                <w:szCs w:val="24"/>
                <w:lang w:val="lt-LT"/>
              </w:rPr>
            </w:pPr>
            <w:r>
              <w:rPr>
                <w:rFonts w:eastAsia="Times New Roman" w:cs="Times New Roman"/>
                <w:szCs w:val="24"/>
                <w:lang w:val="lt-LT"/>
              </w:rPr>
              <w:t>Valstybės skaitmeninių sprendimų agentūros</w:t>
            </w:r>
          </w:p>
          <w:p>
            <w:pPr>
              <w:pStyle w:val="Normal"/>
              <w:spacing w:lineRule="auto" w:line="256" w:before="40" w:after="0"/>
              <w:rPr>
                <w:rFonts w:eastAsia="Times New Roman" w:cs="Times New Roman"/>
                <w:szCs w:val="24"/>
                <w:lang w:val="lt-LT"/>
              </w:rPr>
            </w:pPr>
            <w:r>
              <w:rPr>
                <w:rFonts w:eastAsia="Times New Roman" w:cs="Times New Roman"/>
                <w:szCs w:val="24"/>
                <w:lang w:val="lt-LT"/>
              </w:rPr>
              <w:t xml:space="preserve">2024 m.                    raštu Nr. </w:t>
            </w:r>
          </w:p>
          <w:p>
            <w:pPr>
              <w:pStyle w:val="Normal"/>
              <w:spacing w:lineRule="auto" w:line="256" w:before="40" w:after="0"/>
              <w:rPr>
                <w:rFonts w:eastAsia="Times New Roman" w:cs="Times New Roman"/>
                <w:szCs w:val="24"/>
                <w:lang w:val="lt-LT"/>
              </w:rPr>
            </w:pPr>
            <w:r>
              <w:rPr>
                <w:rFonts w:eastAsia="Times New Roman" w:cs="Times New Roman"/>
                <w:szCs w:val="24"/>
                <w:lang w:val="lt-LT"/>
              </w:rPr>
            </w:r>
          </w:p>
        </w:tc>
      </w:tr>
    </w:tbl>
    <w:p>
      <w:pPr>
        <w:pStyle w:val="Normal"/>
        <w:spacing w:lineRule="auto" w:line="240" w:before="40" w:after="0"/>
        <w:jc w:val="center"/>
        <w:rPr>
          <w:rFonts w:eastAsia="Times New Roman"/>
          <w:b/>
          <w:bCs/>
        </w:rPr>
      </w:pPr>
      <w:r>
        <w:rPr>
          <w:rFonts w:eastAsia="Times New Roman"/>
          <w:b/>
          <w:bCs/>
        </w:rPr>
      </w:r>
    </w:p>
    <w:p>
      <w:pPr>
        <w:pStyle w:val="Normal"/>
        <w:rPr/>
      </w:pPr>
      <w:r>
        <w:rPr/>
      </w:r>
    </w:p>
    <w:sdt>
      <w:sdtPr>
        <w:docPartObj>
          <w:docPartGallery w:val="Table of Contents"/>
          <w:docPartUnique w:val="true"/>
        </w:docPartObj>
      </w:sdtPr>
      <w:sdtContent>
        <w:p>
          <w:pPr>
            <w:pStyle w:val="TOCHeading"/>
            <w:rPr/>
          </w:pPr>
          <w:r>
            <w:rPr/>
            <w:t>Turinys</w:t>
          </w:r>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r>
            <w:fldChar w:fldCharType="begin"/>
          </w:r>
          <w:r>
            <w:rPr>
              <w:webHidden/>
              <w:rStyle w:val="IndexLink"/>
              <w:b/>
              <w:bCs/>
            </w:rPr>
            <w:instrText xml:space="preserve"> TOC \z \o "1-3" \u \h</w:instrText>
          </w:r>
          <w:r>
            <w:rPr>
              <w:webHidden/>
              <w:rStyle w:val="IndexLink"/>
              <w:b/>
              <w:bCs/>
            </w:rPr>
            <w:fldChar w:fldCharType="separate"/>
          </w:r>
          <w:hyperlink w:anchor="_Toc192483601">
            <w:r>
              <w:rPr>
                <w:webHidden/>
                <w:rStyle w:val="IndexLink"/>
                <w:b/>
                <w:bCs/>
              </w:rPr>
              <w:t>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bCs/>
              </w:rPr>
              <w:t>Sąvokos ir sutrumpinimai</w:t>
            </w:r>
            <w:r>
              <w:rPr>
                <w:webHidden/>
              </w:rPr>
              <w:fldChar w:fldCharType="begin"/>
            </w:r>
            <w:r>
              <w:rPr>
                <w:webHidden/>
              </w:rPr>
              <w:instrText xml:space="preserve">PAGEREF _Toc192483601 \h</w:instrText>
            </w:r>
            <w:r>
              <w:rPr>
                <w:webHidden/>
              </w:rPr>
              <w:fldChar w:fldCharType="separate"/>
            </w:r>
            <w:r>
              <w:rPr>
                <w:rStyle w:val="IndexLink"/>
                <w:vanish w:val="false"/>
              </w:rPr>
              <w:tab/>
              <w:t>4</w:t>
            </w:r>
            <w:r>
              <w:rPr>
                <w:webHidden/>
              </w:rPr>
              <w:fldChar w:fldCharType="end"/>
            </w:r>
          </w:hyperlink>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hyperlink w:anchor="_Toc192483602">
            <w:r>
              <w:rPr>
                <w:webHidden/>
                <w:rStyle w:val="IndexLink"/>
                <w:b/>
                <w:bCs/>
              </w:rPr>
              <w:t>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bCs/>
              </w:rPr>
              <w:t>Įvadas</w:t>
            </w:r>
            <w:r>
              <w:rPr>
                <w:webHidden/>
              </w:rPr>
              <w:fldChar w:fldCharType="begin"/>
            </w:r>
            <w:r>
              <w:rPr>
                <w:webHidden/>
              </w:rPr>
              <w:instrText xml:space="preserve">PAGEREF _Toc192483602 \h</w:instrText>
            </w:r>
            <w:r>
              <w:rPr>
                <w:webHidden/>
              </w:rPr>
              <w:fldChar w:fldCharType="separate"/>
            </w:r>
            <w:r>
              <w:rPr>
                <w:rStyle w:val="IndexLink"/>
                <w:vanish w:val="false"/>
              </w:rPr>
              <w:tab/>
              <w:t>6</w:t>
            </w:r>
            <w:r>
              <w:rPr>
                <w:webHidden/>
              </w:rPr>
              <w:fldChar w:fldCharType="end"/>
            </w:r>
          </w:hyperlink>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hyperlink w:anchor="_Toc192483603">
            <w:r>
              <w:rPr>
                <w:webHidden/>
                <w:rStyle w:val="IndexLink"/>
                <w:b/>
                <w:bCs/>
              </w:rPr>
              <w:t>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bCs/>
              </w:rPr>
              <w:t>IT sprendimo kūrimo tikslas ir veiklos procesai</w:t>
            </w:r>
            <w:r>
              <w:rPr>
                <w:webHidden/>
              </w:rPr>
              <w:fldChar w:fldCharType="begin"/>
            </w:r>
            <w:r>
              <w:rPr>
                <w:webHidden/>
              </w:rPr>
              <w:instrText xml:space="preserve">PAGEREF _Toc192483603 \h</w:instrText>
            </w:r>
            <w:r>
              <w:rPr>
                <w:webHidden/>
              </w:rPr>
              <w:fldChar w:fldCharType="separate"/>
            </w:r>
            <w:r>
              <w:rPr>
                <w:rStyle w:val="IndexLink"/>
                <w:vanish w:val="false"/>
              </w:rPr>
              <w:tab/>
              <w:t>7</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04">
            <w:r>
              <w:rPr>
                <w:webHidden/>
                <w:rStyle w:val="IndexLink"/>
              </w:rPr>
              <w:t>3.1.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Bendras procesas</w:t>
            </w:r>
            <w:r>
              <w:rPr>
                <w:webHidden/>
              </w:rPr>
              <w:fldChar w:fldCharType="begin"/>
            </w:r>
            <w:r>
              <w:rPr>
                <w:webHidden/>
              </w:rPr>
              <w:instrText xml:space="preserve">PAGEREF _Toc192483604 \h</w:instrText>
            </w:r>
            <w:r>
              <w:rPr>
                <w:webHidden/>
              </w:rPr>
              <w:fldChar w:fldCharType="separate"/>
            </w:r>
            <w:r>
              <w:rPr>
                <w:rStyle w:val="IndexLink"/>
                <w:vanish w:val="false"/>
              </w:rPr>
              <w:tab/>
              <w:t>8</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05">
            <w:r>
              <w:rPr>
                <w:webHidden/>
                <w:rStyle w:val="IndexLink"/>
              </w:rPr>
              <w:t>3.2.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Bazinių paslaugų įvedimas</w:t>
            </w:r>
            <w:r>
              <w:rPr>
                <w:webHidden/>
              </w:rPr>
              <w:fldChar w:fldCharType="begin"/>
            </w:r>
            <w:r>
              <w:rPr>
                <w:webHidden/>
              </w:rPr>
              <w:instrText xml:space="preserve">PAGEREF _Toc192483605 \h</w:instrText>
            </w:r>
            <w:r>
              <w:rPr>
                <w:webHidden/>
              </w:rPr>
              <w:fldChar w:fldCharType="separate"/>
            </w:r>
            <w:r>
              <w:rPr>
                <w:rStyle w:val="IndexLink"/>
                <w:vanish w:val="false"/>
              </w:rPr>
              <w:tab/>
              <w:t>9</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06">
            <w:r>
              <w:rPr>
                <w:webHidden/>
                <w:rStyle w:val="IndexLink"/>
              </w:rPr>
              <w:t>3.3.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Paslaugos suderinimas ir vykdymas</w:t>
            </w:r>
            <w:r>
              <w:rPr>
                <w:webHidden/>
              </w:rPr>
              <w:fldChar w:fldCharType="begin"/>
            </w:r>
            <w:r>
              <w:rPr>
                <w:webHidden/>
              </w:rPr>
              <w:instrText xml:space="preserve">PAGEREF _Toc192483606 \h</w:instrText>
            </w:r>
            <w:r>
              <w:rPr>
                <w:webHidden/>
              </w:rPr>
              <w:fldChar w:fldCharType="separate"/>
            </w:r>
            <w:r>
              <w:rPr>
                <w:rStyle w:val="IndexLink"/>
                <w:vanish w:val="false"/>
              </w:rPr>
              <w:tab/>
              <w:t>11</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07">
            <w:r>
              <w:rPr>
                <w:webHidden/>
                <w:rStyle w:val="IndexLink"/>
              </w:rPr>
              <w:t>3.4.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Paslaugos vykdymas</w:t>
            </w:r>
            <w:r>
              <w:rPr>
                <w:webHidden/>
              </w:rPr>
              <w:fldChar w:fldCharType="begin"/>
            </w:r>
            <w:r>
              <w:rPr>
                <w:webHidden/>
              </w:rPr>
              <w:instrText xml:space="preserve">PAGEREF _Toc192483607 \h</w:instrText>
            </w:r>
            <w:r>
              <w:rPr>
                <w:webHidden/>
              </w:rPr>
              <w:fldChar w:fldCharType="separate"/>
            </w:r>
            <w:r>
              <w:rPr>
                <w:rStyle w:val="IndexLink"/>
                <w:vanish w:val="false"/>
              </w:rPr>
              <w:tab/>
              <w:t>14</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08">
            <w:r>
              <w:rPr>
                <w:webHidden/>
                <w:rStyle w:val="IndexLink"/>
              </w:rPr>
              <w:t>3.5.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Paslaugų įvykdymo ataskaitų pateikimas</w:t>
            </w:r>
            <w:r>
              <w:rPr>
                <w:webHidden/>
              </w:rPr>
              <w:fldChar w:fldCharType="begin"/>
            </w:r>
            <w:r>
              <w:rPr>
                <w:webHidden/>
              </w:rPr>
              <w:instrText xml:space="preserve">PAGEREF _Toc192483608 \h</w:instrText>
            </w:r>
            <w:r>
              <w:rPr>
                <w:webHidden/>
              </w:rPr>
              <w:fldChar w:fldCharType="separate"/>
            </w:r>
            <w:r>
              <w:rPr>
                <w:rStyle w:val="IndexLink"/>
                <w:vanish w:val="false"/>
              </w:rPr>
              <w:tab/>
              <w:t>16</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09">
            <w:r>
              <w:rPr>
                <w:webHidden/>
                <w:rStyle w:val="IndexLink"/>
              </w:rPr>
              <w:t>3.6.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Papildomų paslaugų įvedimas</w:t>
            </w:r>
            <w:r>
              <w:rPr>
                <w:webHidden/>
              </w:rPr>
              <w:fldChar w:fldCharType="begin"/>
            </w:r>
            <w:r>
              <w:rPr>
                <w:webHidden/>
              </w:rPr>
              <w:instrText xml:space="preserve">PAGEREF _Toc192483609 \h</w:instrText>
            </w:r>
            <w:r>
              <w:rPr>
                <w:webHidden/>
              </w:rPr>
              <w:fldChar w:fldCharType="separate"/>
            </w:r>
            <w:r>
              <w:rPr>
                <w:rStyle w:val="IndexLink"/>
                <w:vanish w:val="false"/>
              </w:rPr>
              <w:tab/>
              <w:t>17</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10">
            <w:r>
              <w:rPr>
                <w:webHidden/>
                <w:rStyle w:val="IndexLink"/>
              </w:rPr>
              <w:t>3.7.</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Dotacijų paskirstymas</w:t>
            </w:r>
            <w:r>
              <w:rPr>
                <w:webHidden/>
              </w:rPr>
              <w:fldChar w:fldCharType="begin"/>
            </w:r>
            <w:r>
              <w:rPr>
                <w:webHidden/>
              </w:rPr>
              <w:instrText xml:space="preserve">PAGEREF _Toc192483610 \h</w:instrText>
            </w:r>
            <w:r>
              <w:rPr>
                <w:webHidden/>
              </w:rPr>
              <w:fldChar w:fldCharType="separate"/>
            </w:r>
            <w:r>
              <w:rPr>
                <w:rStyle w:val="IndexLink"/>
                <w:vanish w:val="false"/>
              </w:rPr>
              <w:tab/>
              <w:t>19</w:t>
            </w:r>
            <w:r>
              <w:rPr>
                <w:webHidden/>
              </w:rPr>
              <w:fldChar w:fldCharType="end"/>
            </w:r>
          </w:hyperlink>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hyperlink w:anchor="_Toc192483611">
            <w:r>
              <w:rPr>
                <w:webHidden/>
                <w:rStyle w:val="IndexLink"/>
                <w:b/>
              </w:rPr>
              <w:t>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Veiklos reikalavimai</w:t>
            </w:r>
            <w:r>
              <w:rPr>
                <w:webHidden/>
              </w:rPr>
              <w:fldChar w:fldCharType="begin"/>
            </w:r>
            <w:r>
              <w:rPr>
                <w:webHidden/>
              </w:rPr>
              <w:instrText xml:space="preserve">PAGEREF _Toc192483611 \h</w:instrText>
            </w:r>
            <w:r>
              <w:rPr>
                <w:webHidden/>
              </w:rPr>
              <w:fldChar w:fldCharType="separate"/>
            </w:r>
            <w:r>
              <w:rPr>
                <w:rStyle w:val="IndexLink"/>
                <w:vanish w:val="false"/>
              </w:rPr>
              <w:tab/>
              <w:t>21</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12">
            <w:r>
              <w:rPr>
                <w:webHidden/>
                <w:rStyle w:val="IndexLink"/>
                <w:b/>
              </w:rPr>
              <w:t>4.1.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Funkcinė schema</w:t>
            </w:r>
            <w:r>
              <w:rPr>
                <w:webHidden/>
              </w:rPr>
              <w:fldChar w:fldCharType="begin"/>
            </w:r>
            <w:r>
              <w:rPr>
                <w:webHidden/>
              </w:rPr>
              <w:instrText xml:space="preserve">PAGEREF _Toc192483612 \h</w:instrText>
            </w:r>
            <w:r>
              <w:rPr>
                <w:webHidden/>
              </w:rPr>
              <w:fldChar w:fldCharType="separate"/>
            </w:r>
            <w:r>
              <w:rPr>
                <w:rStyle w:val="IndexLink"/>
                <w:vanish w:val="false"/>
              </w:rPr>
              <w:tab/>
              <w:t>21</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13">
            <w:r>
              <w:rPr>
                <w:webHidden/>
                <w:rStyle w:val="IndexLink"/>
                <w:b/>
              </w:rPr>
              <w:t>4.2.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Vidiniai ir išoriniai duomenų srautai</w:t>
            </w:r>
            <w:r>
              <w:rPr>
                <w:webHidden/>
              </w:rPr>
              <w:fldChar w:fldCharType="begin"/>
            </w:r>
            <w:r>
              <w:rPr>
                <w:webHidden/>
              </w:rPr>
              <w:instrText xml:space="preserve">PAGEREF _Toc192483613 \h</w:instrText>
            </w:r>
            <w:r>
              <w:rPr>
                <w:webHidden/>
              </w:rPr>
              <w:fldChar w:fldCharType="separate"/>
            </w:r>
            <w:r>
              <w:rPr>
                <w:rStyle w:val="IndexLink"/>
                <w:vanish w:val="false"/>
              </w:rPr>
              <w:tab/>
              <w:t>22</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14">
            <w:r>
              <w:rPr>
                <w:webHidden/>
                <w:rStyle w:val="IndexLink"/>
                <w:b/>
                <w:bCs/>
              </w:rPr>
              <w:t>4.3.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bCs/>
              </w:rPr>
              <w:t>Koncepcinis duomenų modelis</w:t>
            </w:r>
            <w:r>
              <w:rPr>
                <w:webHidden/>
              </w:rPr>
              <w:fldChar w:fldCharType="begin"/>
            </w:r>
            <w:r>
              <w:rPr>
                <w:webHidden/>
              </w:rPr>
              <w:instrText xml:space="preserve">PAGEREF _Toc192483614 \h</w:instrText>
            </w:r>
            <w:r>
              <w:rPr>
                <w:webHidden/>
              </w:rPr>
              <w:fldChar w:fldCharType="separate"/>
            </w:r>
            <w:r>
              <w:rPr>
                <w:rStyle w:val="IndexLink"/>
                <w:vanish w:val="false"/>
              </w:rPr>
              <w:tab/>
              <w:t>23</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15">
            <w:r>
              <w:rPr>
                <w:webHidden/>
                <w:rStyle w:val="IndexLink"/>
                <w:b/>
              </w:rPr>
              <w:t>4.4.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Duomenų teikimas ir naudojimas</w:t>
            </w:r>
            <w:r>
              <w:rPr>
                <w:webHidden/>
              </w:rPr>
              <w:fldChar w:fldCharType="begin"/>
            </w:r>
            <w:r>
              <w:rPr>
                <w:webHidden/>
              </w:rPr>
              <w:instrText xml:space="preserve">PAGEREF _Toc192483615 \h</w:instrText>
            </w:r>
            <w:r>
              <w:rPr>
                <w:webHidden/>
              </w:rPr>
              <w:fldChar w:fldCharType="separate"/>
            </w:r>
            <w:r>
              <w:rPr>
                <w:rStyle w:val="IndexLink"/>
                <w:vanish w:val="false"/>
              </w:rPr>
              <w:tab/>
              <w:t>26</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16">
            <w:r>
              <w:rPr>
                <w:webHidden/>
                <w:rStyle w:val="IndexLink"/>
                <w:b/>
              </w:rPr>
              <w:t>4.5.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Funkciniai reikalavimai</w:t>
            </w:r>
            <w:r>
              <w:rPr>
                <w:webHidden/>
              </w:rPr>
              <w:fldChar w:fldCharType="begin"/>
            </w:r>
            <w:r>
              <w:rPr>
                <w:webHidden/>
              </w:rPr>
              <w:instrText xml:space="preserve">PAGEREF _Toc192483616 \h</w:instrText>
            </w:r>
            <w:r>
              <w:rPr>
                <w:webHidden/>
              </w:rPr>
              <w:fldChar w:fldCharType="separate"/>
            </w:r>
            <w:r>
              <w:rPr>
                <w:rStyle w:val="IndexLink"/>
                <w:vanish w:val="false"/>
              </w:rPr>
              <w:tab/>
              <w:t>28</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17">
            <w:r>
              <w:rPr>
                <w:webHidden/>
                <w:rStyle w:val="IndexLink"/>
              </w:rPr>
              <w:t>4.5.1.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Bendrieji reikalavimai</w:t>
            </w:r>
            <w:r>
              <w:rPr>
                <w:webHidden/>
              </w:rPr>
              <w:fldChar w:fldCharType="begin"/>
            </w:r>
            <w:r>
              <w:rPr>
                <w:webHidden/>
              </w:rPr>
              <w:instrText xml:space="preserve">PAGEREF _Toc192483617 \h</w:instrText>
            </w:r>
            <w:r>
              <w:rPr>
                <w:webHidden/>
              </w:rPr>
              <w:fldChar w:fldCharType="separate"/>
            </w:r>
            <w:r>
              <w:rPr>
                <w:rStyle w:val="IndexLink"/>
                <w:vanish w:val="false"/>
              </w:rPr>
              <w:tab/>
              <w:t>28</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18">
            <w:r>
              <w:rPr>
                <w:webHidden/>
                <w:rStyle w:val="IndexLink"/>
              </w:rPr>
              <w:t>4.5.2.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paslaugų vykdymo funkcionalumui</w:t>
            </w:r>
            <w:r>
              <w:rPr>
                <w:webHidden/>
              </w:rPr>
              <w:fldChar w:fldCharType="begin"/>
            </w:r>
            <w:r>
              <w:rPr>
                <w:webHidden/>
              </w:rPr>
              <w:instrText xml:space="preserve">PAGEREF _Toc192483618 \h</w:instrText>
            </w:r>
            <w:r>
              <w:rPr>
                <w:webHidden/>
              </w:rPr>
              <w:fldChar w:fldCharType="separate"/>
            </w:r>
            <w:r>
              <w:rPr>
                <w:rStyle w:val="IndexLink"/>
                <w:vanish w:val="false"/>
              </w:rPr>
              <w:tab/>
              <w:t>29</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19">
            <w:r>
              <w:rPr>
                <w:webHidden/>
                <w:rStyle w:val="IndexLink"/>
              </w:rPr>
              <w:t>4.5.2.1.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bazinių paslaugų registravimui ir vykdymui</w:t>
            </w:r>
            <w:r>
              <w:rPr>
                <w:webHidden/>
              </w:rPr>
              <w:fldChar w:fldCharType="begin"/>
            </w:r>
            <w:r>
              <w:rPr>
                <w:webHidden/>
              </w:rPr>
              <w:instrText xml:space="preserve">PAGEREF _Toc192483619 \h</w:instrText>
            </w:r>
            <w:r>
              <w:rPr>
                <w:webHidden/>
              </w:rPr>
              <w:fldChar w:fldCharType="separate"/>
            </w:r>
            <w:r>
              <w:rPr>
                <w:rStyle w:val="IndexLink"/>
                <w:vanish w:val="false"/>
              </w:rPr>
              <w:tab/>
              <w:t>29</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20">
            <w:r>
              <w:rPr>
                <w:webHidden/>
                <w:rStyle w:val="IndexLink"/>
              </w:rPr>
              <w:t>4.5.2.2.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visuomenės sveikatos biurų teikiamų paslaugų registravimui ir vykdymui</w:t>
            </w:r>
            <w:r>
              <w:rPr>
                <w:webHidden/>
              </w:rPr>
              <w:fldChar w:fldCharType="begin"/>
            </w:r>
            <w:r>
              <w:rPr>
                <w:webHidden/>
              </w:rPr>
              <w:instrText xml:space="preserve">PAGEREF _Toc192483620 \h</w:instrText>
            </w:r>
            <w:r>
              <w:rPr>
                <w:webHidden/>
              </w:rPr>
              <w:fldChar w:fldCharType="separate"/>
            </w:r>
            <w:r>
              <w:rPr>
                <w:rStyle w:val="IndexLink"/>
                <w:vanish w:val="false"/>
              </w:rPr>
              <w:tab/>
              <w:t>31</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21">
            <w:r>
              <w:rPr>
                <w:webHidden/>
                <w:rStyle w:val="IndexLink"/>
              </w:rPr>
              <w:t>4.5.2.3.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paslaugų vertinimo kriterijų pildymui ir valdymui</w:t>
            </w:r>
            <w:r>
              <w:rPr>
                <w:webHidden/>
              </w:rPr>
              <w:fldChar w:fldCharType="begin"/>
            </w:r>
            <w:r>
              <w:rPr>
                <w:webHidden/>
              </w:rPr>
              <w:instrText xml:space="preserve">PAGEREF _Toc192483621 \h</w:instrText>
            </w:r>
            <w:r>
              <w:rPr>
                <w:webHidden/>
              </w:rPr>
              <w:fldChar w:fldCharType="separate"/>
            </w:r>
            <w:r>
              <w:rPr>
                <w:rStyle w:val="IndexLink"/>
                <w:vanish w:val="false"/>
              </w:rPr>
              <w:tab/>
              <w:t>32</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22">
            <w:r>
              <w:rPr>
                <w:webHidden/>
                <w:rStyle w:val="IndexLink"/>
              </w:rPr>
              <w:t>4.5.2.4.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 xml:space="preserve">Reikalavimai </w:t>
            </w:r>
            <w:r>
              <w:rPr>
                <w:rStyle w:val="IndexLink"/>
                <w:rFonts w:cs="Times New Roman"/>
              </w:rPr>
              <w:t xml:space="preserve">SRDI </w:t>
            </w:r>
            <w:r>
              <w:rPr>
                <w:rStyle w:val="IndexLink"/>
              </w:rPr>
              <w:t>registravimui</w:t>
            </w:r>
            <w:r>
              <w:rPr>
                <w:webHidden/>
              </w:rPr>
              <w:fldChar w:fldCharType="begin"/>
            </w:r>
            <w:r>
              <w:rPr>
                <w:webHidden/>
              </w:rPr>
              <w:instrText xml:space="preserve">PAGEREF _Toc192483622 \h</w:instrText>
            </w:r>
            <w:r>
              <w:rPr>
                <w:webHidden/>
              </w:rPr>
              <w:fldChar w:fldCharType="separate"/>
            </w:r>
            <w:r>
              <w:rPr>
                <w:rStyle w:val="IndexLink"/>
                <w:vanish w:val="false"/>
              </w:rPr>
              <w:tab/>
              <w:t>34</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23">
            <w:r>
              <w:rPr>
                <w:webHidden/>
                <w:rStyle w:val="IndexLink"/>
              </w:rPr>
              <w:t>4.5.2.5.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paslaugos gavėjų analitinių požymių pildymui</w:t>
            </w:r>
            <w:r>
              <w:rPr>
                <w:webHidden/>
              </w:rPr>
              <w:fldChar w:fldCharType="begin"/>
            </w:r>
            <w:r>
              <w:rPr>
                <w:webHidden/>
              </w:rPr>
              <w:instrText xml:space="preserve">PAGEREF _Toc192483623 \h</w:instrText>
            </w:r>
            <w:r>
              <w:rPr>
                <w:webHidden/>
              </w:rPr>
              <w:fldChar w:fldCharType="separate"/>
            </w:r>
            <w:r>
              <w:rPr>
                <w:rStyle w:val="IndexLink"/>
                <w:vanish w:val="false"/>
              </w:rPr>
              <w:tab/>
              <w:t>36</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24">
            <w:r>
              <w:rPr>
                <w:webHidden/>
                <w:rStyle w:val="IndexLink"/>
              </w:rPr>
              <w:t>4.5.2.6.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papildomų ataskaitų duomenų pildymui</w:t>
            </w:r>
            <w:r>
              <w:rPr>
                <w:webHidden/>
              </w:rPr>
              <w:fldChar w:fldCharType="begin"/>
            </w:r>
            <w:r>
              <w:rPr>
                <w:webHidden/>
              </w:rPr>
              <w:instrText xml:space="preserve">PAGEREF _Toc192483624 \h</w:instrText>
            </w:r>
            <w:r>
              <w:rPr>
                <w:webHidden/>
              </w:rPr>
              <w:fldChar w:fldCharType="separate"/>
            </w:r>
            <w:r>
              <w:rPr>
                <w:rStyle w:val="IndexLink"/>
                <w:vanish w:val="false"/>
              </w:rPr>
              <w:tab/>
              <w:t>37</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25">
            <w:r>
              <w:rPr>
                <w:webHidden/>
                <w:rStyle w:val="IndexLink"/>
              </w:rPr>
              <w:t>4.5.3.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specialios tikslinės dotacijos planavimui</w:t>
            </w:r>
            <w:r>
              <w:rPr>
                <w:webHidden/>
              </w:rPr>
              <w:fldChar w:fldCharType="begin"/>
            </w:r>
            <w:r>
              <w:rPr>
                <w:webHidden/>
              </w:rPr>
              <w:instrText xml:space="preserve">PAGEREF _Toc192483625 \h</w:instrText>
            </w:r>
            <w:r>
              <w:rPr>
                <w:webHidden/>
              </w:rPr>
              <w:fldChar w:fldCharType="separate"/>
            </w:r>
            <w:r>
              <w:rPr>
                <w:rStyle w:val="IndexLink"/>
                <w:vanish w:val="false"/>
              </w:rPr>
              <w:tab/>
              <w:t>38</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26">
            <w:r>
              <w:rPr>
                <w:webHidden/>
                <w:rStyle w:val="IndexLink"/>
              </w:rPr>
              <w:t>4.5.3.1.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paskirstymo bazių pildymui</w:t>
            </w:r>
            <w:r>
              <w:rPr>
                <w:webHidden/>
              </w:rPr>
              <w:fldChar w:fldCharType="begin"/>
            </w:r>
            <w:r>
              <w:rPr>
                <w:webHidden/>
              </w:rPr>
              <w:instrText xml:space="preserve">PAGEREF _Toc192483626 \h</w:instrText>
            </w:r>
            <w:r>
              <w:rPr>
                <w:webHidden/>
              </w:rPr>
              <w:fldChar w:fldCharType="separate"/>
            </w:r>
            <w:r>
              <w:rPr>
                <w:rStyle w:val="IndexLink"/>
                <w:vanish w:val="false"/>
              </w:rPr>
              <w:tab/>
              <w:t>38</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27">
            <w:r>
              <w:rPr>
                <w:webHidden/>
                <w:rStyle w:val="IndexLink"/>
              </w:rPr>
              <w:t>4.5.3.2.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paskirstymo normų pildymui</w:t>
            </w:r>
            <w:r>
              <w:rPr>
                <w:webHidden/>
              </w:rPr>
              <w:fldChar w:fldCharType="begin"/>
            </w:r>
            <w:r>
              <w:rPr>
                <w:webHidden/>
              </w:rPr>
              <w:instrText xml:space="preserve">PAGEREF _Toc192483627 \h</w:instrText>
            </w:r>
            <w:r>
              <w:rPr>
                <w:webHidden/>
              </w:rPr>
              <w:fldChar w:fldCharType="separate"/>
            </w:r>
            <w:r>
              <w:rPr>
                <w:rStyle w:val="IndexLink"/>
                <w:vanish w:val="false"/>
              </w:rPr>
              <w:tab/>
              <w:t>39</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28">
            <w:r>
              <w:rPr>
                <w:webHidden/>
                <w:rStyle w:val="IndexLink"/>
              </w:rPr>
              <w:t>4.5.3.3.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dotacijų paskirstymų pildymui</w:t>
            </w:r>
            <w:r>
              <w:rPr>
                <w:webHidden/>
              </w:rPr>
              <w:fldChar w:fldCharType="begin"/>
            </w:r>
            <w:r>
              <w:rPr>
                <w:webHidden/>
              </w:rPr>
              <w:instrText xml:space="preserve">PAGEREF _Toc192483628 \h</w:instrText>
            </w:r>
            <w:r>
              <w:rPr>
                <w:webHidden/>
              </w:rPr>
              <w:fldChar w:fldCharType="separate"/>
            </w:r>
            <w:r>
              <w:rPr>
                <w:rStyle w:val="IndexLink"/>
                <w:vanish w:val="false"/>
              </w:rPr>
              <w:tab/>
              <w:t>40</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29">
            <w:r>
              <w:rPr>
                <w:webHidden/>
                <w:rStyle w:val="IndexLink"/>
              </w:rPr>
              <w:t>4.5.4.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finansinių formų pildymui</w:t>
            </w:r>
            <w:r>
              <w:rPr>
                <w:webHidden/>
              </w:rPr>
              <w:fldChar w:fldCharType="begin"/>
            </w:r>
            <w:r>
              <w:rPr>
                <w:webHidden/>
              </w:rPr>
              <w:instrText xml:space="preserve">PAGEREF _Toc192483629 \h</w:instrText>
            </w:r>
            <w:r>
              <w:rPr>
                <w:webHidden/>
              </w:rPr>
              <w:fldChar w:fldCharType="separate"/>
            </w:r>
            <w:r>
              <w:rPr>
                <w:rStyle w:val="IndexLink"/>
                <w:vanish w:val="false"/>
              </w:rPr>
              <w:tab/>
              <w:t>43</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30">
            <w:r>
              <w:rPr>
                <w:webHidden/>
                <w:rStyle w:val="IndexLink"/>
              </w:rPr>
              <w:t>4.5.4.1.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programų sąmatų pildymui</w:t>
            </w:r>
            <w:r>
              <w:rPr>
                <w:webHidden/>
              </w:rPr>
              <w:fldChar w:fldCharType="begin"/>
            </w:r>
            <w:r>
              <w:rPr>
                <w:webHidden/>
              </w:rPr>
              <w:instrText xml:space="preserve">PAGEREF _Toc192483630 \h</w:instrText>
            </w:r>
            <w:r>
              <w:rPr>
                <w:webHidden/>
              </w:rPr>
              <w:fldChar w:fldCharType="separate"/>
            </w:r>
            <w:r>
              <w:rPr>
                <w:rStyle w:val="IndexLink"/>
                <w:vanish w:val="false"/>
              </w:rPr>
              <w:tab/>
              <w:t>43</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31">
            <w:r>
              <w:rPr>
                <w:webHidden/>
                <w:rStyle w:val="IndexLink"/>
              </w:rPr>
              <w:t>4.5.4.2.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darbo užmokesčio sąmatų pildymui</w:t>
            </w:r>
            <w:r>
              <w:rPr>
                <w:webHidden/>
              </w:rPr>
              <w:fldChar w:fldCharType="begin"/>
            </w:r>
            <w:r>
              <w:rPr>
                <w:webHidden/>
              </w:rPr>
              <w:instrText xml:space="preserve">PAGEREF _Toc192483631 \h</w:instrText>
            </w:r>
            <w:r>
              <w:rPr>
                <w:webHidden/>
              </w:rPr>
              <w:fldChar w:fldCharType="separate"/>
            </w:r>
            <w:r>
              <w:rPr>
                <w:rStyle w:val="IndexLink"/>
                <w:vanish w:val="false"/>
              </w:rPr>
              <w:tab/>
              <w:t>44</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32">
            <w:r>
              <w:rPr>
                <w:webHidden/>
                <w:rStyle w:val="IndexLink"/>
              </w:rPr>
              <w:t>4.5.4.3.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sąmatų vykdymo ataskaitų pildymui</w:t>
            </w:r>
            <w:r>
              <w:rPr>
                <w:webHidden/>
              </w:rPr>
              <w:fldChar w:fldCharType="begin"/>
            </w:r>
            <w:r>
              <w:rPr>
                <w:webHidden/>
              </w:rPr>
              <w:instrText xml:space="preserve">PAGEREF _Toc192483632 \h</w:instrText>
            </w:r>
            <w:r>
              <w:rPr>
                <w:webHidden/>
              </w:rPr>
              <w:fldChar w:fldCharType="separate"/>
            </w:r>
            <w:r>
              <w:rPr>
                <w:rStyle w:val="IndexLink"/>
                <w:vanish w:val="false"/>
              </w:rPr>
              <w:tab/>
              <w:t>46</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33">
            <w:r>
              <w:rPr>
                <w:webHidden/>
                <w:rStyle w:val="IndexLink"/>
              </w:rPr>
              <w:t>4.5.4.4.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darbo užmokesčio sąmatų vykdymo ataskaitų pildymui</w:t>
            </w:r>
            <w:r>
              <w:rPr>
                <w:webHidden/>
              </w:rPr>
              <w:fldChar w:fldCharType="begin"/>
            </w:r>
            <w:r>
              <w:rPr>
                <w:webHidden/>
              </w:rPr>
              <w:instrText xml:space="preserve">PAGEREF _Toc192483633 \h</w:instrText>
            </w:r>
            <w:r>
              <w:rPr>
                <w:webHidden/>
              </w:rPr>
              <w:fldChar w:fldCharType="separate"/>
            </w:r>
            <w:r>
              <w:rPr>
                <w:rStyle w:val="IndexLink"/>
                <w:vanish w:val="false"/>
              </w:rPr>
              <w:tab/>
              <w:t>47</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34">
            <w:r>
              <w:rPr>
                <w:webHidden/>
                <w:rStyle w:val="IndexLink"/>
              </w:rPr>
              <w:t>4.5.5.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duomenų mainams</w:t>
            </w:r>
            <w:r>
              <w:rPr>
                <w:webHidden/>
              </w:rPr>
              <w:fldChar w:fldCharType="begin"/>
            </w:r>
            <w:r>
              <w:rPr>
                <w:webHidden/>
              </w:rPr>
              <w:instrText xml:space="preserve">PAGEREF _Toc192483634 \h</w:instrText>
            </w:r>
            <w:r>
              <w:rPr>
                <w:webHidden/>
              </w:rPr>
              <w:fldChar w:fldCharType="separate"/>
            </w:r>
            <w:r>
              <w:rPr>
                <w:rStyle w:val="IndexLink"/>
                <w:vanish w:val="false"/>
              </w:rPr>
              <w:tab/>
              <w:t>48</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35">
            <w:r>
              <w:rPr>
                <w:webHidden/>
                <w:rStyle w:val="IndexLink"/>
              </w:rPr>
              <w:t>4.5.6.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ataskaitoms</w:t>
            </w:r>
            <w:r>
              <w:rPr>
                <w:webHidden/>
              </w:rPr>
              <w:fldChar w:fldCharType="begin"/>
            </w:r>
            <w:r>
              <w:rPr>
                <w:webHidden/>
              </w:rPr>
              <w:instrText xml:space="preserve">PAGEREF _Toc192483635 \h</w:instrText>
            </w:r>
            <w:r>
              <w:rPr>
                <w:webHidden/>
              </w:rPr>
              <w:fldChar w:fldCharType="separate"/>
            </w:r>
            <w:r>
              <w:rPr>
                <w:rStyle w:val="IndexLink"/>
                <w:vanish w:val="false"/>
              </w:rPr>
              <w:tab/>
              <w:t>50</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36">
            <w:r>
              <w:rPr>
                <w:webHidden/>
                <w:rStyle w:val="IndexLink"/>
              </w:rPr>
              <w:t>4.5.7.</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administravimui</w:t>
            </w:r>
            <w:r>
              <w:rPr>
                <w:webHidden/>
              </w:rPr>
              <w:fldChar w:fldCharType="begin"/>
            </w:r>
            <w:r>
              <w:rPr>
                <w:webHidden/>
              </w:rPr>
              <w:instrText xml:space="preserve">PAGEREF _Toc192483636 \h</w:instrText>
            </w:r>
            <w:r>
              <w:rPr>
                <w:webHidden/>
              </w:rPr>
              <w:fldChar w:fldCharType="separate"/>
            </w:r>
            <w:r>
              <w:rPr>
                <w:rStyle w:val="IndexLink"/>
                <w:vanish w:val="false"/>
              </w:rPr>
              <w:tab/>
              <w:t>54</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37">
            <w:r>
              <w:rPr>
                <w:webHidden/>
                <w:rStyle w:val="IndexLink"/>
              </w:rPr>
              <w:t>4.5.7.1.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naudotojų ir jų teisių valdymui</w:t>
            </w:r>
            <w:r>
              <w:rPr>
                <w:webHidden/>
              </w:rPr>
              <w:fldChar w:fldCharType="begin"/>
            </w:r>
            <w:r>
              <w:rPr>
                <w:webHidden/>
              </w:rPr>
              <w:instrText xml:space="preserve">PAGEREF _Toc192483637 \h</w:instrText>
            </w:r>
            <w:r>
              <w:rPr>
                <w:webHidden/>
              </w:rPr>
              <w:fldChar w:fldCharType="separate"/>
            </w:r>
            <w:r>
              <w:rPr>
                <w:rStyle w:val="IndexLink"/>
                <w:vanish w:val="false"/>
              </w:rPr>
              <w:tab/>
              <w:t>54</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38">
            <w:r>
              <w:rPr>
                <w:webHidden/>
                <w:rStyle w:val="IndexLink"/>
              </w:rPr>
              <w:t>4.5.7.2.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žinynų tvarkymui</w:t>
            </w:r>
            <w:r>
              <w:rPr>
                <w:webHidden/>
              </w:rPr>
              <w:fldChar w:fldCharType="begin"/>
            </w:r>
            <w:r>
              <w:rPr>
                <w:webHidden/>
              </w:rPr>
              <w:instrText xml:space="preserve">PAGEREF _Toc192483638 \h</w:instrText>
            </w:r>
            <w:r>
              <w:rPr>
                <w:webHidden/>
              </w:rPr>
              <w:fldChar w:fldCharType="separate"/>
            </w:r>
            <w:r>
              <w:rPr>
                <w:rStyle w:val="IndexLink"/>
                <w:vanish w:val="false"/>
              </w:rPr>
              <w:tab/>
              <w:t>58</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39">
            <w:r>
              <w:rPr>
                <w:webHidden/>
                <w:rStyle w:val="IndexLink"/>
                <w:b/>
              </w:rPr>
              <w:t>4.6.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Nefunkciniai reikalavimai</w:t>
            </w:r>
            <w:r>
              <w:rPr>
                <w:webHidden/>
              </w:rPr>
              <w:fldChar w:fldCharType="begin"/>
            </w:r>
            <w:r>
              <w:rPr>
                <w:webHidden/>
              </w:rPr>
              <w:instrText xml:space="preserve">PAGEREF _Toc192483639 \h</w:instrText>
            </w:r>
            <w:r>
              <w:rPr>
                <w:webHidden/>
              </w:rPr>
              <w:fldChar w:fldCharType="separate"/>
            </w:r>
            <w:r>
              <w:rPr>
                <w:rStyle w:val="IndexLink"/>
                <w:vanish w:val="false"/>
              </w:rPr>
              <w:tab/>
              <w:t>59</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40">
            <w:r>
              <w:rPr>
                <w:webHidden/>
                <w:rStyle w:val="IndexLink"/>
              </w:rPr>
              <w:t>4.6.1.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Saugumo ir slaptumo (konfidencialumo) reikalavimai</w:t>
            </w:r>
            <w:r>
              <w:rPr>
                <w:webHidden/>
              </w:rPr>
              <w:fldChar w:fldCharType="begin"/>
            </w:r>
            <w:r>
              <w:rPr>
                <w:webHidden/>
              </w:rPr>
              <w:instrText xml:space="preserve">PAGEREF _Toc192483640 \h</w:instrText>
            </w:r>
            <w:r>
              <w:rPr>
                <w:webHidden/>
              </w:rPr>
              <w:fldChar w:fldCharType="separate"/>
            </w:r>
            <w:r>
              <w:rPr>
                <w:rStyle w:val="IndexLink"/>
                <w:vanish w:val="false"/>
              </w:rPr>
              <w:tab/>
              <w:t>59</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41">
            <w:r>
              <w:rPr>
                <w:webHidden/>
                <w:rStyle w:val="IndexLink"/>
              </w:rPr>
              <w:t>4.6.2.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Ergonominiai reikalavimai</w:t>
            </w:r>
            <w:r>
              <w:rPr>
                <w:webHidden/>
              </w:rPr>
              <w:fldChar w:fldCharType="begin"/>
            </w:r>
            <w:r>
              <w:rPr>
                <w:webHidden/>
              </w:rPr>
              <w:instrText xml:space="preserve">PAGEREF _Toc192483641 \h</w:instrText>
            </w:r>
            <w:r>
              <w:rPr>
                <w:webHidden/>
              </w:rPr>
              <w:fldChar w:fldCharType="separate"/>
            </w:r>
            <w:r>
              <w:rPr>
                <w:rStyle w:val="IndexLink"/>
                <w:vanish w:val="false"/>
              </w:rPr>
              <w:tab/>
              <w:t>61</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42">
            <w:r>
              <w:rPr>
                <w:webHidden/>
                <w:rStyle w:val="IndexLink"/>
              </w:rPr>
              <w:t>4.6.3.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Atitikimo tarptautiniams ir geros praktikos standartams reikalavimai</w:t>
            </w:r>
            <w:r>
              <w:rPr>
                <w:webHidden/>
              </w:rPr>
              <w:fldChar w:fldCharType="begin"/>
            </w:r>
            <w:r>
              <w:rPr>
                <w:webHidden/>
              </w:rPr>
              <w:instrText xml:space="preserve">PAGEREF _Toc192483642 \h</w:instrText>
            </w:r>
            <w:r>
              <w:rPr>
                <w:webHidden/>
              </w:rPr>
              <w:fldChar w:fldCharType="separate"/>
            </w:r>
            <w:r>
              <w:rPr>
                <w:rStyle w:val="IndexLink"/>
                <w:vanish w:val="false"/>
              </w:rPr>
              <w:tab/>
              <w:t>63</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43">
            <w:r>
              <w:rPr>
                <w:webHidden/>
                <w:rStyle w:val="IndexLink"/>
              </w:rPr>
              <w:t>4.6.4.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techninėms priemonėms, veikimo charakteristikoms, papildomai programinei įrangai, realizavimo technologijoms</w:t>
            </w:r>
            <w:r>
              <w:rPr>
                <w:webHidden/>
              </w:rPr>
              <w:fldChar w:fldCharType="begin"/>
            </w:r>
            <w:r>
              <w:rPr>
                <w:webHidden/>
              </w:rPr>
              <w:instrText xml:space="preserve">PAGEREF _Toc192483643 \h</w:instrText>
            </w:r>
            <w:r>
              <w:rPr>
                <w:webHidden/>
              </w:rPr>
              <w:fldChar w:fldCharType="separate"/>
            </w:r>
            <w:r>
              <w:rPr>
                <w:rStyle w:val="IndexLink"/>
                <w:vanish w:val="false"/>
              </w:rPr>
              <w:tab/>
              <w:t>65</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44">
            <w:r>
              <w:rPr>
                <w:webHidden/>
                <w:rStyle w:val="IndexLink"/>
              </w:rPr>
              <w:t>4.6.5.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licencinei programinei įrangai</w:t>
            </w:r>
            <w:r>
              <w:rPr>
                <w:webHidden/>
              </w:rPr>
              <w:fldChar w:fldCharType="begin"/>
            </w:r>
            <w:r>
              <w:rPr>
                <w:webHidden/>
              </w:rPr>
              <w:instrText xml:space="preserve">PAGEREF _Toc192483644 \h</w:instrText>
            </w:r>
            <w:r>
              <w:rPr>
                <w:webHidden/>
              </w:rPr>
              <w:fldChar w:fldCharType="separate"/>
            </w:r>
            <w:r>
              <w:rPr>
                <w:rStyle w:val="IndexLink"/>
                <w:vanish w:val="false"/>
              </w:rPr>
              <w:tab/>
              <w:t>67</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45">
            <w:r>
              <w:rPr>
                <w:webHidden/>
                <w:rStyle w:val="IndexLink"/>
              </w:rPr>
              <w:t>4.6.6.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techninei dokumentacijai</w:t>
            </w:r>
            <w:r>
              <w:rPr>
                <w:webHidden/>
              </w:rPr>
              <w:fldChar w:fldCharType="begin"/>
            </w:r>
            <w:r>
              <w:rPr>
                <w:webHidden/>
              </w:rPr>
              <w:instrText xml:space="preserve">PAGEREF _Toc192483645 \h</w:instrText>
            </w:r>
            <w:r>
              <w:rPr>
                <w:webHidden/>
              </w:rPr>
              <w:fldChar w:fldCharType="separate"/>
            </w:r>
            <w:r>
              <w:rPr>
                <w:rStyle w:val="IndexLink"/>
                <w:vanish w:val="false"/>
              </w:rPr>
              <w:tab/>
              <w:t>67</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46">
            <w:r>
              <w:rPr>
                <w:webHidden/>
                <w:rStyle w:val="IndexLink"/>
              </w:rPr>
              <w:t>4.6.7.</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naudotojų mokymams</w:t>
            </w:r>
            <w:r>
              <w:rPr>
                <w:webHidden/>
              </w:rPr>
              <w:fldChar w:fldCharType="begin"/>
            </w:r>
            <w:r>
              <w:rPr>
                <w:webHidden/>
              </w:rPr>
              <w:instrText xml:space="preserve">PAGEREF _Toc192483646 \h</w:instrText>
            </w:r>
            <w:r>
              <w:rPr>
                <w:webHidden/>
              </w:rPr>
              <w:fldChar w:fldCharType="separate"/>
            </w:r>
            <w:r>
              <w:rPr>
                <w:rStyle w:val="IndexLink"/>
                <w:vanish w:val="false"/>
              </w:rPr>
              <w:tab/>
              <w:t>70</w:t>
            </w:r>
            <w:r>
              <w:rPr>
                <w:webHidden/>
              </w:rPr>
              <w:fldChar w:fldCharType="end"/>
            </w:r>
          </w:hyperlink>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hyperlink w:anchor="_Toc192483647">
            <w:r>
              <w:rPr>
                <w:webHidden/>
                <w:rStyle w:val="IndexLink"/>
                <w:b/>
                <w:bCs/>
              </w:rPr>
              <w:t>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bCs/>
              </w:rPr>
              <w:t>Teisinės ir organizacinės sąlygos</w:t>
            </w:r>
            <w:r>
              <w:rPr>
                <w:webHidden/>
              </w:rPr>
              <w:fldChar w:fldCharType="begin"/>
            </w:r>
            <w:r>
              <w:rPr>
                <w:webHidden/>
              </w:rPr>
              <w:instrText xml:space="preserve">PAGEREF _Toc192483647 \h</w:instrText>
            </w:r>
            <w:r>
              <w:rPr>
                <w:webHidden/>
              </w:rPr>
              <w:fldChar w:fldCharType="separate"/>
            </w:r>
            <w:r>
              <w:rPr>
                <w:rStyle w:val="IndexLink"/>
                <w:vanish w:val="false"/>
              </w:rPr>
              <w:tab/>
              <w:t>72</w:t>
            </w:r>
            <w:r>
              <w:rPr>
                <w:webHidden/>
              </w:rPr>
              <w:fldChar w:fldCharType="end"/>
            </w:r>
          </w:hyperlink>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hyperlink w:anchor="_Toc192483648">
            <w:r>
              <w:rPr>
                <w:webHidden/>
                <w:rStyle w:val="IndexLink"/>
                <w:b/>
              </w:rPr>
              <w:t>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IT sprendimo kūrimo (tobulinimo) valdymas</w:t>
            </w:r>
            <w:r>
              <w:rPr>
                <w:webHidden/>
              </w:rPr>
              <w:fldChar w:fldCharType="begin"/>
            </w:r>
            <w:r>
              <w:rPr>
                <w:webHidden/>
              </w:rPr>
              <w:instrText xml:space="preserve">PAGEREF _Toc192483648 \h</w:instrText>
            </w:r>
            <w:r>
              <w:rPr>
                <w:webHidden/>
              </w:rPr>
              <w:fldChar w:fldCharType="separate"/>
            </w:r>
            <w:r>
              <w:rPr>
                <w:rStyle w:val="IndexLink"/>
                <w:vanish w:val="false"/>
              </w:rPr>
              <w:tab/>
              <w:t>76</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49">
            <w:r>
              <w:rPr>
                <w:webHidden/>
                <w:rStyle w:val="IndexLink"/>
                <w:b/>
              </w:rPr>
              <w:t>6.1.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IT sprendimo kūrimo (tobulinimo) vykdymo tvarka</w:t>
            </w:r>
            <w:r>
              <w:rPr>
                <w:webHidden/>
              </w:rPr>
              <w:fldChar w:fldCharType="begin"/>
            </w:r>
            <w:r>
              <w:rPr>
                <w:webHidden/>
              </w:rPr>
              <w:instrText xml:space="preserve">PAGEREF _Toc192483649 \h</w:instrText>
            </w:r>
            <w:r>
              <w:rPr>
                <w:webHidden/>
              </w:rPr>
              <w:fldChar w:fldCharType="separate"/>
            </w:r>
            <w:r>
              <w:rPr>
                <w:rStyle w:val="IndexLink"/>
                <w:vanish w:val="false"/>
              </w:rPr>
              <w:tab/>
              <w:t>76</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50">
            <w:r>
              <w:rPr>
                <w:webHidden/>
                <w:rStyle w:val="IndexLink"/>
                <w:b/>
              </w:rPr>
              <w:t>6.2.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Pasirinktas kūrimo (tobulinimo) būdas</w:t>
            </w:r>
            <w:r>
              <w:rPr>
                <w:webHidden/>
              </w:rPr>
              <w:fldChar w:fldCharType="begin"/>
            </w:r>
            <w:r>
              <w:rPr>
                <w:webHidden/>
              </w:rPr>
              <w:instrText xml:space="preserve">PAGEREF _Toc192483650 \h</w:instrText>
            </w:r>
            <w:r>
              <w:rPr>
                <w:webHidden/>
              </w:rPr>
              <w:fldChar w:fldCharType="separate"/>
            </w:r>
            <w:r>
              <w:rPr>
                <w:rStyle w:val="IndexLink"/>
                <w:vanish w:val="false"/>
              </w:rPr>
              <w:tab/>
              <w:t>78</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51">
            <w:r>
              <w:rPr>
                <w:webHidden/>
                <w:rStyle w:val="IndexLink"/>
                <w:b/>
              </w:rPr>
              <w:t>6.3.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Finansavimo šaltiniai ir finansavimo tvarka</w:t>
            </w:r>
            <w:r>
              <w:rPr>
                <w:webHidden/>
              </w:rPr>
              <w:fldChar w:fldCharType="begin"/>
            </w:r>
            <w:r>
              <w:rPr>
                <w:webHidden/>
              </w:rPr>
              <w:instrText xml:space="preserve">PAGEREF _Toc192483651 \h</w:instrText>
            </w:r>
            <w:r>
              <w:rPr>
                <w:webHidden/>
              </w:rPr>
              <w:fldChar w:fldCharType="separate"/>
            </w:r>
            <w:r>
              <w:rPr>
                <w:rStyle w:val="IndexLink"/>
                <w:vanish w:val="false"/>
              </w:rPr>
              <w:tab/>
              <w:t>78</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52">
            <w:r>
              <w:rPr>
                <w:webHidden/>
                <w:rStyle w:val="IndexLink"/>
                <w:b/>
              </w:rPr>
              <w:t>6.4.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Darbų grafikai</w:t>
            </w:r>
            <w:r>
              <w:rPr>
                <w:webHidden/>
              </w:rPr>
              <w:fldChar w:fldCharType="begin"/>
            </w:r>
            <w:r>
              <w:rPr>
                <w:webHidden/>
              </w:rPr>
              <w:instrText xml:space="preserve">PAGEREF _Toc192483652 \h</w:instrText>
            </w:r>
            <w:r>
              <w:rPr>
                <w:webHidden/>
              </w:rPr>
              <w:fldChar w:fldCharType="separate"/>
            </w:r>
            <w:r>
              <w:rPr>
                <w:rStyle w:val="IndexLink"/>
                <w:vanish w:val="false"/>
              </w:rPr>
              <w:tab/>
              <w:t>79</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53">
            <w:r>
              <w:rPr>
                <w:webHidden/>
                <w:rStyle w:val="IndexLink"/>
                <w:b/>
              </w:rPr>
              <w:t>6.5.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Atitikimo veiklos ir realizavimo reikalavimams vertinimas (testavimas)</w:t>
            </w:r>
            <w:r>
              <w:rPr>
                <w:webHidden/>
              </w:rPr>
              <w:fldChar w:fldCharType="begin"/>
            </w:r>
            <w:r>
              <w:rPr>
                <w:webHidden/>
              </w:rPr>
              <w:instrText xml:space="preserve">PAGEREF _Toc192483653 \h</w:instrText>
            </w:r>
            <w:r>
              <w:rPr>
                <w:webHidden/>
              </w:rPr>
              <w:fldChar w:fldCharType="separate"/>
            </w:r>
            <w:r>
              <w:rPr>
                <w:rStyle w:val="IndexLink"/>
                <w:vanish w:val="false"/>
              </w:rPr>
              <w:tab/>
              <w:t>81</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2483654">
            <w:r>
              <w:rPr>
                <w:webHidden/>
                <w:rStyle w:val="IndexLink"/>
                <w:b/>
              </w:rPr>
              <w:t>6.6.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Diegimas ir tinkamumo naudoti įvertinimas</w:t>
            </w:r>
            <w:r>
              <w:rPr>
                <w:webHidden/>
              </w:rPr>
              <w:fldChar w:fldCharType="begin"/>
            </w:r>
            <w:r>
              <w:rPr>
                <w:webHidden/>
              </w:rPr>
              <w:instrText xml:space="preserve">PAGEREF _Toc192483654 \h</w:instrText>
            </w:r>
            <w:r>
              <w:rPr>
                <w:webHidden/>
              </w:rPr>
              <w:fldChar w:fldCharType="separate"/>
            </w:r>
            <w:r>
              <w:rPr>
                <w:rStyle w:val="IndexLink"/>
                <w:vanish w:val="false"/>
              </w:rPr>
              <w:tab/>
              <w:t>82</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55">
            <w:r>
              <w:rPr>
                <w:webHidden/>
                <w:rStyle w:val="IndexLink"/>
              </w:rPr>
              <w:t>6.6.1.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diegimui</w:t>
            </w:r>
            <w:r>
              <w:rPr>
                <w:webHidden/>
              </w:rPr>
              <w:fldChar w:fldCharType="begin"/>
            </w:r>
            <w:r>
              <w:rPr>
                <w:webHidden/>
              </w:rPr>
              <w:instrText xml:space="preserve">PAGEREF _Toc192483655 \h</w:instrText>
            </w:r>
            <w:r>
              <w:rPr>
                <w:webHidden/>
              </w:rPr>
              <w:fldChar w:fldCharType="separate"/>
            </w:r>
            <w:r>
              <w:rPr>
                <w:rStyle w:val="IndexLink"/>
                <w:vanish w:val="false"/>
              </w:rPr>
              <w:tab/>
              <w:t>82</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56">
            <w:r>
              <w:rPr>
                <w:webHidden/>
                <w:rStyle w:val="IndexLink"/>
              </w:rPr>
              <w:t>6.6.2.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bandomajai eksploatacijai</w:t>
            </w:r>
            <w:r>
              <w:rPr>
                <w:webHidden/>
              </w:rPr>
              <w:fldChar w:fldCharType="begin"/>
            </w:r>
            <w:r>
              <w:rPr>
                <w:webHidden/>
              </w:rPr>
              <w:instrText xml:space="preserve">PAGEREF _Toc192483656 \h</w:instrText>
            </w:r>
            <w:r>
              <w:rPr>
                <w:webHidden/>
              </w:rPr>
              <w:fldChar w:fldCharType="separate"/>
            </w:r>
            <w:r>
              <w:rPr>
                <w:rStyle w:val="IndexLink"/>
                <w:vanish w:val="false"/>
              </w:rPr>
              <w:tab/>
              <w:t>83</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2483657">
            <w:r>
              <w:rPr>
                <w:webHidden/>
                <w:rStyle w:val="IndexLink"/>
              </w:rPr>
              <w:t>6.6.3.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garantinei priežiūrai ir palaikymui</w:t>
            </w:r>
            <w:r>
              <w:rPr>
                <w:webHidden/>
              </w:rPr>
              <w:fldChar w:fldCharType="begin"/>
            </w:r>
            <w:r>
              <w:rPr>
                <w:webHidden/>
              </w:rPr>
              <w:instrText xml:space="preserve">PAGEREF _Toc192483657 \h</w:instrText>
            </w:r>
            <w:r>
              <w:rPr>
                <w:webHidden/>
              </w:rPr>
              <w:fldChar w:fldCharType="separate"/>
            </w:r>
            <w:r>
              <w:rPr>
                <w:rStyle w:val="IndexLink"/>
                <w:vanish w:val="false"/>
              </w:rPr>
              <w:tab/>
              <w:t>84</w:t>
            </w:r>
            <w:r>
              <w:rPr>
                <w:webHidden/>
              </w:rPr>
              <w:fldChar w:fldCharType="end"/>
            </w:r>
          </w:hyperlink>
        </w:p>
        <w:p>
          <w:pPr>
            <w:pStyle w:val="Normal"/>
            <w:rPr/>
          </w:pPr>
          <w:r>
            <w:rPr/>
          </w:r>
          <w:r>
            <w:rPr/>
            <w:fldChar w:fldCharType="end"/>
          </w:r>
        </w:p>
        <w:p>
          <w:pPr>
            <w:sectPr>
              <w:type w:val="nextPage"/>
              <w:pgSz w:w="12240" w:h="15840"/>
              <w:pgMar w:left="1555" w:right="1555" w:gutter="0" w:header="0" w:top="2520" w:footer="0" w:bottom="1800"/>
              <w:pgNumType w:start="0" w:fmt="decimal"/>
              <w:formProt w:val="false"/>
              <w:titlePg/>
              <w:textDirection w:val="lrTb"/>
              <w:docGrid w:type="default" w:linePitch="360" w:charSpace="0"/>
            </w:sectPr>
          </w:pPr>
        </w:p>
      </w:sdtContent>
    </w:sdt>
    <w:p>
      <w:pPr>
        <w:pStyle w:val="Heading1"/>
        <w:numPr>
          <w:ilvl w:val="0"/>
          <w:numId w:val="34"/>
        </w:numPr>
        <w:rPr>
          <w:b/>
          <w:bCs/>
        </w:rPr>
      </w:pPr>
      <w:bookmarkStart w:id="0" w:name="_Toc192483601"/>
      <w:r>
        <w:rPr>
          <w:b/>
          <w:bCs/>
        </w:rPr>
        <w:t>Sąvokos ir sutrumpinimai</w:t>
      </w:r>
      <w:bookmarkEnd w:id="0"/>
    </w:p>
    <w:p>
      <w:pPr>
        <w:pStyle w:val="Normal"/>
        <w:spacing w:before="40" w:after="0"/>
        <w:rPr>
          <w:rFonts w:cs="Times New Roman"/>
          <w:i/>
          <w:i/>
          <w:szCs w:val="24"/>
          <w:lang w:eastAsia="lt-LT"/>
        </w:rPr>
      </w:pPr>
      <w:r>
        <w:rPr>
          <w:rFonts w:cs="Times New Roman"/>
          <w:i/>
          <w:szCs w:val="24"/>
          <w:lang w:eastAsia="lt-LT"/>
        </w:rPr>
        <w:fldChar w:fldCharType="begin"/>
      </w:r>
      <w:r>
        <w:rPr>
          <w:i/>
          <w:szCs w:val="24"/>
          <w:rFonts w:cs="Times New Roman"/>
          <w:lang w:eastAsia="lt-LT"/>
        </w:rPr>
        <w:instrText xml:space="preserve"> SEQ Lentelė \* ARABIC </w:instrText>
      </w:r>
      <w:r>
        <w:rPr>
          <w:i/>
          <w:szCs w:val="24"/>
          <w:rFonts w:cs="Times New Roman"/>
          <w:lang w:eastAsia="lt-LT"/>
        </w:rPr>
        <w:fldChar w:fldCharType="separate"/>
      </w:r>
      <w:r>
        <w:rPr>
          <w:i/>
          <w:szCs w:val="24"/>
          <w:rFonts w:cs="Times New Roman"/>
          <w:lang w:eastAsia="lt-LT"/>
        </w:rPr>
        <w:t>1</w:t>
      </w:r>
      <w:r>
        <w:rPr>
          <w:i/>
          <w:szCs w:val="24"/>
          <w:rFonts w:cs="Times New Roman"/>
          <w:lang w:eastAsia="lt-LT"/>
        </w:rPr>
        <w:fldChar w:fldCharType="end"/>
      </w:r>
      <w:r>
        <w:rPr>
          <w:rFonts w:cs="Times New Roman"/>
          <w:i/>
          <w:szCs w:val="24"/>
          <w:lang w:eastAsia="lt-LT"/>
        </w:rPr>
        <w:t xml:space="preserve"> </w:t>
      </w:r>
      <w:r>
        <w:rPr>
          <w:rFonts w:cs="Times New Roman"/>
          <w:i/>
          <w:szCs w:val="24"/>
          <w:lang w:eastAsia="lt-LT"/>
        </w:rPr>
        <w:t>lentelė. Sąvokų paaiškinimai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399"/>
        <w:gridCol w:w="9660"/>
      </w:tblGrid>
      <w:tr>
        <w:trPr>
          <w:tblHeader w:val="true"/>
        </w:trPr>
        <w:tc>
          <w:tcPr>
            <w:tcW w:w="239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rFonts w:cs="Times New Roman"/>
                <w:b/>
                <w:bCs/>
              </w:rPr>
            </w:pPr>
            <w:r>
              <w:rPr>
                <w:rFonts w:cs="Times New Roman"/>
                <w:b/>
                <w:bCs/>
              </w:rPr>
              <w:t>Sąvoka / sutrumpinimas</w:t>
            </w:r>
          </w:p>
        </w:tc>
        <w:tc>
          <w:tcPr>
            <w:tcW w:w="9660"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rFonts w:cs="Times New Roman"/>
                <w:b/>
                <w:bCs/>
              </w:rPr>
            </w:pPr>
            <w:r>
              <w:rPr>
                <w:rFonts w:cs="Times New Roman"/>
                <w:b/>
                <w:bCs/>
              </w:rPr>
              <w:t>Paaiškinimas</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t>BPMN</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t xml:space="preserve">Veiklos procesų modeliavimo notacija (angl. </w:t>
            </w:r>
            <w:r>
              <w:rPr>
                <w:i/>
              </w:rPr>
              <w:t>Business Process Model and Notation</w:t>
            </w:r>
            <w:r>
              <w:rPr/>
              <w:t>)</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DU</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Darbo užmokestis</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HI</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Higienos institutas</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IS</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Informacinė sistema</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IT sprendimas</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Visuomenės sveikatos stiprinimo paslaugų valdymo tobulinimo poreikiams gerinti informacinių technologijų sprendimas</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Perkančioji organizacija</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Higienos institutas</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PPK</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Projekto priežiūros komisija</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SAM</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Sveikatos apsaugos ministerija</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Sistema</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Visuomenės sveikatos stiprinimo paslaugų valdymo tobulinimo poreikiams gerinti informacinių technologijų sprendimas</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UML</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 xml:space="preserve">Unifikuota modeliavimo kalba (angl. </w:t>
            </w:r>
            <w:r>
              <w:rPr>
                <w:rFonts w:cs="Times New Roman"/>
                <w:i/>
              </w:rPr>
              <w:t>Unified Modeling Language</w:t>
            </w:r>
            <w:r>
              <w:rPr>
                <w:rFonts w:cs="Times New Roman"/>
              </w:rPr>
              <w:t>)</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bCs/>
              </w:rPr>
            </w:pPr>
            <w:r>
              <w:rPr>
                <w:rFonts w:cs="Times New Roman"/>
                <w:bCs/>
              </w:rPr>
              <w:t>VIISP</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bCs/>
              </w:rPr>
            </w:pPr>
            <w:r>
              <w:rPr>
                <w:rFonts w:cs="Times New Roman"/>
                <w:bCs/>
              </w:rPr>
              <w:t>Valstybės informacinių išteklių sąveikumo platforma</w:t>
            </w:r>
          </w:p>
        </w:tc>
      </w:tr>
      <w:tr>
        <w:trPr>
          <w:trHeight w:val="300" w:hRule="atLeast"/>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VSSA</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Valstybinė skaitmeninių sprendimų agentūra</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VSB</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Visuomenės sveikatos biuras</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VSD</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Valstybinis socialinis draudimas</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Paslauga</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Visuomenės sveikatos priežiūros paslauga, finansuojama valstybės biudžeto specialiosios tikslinės dotacijos lėšomis.</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Kita (papildoma) paslauga</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Kita visuomenės sveikatos priežiūros paslauga, nepriskirta Bazinių visuomenės sveikatos priežiūros paslaugų kategorijai, finansuojama valstybės biudžeto specialiosios tikslinės dotacijos lėšomis.</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Sritis</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 xml:space="preserve">Stambi paslaugų grupė pagal tam tikrą temą (psichikos sveikatos stiprinimas, sveikos gyvensenos įgūdžių ugdymo įstaigose formavimas ir stiprinimas, visuomenės sveikatos stiprinimas ir stebėsena) </w:t>
            </w:r>
          </w:p>
        </w:tc>
      </w:tr>
      <w:tr>
        <w:trPr/>
        <w:tc>
          <w:tcPr>
            <w:tcW w:w="2399"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SRDI</w:t>
            </w:r>
          </w:p>
        </w:tc>
        <w:tc>
          <w:tcPr>
            <w:tcW w:w="9660"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szCs w:val="24"/>
              </w:rPr>
              <w:t>Stebėsenos rodiklio detalizuojanti informacija</w:t>
            </w:r>
          </w:p>
        </w:tc>
      </w:tr>
    </w:tbl>
    <w:p>
      <w:pPr>
        <w:pStyle w:val="Normal"/>
        <w:rPr/>
      </w:pPr>
      <w:r>
        <w:rPr/>
      </w:r>
    </w:p>
    <w:p>
      <w:pPr>
        <w:pStyle w:val="Normal"/>
        <w:rPr/>
      </w:pPr>
      <w:r>
        <w:rPr/>
        <w:t>Kitos sąvokos ir santrumpos yra suprantamos taip, kaip jos apibrėžtos teisės aktuose, nurodytuose šio techninio aprašymo (specifikacijos) 5 (penktame) skyriuje.</w:t>
      </w:r>
    </w:p>
    <w:p>
      <w:pPr>
        <w:pStyle w:val="Heading1"/>
        <w:numPr>
          <w:ilvl w:val="0"/>
          <w:numId w:val="34"/>
        </w:numPr>
        <w:rPr>
          <w:b/>
          <w:bCs/>
        </w:rPr>
      </w:pPr>
      <w:bookmarkStart w:id="1" w:name="_Toc192483602"/>
      <w:r>
        <w:rPr>
          <w:b/>
          <w:bCs/>
        </w:rPr>
        <w:t>Įvadas</w:t>
      </w:r>
      <w:bookmarkEnd w:id="1"/>
    </w:p>
    <w:p>
      <w:pPr>
        <w:pStyle w:val="Normal"/>
        <w:shd w:val="clear" w:color="auto" w:fill="FFFFFF" w:themeFill="background1"/>
        <w:spacing w:before="0" w:after="0"/>
        <w:ind w:firstLine="851"/>
        <w:jc w:val="both"/>
        <w:rPr>
          <w:rFonts w:eastAsia="Times New Roman" w:cs="Times New Roman"/>
          <w:szCs w:val="24"/>
          <w:lang w:val="lt-LT"/>
        </w:rPr>
      </w:pPr>
      <w:r>
        <w:rPr>
          <w:rFonts w:eastAsia="Times New Roman" w:cs="Times New Roman"/>
          <w:szCs w:val="24"/>
          <w:lang w:val="lt-LT"/>
        </w:rPr>
        <w:t xml:space="preserve">IT sprendimo steigimo teisinis pagrindas – Higienos instituto nuostatų, patvirtintų Lietuvos Respublikos sveikatos apsaugos ministro 2012 m. gruodžio 11 d. įsakymu Nr. V-1142 „Dėl Higienos instituto nuostatų patvirtinimo“, 11.2 papunktis. </w:t>
      </w:r>
      <w:r>
        <w:rPr>
          <w:rFonts w:eastAsia="Times New Roman" w:cs="Times New Roman"/>
          <w:color w:themeColor="text1" w:val="000000"/>
          <w:szCs w:val="24"/>
          <w:lang w:val="lt-LT"/>
        </w:rPr>
        <w:t>IT sprendimo tikslas – informacinių technologijų priemonėmis surinkti, apdoroti ir analizuoti bazinių ir kitų visuomenės sveikatos priežiūros paslaugų, planuojamų ir įgyvendintų vykdant visuomenės sveikatos stiprinimo ir visuomenės sveikatos stebėsenos bei savivaldybių teritorijose esančių ikimokyklinio ugdymo, bendrojo ugdymo mokyklose ir profesinio mokymo įstaigose pagal ikimokyklinio, priešmokyklinio, pradinio, pagrindinio ir vidurinio ugdymo programas ugdomų mokinių visuomenės sveikatos priežiūros funkcijas, finansuojamas iš Valstybės biudžeto specialios tikslinės dotacijos, skiriamos savivaldybių biudžetams Lietuvos Respublikos sveikatos apsaugos ministerijos kuruojamoms valstybinėms (valstybės perduotoms savivaldybėms) visuomenės sveikatos priežiūros funkcijoms vykdyti), galimą poveikį sveikatai, paslaugos kokybei, kaštams.</w:t>
      </w:r>
      <w:r>
        <w:rPr>
          <w:rFonts w:cs="Times New Roman"/>
        </w:rPr>
        <w:t xml:space="preserve"> </w:t>
      </w:r>
    </w:p>
    <w:p>
      <w:pPr>
        <w:pStyle w:val="Normal"/>
        <w:shd w:val="clear" w:color="auto" w:fill="FFFFFF" w:themeFill="background1"/>
        <w:spacing w:before="0" w:after="0"/>
        <w:ind w:firstLine="851"/>
        <w:jc w:val="both"/>
        <w:rPr>
          <w:rFonts w:eastAsia="Times New Roman" w:cs="Times New Roman"/>
          <w:szCs w:val="24"/>
          <w:lang w:val="lt-LT"/>
        </w:rPr>
      </w:pPr>
      <w:r>
        <w:rPr>
          <w:rFonts w:cs="Times New Roman"/>
        </w:rPr>
        <w:t xml:space="preserve">IT sprendimo organizacinę struktūrą sudaro </w:t>
      </w:r>
      <w:r>
        <w:rPr>
          <w:rFonts w:eastAsia="Times New Roman" w:cs="Times New Roman"/>
          <w:szCs w:val="24"/>
          <w:lang w:val="lt-LT"/>
        </w:rPr>
        <w:t>IT sprendimo valdytojas, IT sprendimo duomenų valdytojas, IT sprendimo tvarkytojas ir duomenų teikėjai. IT sprendimo valdytojas, duomenų valdytojas ir tvarkytojas yra HI. IT sprendimo duomenų teikėjai yra SAM ir VSB, teikiantys duomenis, nekaupiamus valstybės informacinėse sistemose ir registruose, ir VSSA – teikianti VIISP (valdytoja – Lietuvos Respublikos ekonomikos ir inovacijų ministerija) duomenis.</w:t>
      </w:r>
    </w:p>
    <w:p>
      <w:pPr>
        <w:pStyle w:val="Heading1"/>
        <w:numPr>
          <w:ilvl w:val="0"/>
          <w:numId w:val="34"/>
        </w:numPr>
        <w:rPr>
          <w:b/>
          <w:bCs/>
        </w:rPr>
      </w:pPr>
      <w:bookmarkStart w:id="2" w:name="_Toc192483603"/>
      <w:r>
        <w:rPr>
          <w:b/>
          <w:bCs/>
        </w:rPr>
        <w:t>IT sprendimo kūrimo tikslas ir veiklos procesai</w:t>
      </w:r>
      <w:bookmarkEnd w:id="2"/>
    </w:p>
    <w:p>
      <w:pPr>
        <w:pStyle w:val="Normal"/>
        <w:shd w:val="clear" w:color="auto" w:fill="FFFFFF" w:themeFill="background1"/>
        <w:spacing w:before="0" w:after="0"/>
        <w:ind w:firstLine="851"/>
        <w:jc w:val="both"/>
        <w:rPr>
          <w:rFonts w:eastAsia="Times New Roman" w:cs="Times New Roman"/>
          <w:color w:themeColor="text1" w:val="000000"/>
          <w:szCs w:val="24"/>
          <w:lang w:val="lt-LT"/>
        </w:rPr>
      </w:pPr>
      <w:r>
        <w:rPr>
          <w:b/>
          <w:bCs/>
        </w:rPr>
        <w:t>IT sprendimo kūrimo tikslas</w:t>
      </w:r>
      <w:r>
        <w:rPr/>
        <w:t xml:space="preserve"> – įgyvendinti galimybę </w:t>
      </w:r>
      <w:r>
        <w:rPr>
          <w:rFonts w:eastAsia="Times New Roman" w:cs="Times New Roman"/>
          <w:color w:themeColor="text1" w:val="000000"/>
          <w:szCs w:val="24"/>
          <w:lang w:val="lt-LT"/>
        </w:rPr>
        <w:t xml:space="preserve">informacinių technologijų priemonėmis surinkti, apdoroti ir analizuoti bazinių ir kitų visuomenės sveikatos priežiūros paslaugų, planuojamų ir įgyvendintų vykdant visuomenės sveikatos stiprinimo ir visuomenės sveikatos stebėsenos bei savivaldybių teritorijose esančių ikimokyklinio ugdymo, bendrojo ugdymo mokyklose ir profesinio mokymo įstaigose pagal ikimokyklinio, priešmokyklinio, pradinio, pagrindinio ir vidurinio ugdymo programas ugdomų mokinių visuomenės sveikatos priežiūros funkcijas, finansuojamas iš Valstybės biudžeto specialios tikslinės dotacijos, skiriamos savivaldybių biudžetams Lietuvos Respublikos sveikatos apsaugos ministerijos kuruojamoms valstybinėms (valstybės perduotoms savivaldybėms) visuomenės sveikatos priežiūros funkcijoms vykdyti, galimą poveikį sveikatai, paslaugos kokybei, kaštams, </w:t>
      </w:r>
      <w:r>
        <w:rPr/>
        <w:t>efektyvinti visuomenės sveikatos stiprinimo paslaugų valdymo poreikius, įgyvendinti galimybę VSB ir HI pildyti ir teikti ataskaitas per IT sprendimą.</w:t>
      </w:r>
    </w:p>
    <w:p>
      <w:pPr>
        <w:pStyle w:val="Normal"/>
        <w:rPr>
          <w:szCs w:val="24"/>
        </w:rPr>
      </w:pPr>
      <w:r>
        <w:rPr>
          <w:szCs w:val="24"/>
        </w:rPr>
      </w:r>
    </w:p>
    <w:p>
      <w:pPr>
        <w:pStyle w:val="Normal"/>
        <w:jc w:val="both"/>
        <w:rPr>
          <w:rFonts w:cs="Times New Roman"/>
        </w:rPr>
      </w:pPr>
      <w:r>
        <w:rPr>
          <w:rFonts w:cs="Times New Roman"/>
        </w:rPr>
        <w:t>IT sprendimo procesai apima šias sritis:</w:t>
      </w:r>
    </w:p>
    <w:p>
      <w:pPr>
        <w:pStyle w:val="Normal"/>
        <w:numPr>
          <w:ilvl w:val="0"/>
          <w:numId w:val="33"/>
        </w:numPr>
        <w:spacing w:before="40" w:after="160"/>
        <w:contextualSpacing/>
        <w:jc w:val="both"/>
        <w:rPr>
          <w:rFonts w:cs="Times New Roman"/>
        </w:rPr>
      </w:pPr>
      <w:r>
        <w:rPr>
          <w:rFonts w:cs="Times New Roman"/>
        </w:rPr>
        <w:t>IT sprendimo naudotojų administravimas.</w:t>
      </w:r>
    </w:p>
    <w:p>
      <w:pPr>
        <w:pStyle w:val="Normal"/>
        <w:numPr>
          <w:ilvl w:val="0"/>
          <w:numId w:val="33"/>
        </w:numPr>
        <w:spacing w:before="40" w:after="160"/>
        <w:contextualSpacing/>
        <w:jc w:val="both"/>
        <w:rPr>
          <w:rFonts w:cs="Times New Roman"/>
        </w:rPr>
      </w:pPr>
      <w:r>
        <w:rPr>
          <w:rFonts w:cs="Times New Roman"/>
        </w:rPr>
        <w:t>Bazinių paslaugų registravimas ir vykdymas.</w:t>
      </w:r>
    </w:p>
    <w:p>
      <w:pPr>
        <w:pStyle w:val="Normal"/>
        <w:numPr>
          <w:ilvl w:val="0"/>
          <w:numId w:val="33"/>
        </w:numPr>
        <w:spacing w:before="40" w:after="160"/>
        <w:contextualSpacing/>
        <w:jc w:val="both"/>
        <w:rPr>
          <w:rFonts w:cs="Times New Roman"/>
        </w:rPr>
      </w:pPr>
      <w:r>
        <w:rPr>
          <w:rFonts w:cs="Times New Roman"/>
        </w:rPr>
        <w:t>VSB teikiamų paslaugų registravimas ir valdymas.</w:t>
      </w:r>
    </w:p>
    <w:p>
      <w:pPr>
        <w:pStyle w:val="Normal"/>
        <w:numPr>
          <w:ilvl w:val="0"/>
          <w:numId w:val="33"/>
        </w:numPr>
        <w:spacing w:before="40" w:after="160"/>
        <w:contextualSpacing/>
        <w:jc w:val="both"/>
        <w:rPr>
          <w:rFonts w:cs="Times New Roman"/>
        </w:rPr>
      </w:pPr>
      <w:r>
        <w:rPr>
          <w:rFonts w:cs="Times New Roman"/>
        </w:rPr>
        <w:t>Specialios tikslinės dotacijos planavimas.</w:t>
      </w:r>
    </w:p>
    <w:p>
      <w:pPr>
        <w:pStyle w:val="Normal"/>
        <w:rPr>
          <w:szCs w:val="24"/>
        </w:rPr>
      </w:pPr>
      <w:r>
        <w:rPr>
          <w:szCs w:val="24"/>
        </w:rPr>
      </w:r>
    </w:p>
    <w:p>
      <w:pPr>
        <w:pStyle w:val="Normal"/>
        <w:jc w:val="both"/>
        <w:rPr>
          <w:rFonts w:cs="Times New Roman"/>
        </w:rPr>
      </w:pPr>
      <w:r>
        <w:rPr>
          <w:rFonts w:cs="Times New Roman"/>
        </w:rPr>
        <w:t xml:space="preserve">Toliau pateikiami veiklos procesai, kuriuos siekiama įgyvendinti. Veiklos procesai yra pateikiami veiklos procesų modeliavimo notacijos (angl. </w:t>
      </w:r>
      <w:r>
        <w:rPr>
          <w:rFonts w:cs="Times New Roman"/>
          <w:i/>
        </w:rPr>
        <w:t>Business Process Model and Notation – BPMN</w:t>
      </w:r>
      <w:r>
        <w:rPr>
          <w:rFonts w:cs="Times New Roman"/>
        </w:rPr>
        <w:t>) schemose. Kiekvienas proceso žingsnis yra aprašomas greta schemų pateikiamose lentelėse.</w:t>
      </w:r>
    </w:p>
    <w:p>
      <w:pPr>
        <w:pStyle w:val="Heading3"/>
        <w:numPr>
          <w:ilvl w:val="1"/>
          <w:numId w:val="58"/>
        </w:numPr>
        <w:rPr/>
      </w:pPr>
      <w:bookmarkStart w:id="3" w:name="_Toc192483604"/>
      <w:r>
        <w:rPr/>
        <w:t>Bendras procesas</w:t>
      </w:r>
      <w:bookmarkEnd w:id="3"/>
    </w:p>
    <w:p>
      <w:pPr>
        <w:pStyle w:val="Normal"/>
        <w:rPr/>
      </w:pPr>
      <w:r>
        <w:rPr/>
        <w:object>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455.5pt;height:114.5pt;mso-wrap-distance-right:0pt" filled="f" o:ole="">
            <v:imagedata r:id="rId3" o:title=""/>
          </v:shape>
          <o:OLEObject Type="Embed" ProgID="Visio.Drawing.15" ShapeID="ole_rId2" DrawAspect="Content" ObjectID="_961840687" r:id="rId2"/>
        </w:object>
      </w:r>
    </w:p>
    <w:p>
      <w:pPr>
        <w:pStyle w:val="Normal"/>
        <w:jc w:val="center"/>
        <w:rPr>
          <w:rFonts w:cs="Times New Roman"/>
        </w:rPr>
      </w:pPr>
      <w:r>
        <w:rPr>
          <w:rFonts w:cs="Times New Roman"/>
        </w:rPr>
        <w:fldChar w:fldCharType="begin"/>
      </w:r>
      <w:r>
        <w:rPr>
          <w:rFonts w:cs="Times New Roman"/>
        </w:rPr>
        <w:instrText xml:space="preserve"> SEQ Pav \* ARABIC </w:instrText>
      </w:r>
      <w:r>
        <w:rPr>
          <w:rFonts w:cs="Times New Roman"/>
        </w:rPr>
        <w:fldChar w:fldCharType="separate"/>
      </w:r>
      <w:r>
        <w:rPr>
          <w:rFonts w:cs="Times New Roman"/>
        </w:rPr>
        <w:t>1</w:t>
      </w:r>
      <w:r>
        <w:rPr>
          <w:rFonts w:cs="Times New Roman"/>
        </w:rPr>
        <w:fldChar w:fldCharType="end"/>
      </w:r>
      <w:r>
        <w:rPr>
          <w:rFonts w:cs="Times New Roman"/>
        </w:rPr>
        <w:t xml:space="preserve"> </w:t>
      </w:r>
      <w:r>
        <w:rPr>
          <w:rFonts w:cs="Times New Roman"/>
        </w:rPr>
        <w:t>pav. Bendras procesas.</w:t>
      </w:r>
    </w:p>
    <w:p>
      <w:pPr>
        <w:pStyle w:val="Normal"/>
        <w:rPr>
          <w:rFonts w:cs="Times New Roman"/>
          <w:i/>
          <w:i/>
        </w:rPr>
      </w:pPr>
      <w:r>
        <w:rPr>
          <w:rFonts w:cs="Times New Roman"/>
        </w:rPr>
        <w:fldChar w:fldCharType="begin"/>
      </w:r>
      <w:r>
        <w:rPr>
          <w:rFonts w:cs="Times New Roman"/>
        </w:rPr>
        <w:instrText xml:space="preserve"> SEQ Lentelė \* ARABIC </w:instrText>
      </w:r>
      <w:r>
        <w:rPr>
          <w:rFonts w:cs="Times New Roman"/>
        </w:rPr>
        <w:fldChar w:fldCharType="separate"/>
      </w:r>
      <w:r>
        <w:rPr>
          <w:rFonts w:cs="Times New Roman"/>
        </w:rPr>
        <w:t>2</w:t>
      </w:r>
      <w:r>
        <w:rPr>
          <w:rFonts w:cs="Times New Roman"/>
        </w:rPr>
        <w:fldChar w:fldCharType="end"/>
      </w:r>
      <w:r>
        <w:rPr>
          <w:rFonts w:cs="Times New Roman"/>
          <w:i/>
        </w:rPr>
        <w:t xml:space="preserve"> </w:t>
      </w:r>
      <w:r>
        <w:rPr>
          <w:rFonts w:cs="Times New Roman"/>
          <w:i/>
        </w:rPr>
        <w:t>lentelė. Bendro proceso 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jc w:val="both"/>
              <w:rPr>
                <w:rFonts w:cs="Times New Roman"/>
                <w:b/>
              </w:rPr>
            </w:pPr>
            <w:r>
              <w:rPr>
                <w:rFonts w:eastAsia="Times New Roman"/>
                <w:b/>
                <w:sz w:val="22"/>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jc w:val="both"/>
              <w:rPr>
                <w:rFonts w:cs="Times New Roman"/>
                <w:b/>
              </w:rPr>
            </w:pPr>
            <w:r>
              <w:rPr>
                <w:rFonts w:eastAsia="Times New Roman"/>
                <w:b/>
                <w:sz w:val="22"/>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jc w:val="both"/>
              <w:rPr>
                <w:rFonts w:cs="Times New Roman"/>
                <w:b/>
              </w:rPr>
            </w:pPr>
            <w:r>
              <w:rPr>
                <w:rFonts w:eastAsia="Times New Roman"/>
                <w:b/>
              </w:rPr>
              <w:t>Žingsnio aprašymas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Iš SAM gautas bazinių paslaugų sąrašas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Proceso pradžia, kai SAM pateikia bazinių paslaugų sąrašą.</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S1.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Bazinių paslaugų įvedimas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Įvedamos ir patvirtinamos bazinės paslaugos. Detalesnis proceso aprašymas pateiktas </w:t>
            </w:r>
            <w:r>
              <w:rPr>
                <w:rFonts w:cs="Times New Roman"/>
              </w:rPr>
              <w:fldChar w:fldCharType="begin"/>
            </w:r>
            <w:r>
              <w:rPr>
                <w:rFonts w:cs="Times New Roman"/>
              </w:rPr>
              <w:instrText xml:space="preserve"> REF _Ref178235805 \r \h </w:instrText>
            </w:r>
            <w:r>
              <w:rPr>
                <w:rFonts w:cs="Times New Roman"/>
              </w:rPr>
              <w:fldChar w:fldCharType="separate"/>
            </w:r>
            <w:r>
              <w:rPr>
                <w:rFonts w:cs="Times New Roman"/>
              </w:rPr>
              <w:t>5.2.2</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_Ref178235829 \h </w:instrText>
            </w:r>
            <w:r>
              <w:rPr>
                <w:rFonts w:cs="Times New Roman"/>
              </w:rPr>
              <w:fldChar w:fldCharType="separate"/>
            </w:r>
            <w:r>
              <w:rPr>
                <w:rFonts w:cs="Times New Roman"/>
              </w:rPr>
              <w:t>Bazinių paslaugų įvedimas</w:t>
            </w:r>
            <w:r>
              <w:rPr>
                <w:rFonts w:cs="Times New Roman"/>
              </w:rPr>
              <w:fldChar w:fldCharType="end"/>
            </w:r>
            <w:r>
              <w:rPr>
                <w:rFonts w:cs="Times New Roman"/>
              </w:rPr>
              <w:t xml:space="preserve">. </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VSB atsirado poreikis suteikti kitą (papildomą)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Proceso pradžia, kai VSB siekia suteikti kitą (papildomą) paslaugą, kuri neįtraukta į SAM bazinių paslaugų sąrašą.</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S2.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Papildomų paslaugų įvedimas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Įvedama (prie bazinių paslaugų) ir patvirtinama papildoma paslauga. Detalesnis proceso aprašymas pateiktas </w:t>
            </w:r>
            <w:r>
              <w:rPr>
                <w:rFonts w:cs="Times New Roman"/>
              </w:rPr>
              <w:fldChar w:fldCharType="begin"/>
            </w:r>
            <w:r>
              <w:rPr>
                <w:rFonts w:cs="Times New Roman"/>
              </w:rPr>
              <w:instrText xml:space="preserve"> REF _Ref178235858 \r \h </w:instrText>
            </w:r>
            <w:r>
              <w:rPr>
                <w:rFonts w:cs="Times New Roman"/>
              </w:rPr>
              <w:fldChar w:fldCharType="separate"/>
            </w:r>
            <w:r>
              <w:rPr>
                <w:rFonts w:cs="Times New Roman"/>
              </w:rPr>
              <w:t>5.2.6</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_Ref178235862 \h </w:instrText>
            </w:r>
            <w:r>
              <w:rPr>
                <w:rFonts w:cs="Times New Roman"/>
              </w:rPr>
              <w:fldChar w:fldCharType="separate"/>
            </w:r>
            <w:r>
              <w:rPr>
                <w:rFonts w:cs="Times New Roman"/>
              </w:rPr>
              <w:t>Papildomų paslaugų įvedimas</w:t>
            </w:r>
            <w:r>
              <w:rPr>
                <w:rFonts w:cs="Times New Roman"/>
              </w:rPr>
              <w:fldChar w:fldCharType="end"/>
            </w:r>
            <w:r>
              <w:rPr>
                <w:rFonts w:cs="Times New Roman"/>
              </w:rPr>
              <w:t>.</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S3.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Paslaugos suderinimas ir vykdymas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Sukuriama, suderinama, patvirtinama ir įvykdoma VSB teikiama paslauga. Detalesnis proceso aprašymas pateiktas skyriuje </w:t>
            </w:r>
            <w:r>
              <w:rPr>
                <w:rFonts w:cs="Times New Roman"/>
              </w:rPr>
              <w:fldChar w:fldCharType="begin"/>
            </w:r>
            <w:r>
              <w:rPr>
                <w:rFonts w:cs="Times New Roman"/>
              </w:rPr>
              <w:instrText xml:space="preserve"> REF _Ref178235912 \r \h </w:instrText>
            </w:r>
            <w:r>
              <w:rPr>
                <w:rFonts w:cs="Times New Roman"/>
              </w:rPr>
              <w:fldChar w:fldCharType="separate"/>
            </w:r>
            <w:r>
              <w:rPr>
                <w:rFonts w:cs="Times New Roman"/>
              </w:rPr>
              <w:t>5.2.3</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_Ref178235919 \h </w:instrText>
            </w:r>
            <w:r>
              <w:rPr>
                <w:rFonts w:cs="Times New Roman"/>
              </w:rPr>
              <w:fldChar w:fldCharType="separate"/>
            </w:r>
            <w:r>
              <w:rPr>
                <w:rFonts w:cs="Times New Roman"/>
              </w:rPr>
              <w:t>Paslaugos suderinimas ir vykdymas</w:t>
            </w:r>
            <w:r>
              <w:rPr>
                <w:rFonts w:cs="Times New Roman"/>
              </w:rPr>
              <w:fldChar w:fldCharType="end"/>
            </w:r>
            <w:r>
              <w:rPr>
                <w:rFonts w:cs="Times New Roman"/>
              </w:rPr>
              <w:t>.</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S4.</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Paslaugų įvykdymo ataskaitų pateikimas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Pateikiamos vertinimo kriterijų ir papildomos ataskaitos. Detalesnis proceso aprašymas pateiktas </w:t>
            </w:r>
            <w:r>
              <w:rPr>
                <w:rFonts w:cs="Times New Roman"/>
              </w:rPr>
              <w:fldChar w:fldCharType="begin"/>
            </w:r>
            <w:r>
              <w:rPr>
                <w:rFonts w:cs="Times New Roman"/>
              </w:rPr>
              <w:instrText xml:space="preserve"> REF _Ref178235954 \r \h </w:instrText>
            </w:r>
            <w:r>
              <w:rPr>
                <w:rFonts w:cs="Times New Roman"/>
              </w:rPr>
              <w:fldChar w:fldCharType="separate"/>
            </w:r>
            <w:r>
              <w:rPr>
                <w:rFonts w:cs="Times New Roman"/>
              </w:rPr>
              <w:t>5.2.5</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_Ref178235956 \h </w:instrText>
            </w:r>
            <w:r>
              <w:rPr>
                <w:rFonts w:cs="Times New Roman"/>
              </w:rPr>
              <w:fldChar w:fldCharType="separate"/>
            </w:r>
            <w:r>
              <w:rPr>
                <w:rFonts w:cs="Times New Roman"/>
              </w:rPr>
              <w:t>Paslaugų įvykdymo ataskaitų pateikimas</w:t>
            </w:r>
            <w:r>
              <w:rPr>
                <w:rFonts w:cs="Times New Roman"/>
              </w:rPr>
              <w:fldChar w:fldCharType="end"/>
            </w:r>
            <w:r>
              <w:rPr>
                <w:rFonts w:cs="Times New Roman"/>
              </w:rPr>
              <w:t>.</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E3.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Paslaugų įvykdymo ataskaitos pateiktos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Proceso pabaiga. </w:t>
            </w:r>
          </w:p>
        </w:tc>
      </w:tr>
    </w:tbl>
    <w:p>
      <w:pPr>
        <w:pStyle w:val="Heading3"/>
        <w:numPr>
          <w:ilvl w:val="1"/>
          <w:numId w:val="58"/>
        </w:numPr>
        <w:rPr/>
      </w:pPr>
      <w:bookmarkStart w:id="4" w:name="_Toc192483605"/>
      <w:bookmarkStart w:id="5" w:name="_Ref178235829"/>
      <w:bookmarkStart w:id="6" w:name="_Ref178235805"/>
      <w:r>
        <w:rPr/>
        <w:t>Bazinių paslaugų įvedimas</w:t>
      </w:r>
      <w:bookmarkEnd w:id="4"/>
      <w:bookmarkEnd w:id="5"/>
      <w:bookmarkEnd w:id="6"/>
    </w:p>
    <w:p>
      <w:pPr>
        <w:pStyle w:val="Normal"/>
        <w:rPr/>
      </w:pPr>
      <w:r>
        <w:rPr/>
        <w:object>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602.5pt;height:177.5pt;mso-wrap-distance-right:0pt" filled="f" o:ole="">
            <v:imagedata r:id="rId5" o:title=""/>
          </v:shape>
          <o:OLEObject Type="Embed" ProgID="Visio.Drawing.15" ShapeID="ole_rId4" DrawAspect="Content" ObjectID="_543860177" r:id="rId4"/>
        </w:object>
      </w:r>
    </w:p>
    <w:p>
      <w:pPr>
        <w:pStyle w:val="Normal"/>
        <w:rPr/>
      </w:pPr>
      <w:r>
        <w:rPr/>
        <w:fldChar w:fldCharType="begin"/>
      </w:r>
      <w:r>
        <w:rPr/>
        <w:instrText xml:space="preserve"> SEQ Pav \* ARABIC </w:instrText>
      </w:r>
      <w:r>
        <w:rPr/>
        <w:fldChar w:fldCharType="separate"/>
      </w:r>
      <w:r>
        <w:rPr/>
        <w:t>2</w:t>
      </w:r>
      <w:r>
        <w:rPr/>
        <w:fldChar w:fldCharType="end"/>
      </w:r>
      <w:r>
        <w:rPr/>
        <w:t xml:space="preserve"> </w:t>
      </w:r>
      <w:r>
        <w:rPr/>
        <w:t>pav. Bazinių paslaugų įvedimas.</w:t>
      </w:r>
    </w:p>
    <w:p>
      <w:pPr>
        <w:pStyle w:val="Normal"/>
        <w:rPr>
          <w:i/>
          <w:i/>
        </w:rPr>
      </w:pPr>
      <w:r>
        <w:rPr/>
        <w:fldChar w:fldCharType="begin"/>
      </w:r>
      <w:r>
        <w:rPr/>
        <w:instrText xml:space="preserve"> SEQ Lentelė \* ARABIC </w:instrText>
      </w:r>
      <w:r>
        <w:rPr/>
        <w:fldChar w:fldCharType="separate"/>
      </w:r>
      <w:r>
        <w:rPr/>
        <w:t>3</w:t>
      </w:r>
      <w:r>
        <w:rPr/>
        <w:fldChar w:fldCharType="end"/>
      </w:r>
      <w:r>
        <w:rPr>
          <w:i/>
        </w:rPr>
        <w:t xml:space="preserve"> </w:t>
      </w:r>
      <w:r>
        <w:rPr>
          <w:i/>
        </w:rPr>
        <w:t>lentelė. Bazinių paslaugų įvedimo 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Iš SAM gautas bazinių paslaugų sąrašas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SAM paskelbia bazinių paslaugų sąrašą ne IT sprendimo priemonėmis.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E1.1.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Gauti bazinės paslaugos duomenys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Iš SAM gauti bazinės paslaugos aprašymo duomenys.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Įveda / atnaujina bazinę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įveda bazinę paslaugą arba atnaujina esamos bazinės paslaugos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Patvirtina bazinę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patvirtina bazinės paslaugos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E1.2.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Bazinė paslauga sukurta ir patvirtinta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Bazinė paslauga sukurta arba atnaujinta pagal gautus aprašymo duomenis ir patvirtinta.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Bazinės paslaugos sukurtos ir patvirtintos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Visos bazinės paslaugos iš SAM pateikto sąrašo sukurtos ir patvirtintos.</w:t>
            </w:r>
          </w:p>
        </w:tc>
      </w:tr>
    </w:tbl>
    <w:p>
      <w:pPr>
        <w:pStyle w:val="Heading3"/>
        <w:numPr>
          <w:ilvl w:val="1"/>
          <w:numId w:val="58"/>
        </w:numPr>
        <w:rPr/>
      </w:pPr>
      <w:bookmarkStart w:id="7" w:name="_Toc192483606"/>
      <w:bookmarkStart w:id="8" w:name="_Ref178235919"/>
      <w:bookmarkStart w:id="9" w:name="_Ref178235912"/>
      <w:r>
        <w:rPr/>
        <w:t>Paslaugos suderinimas ir vykdymas</w:t>
      </w:r>
      <w:bookmarkEnd w:id="7"/>
      <w:bookmarkEnd w:id="8"/>
      <w:bookmarkEnd w:id="9"/>
    </w:p>
    <w:p>
      <w:pPr>
        <w:pStyle w:val="Normal"/>
        <w:rPr/>
      </w:pPr>
      <w:r>
        <w:rPr/>
        <w:object>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602.5pt;height:407.5pt;mso-wrap-distance-right:0pt" filled="f" o:ole="">
            <v:imagedata r:id="rId7" o:title=""/>
          </v:shape>
          <o:OLEObject Type="Embed" ProgID="Visio.Drawing.15" ShapeID="ole_rId6" DrawAspect="Content" ObjectID="_730360366" r:id="rId6"/>
        </w:object>
      </w:r>
    </w:p>
    <w:p>
      <w:pPr>
        <w:pStyle w:val="Normal"/>
        <w:rPr/>
      </w:pPr>
      <w:r>
        <w:rPr/>
        <w:fldChar w:fldCharType="begin"/>
      </w:r>
      <w:r>
        <w:rPr/>
        <w:instrText xml:space="preserve"> SEQ Pav \* ARABIC </w:instrText>
      </w:r>
      <w:r>
        <w:rPr/>
        <w:fldChar w:fldCharType="separate"/>
      </w:r>
      <w:r>
        <w:rPr/>
        <w:t>3</w:t>
      </w:r>
      <w:r>
        <w:rPr/>
        <w:fldChar w:fldCharType="end"/>
      </w:r>
      <w:r>
        <w:rPr/>
        <w:t xml:space="preserve"> </w:t>
      </w:r>
      <w:r>
        <w:rPr/>
        <w:t>pav. Paslaugos suderinimas ir vykdymas.</w:t>
      </w:r>
    </w:p>
    <w:p>
      <w:pPr>
        <w:pStyle w:val="Normal"/>
        <w:rPr>
          <w:i/>
          <w:i/>
        </w:rPr>
      </w:pPr>
      <w:r>
        <w:rPr/>
        <w:fldChar w:fldCharType="begin"/>
      </w:r>
      <w:r>
        <w:rPr/>
        <w:instrText xml:space="preserve"> SEQ Lentelė \* ARABIC </w:instrText>
      </w:r>
      <w:r>
        <w:rPr/>
        <w:fldChar w:fldCharType="separate"/>
      </w:r>
      <w:r>
        <w:rPr/>
        <w:t>4</w:t>
      </w:r>
      <w:r>
        <w:rPr/>
        <w:fldChar w:fldCharType="end"/>
      </w:r>
      <w:r>
        <w:rPr>
          <w:i/>
        </w:rPr>
        <w:t xml:space="preserve"> </w:t>
      </w:r>
      <w:r>
        <w:rPr>
          <w:i/>
        </w:rPr>
        <w:t>lentelė. Paslaugos suderinimo ir vykdymo</w:t>
      </w:r>
      <w:r>
        <w:rPr>
          <w:rFonts w:cs="Times New Roman"/>
          <w:i/>
        </w:rPr>
        <w:t xml:space="preserve"> </w:t>
      </w:r>
      <w:r>
        <w:rPr>
          <w:i/>
        </w:rPr>
        <w:t>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Susijusi bazinė paslauga sukurta ir patvirtinta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Reikalinga bazinė paslauga sukurta ir patvirtinta.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Sukuria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įveda paslaugą pagal bazinės paslaugos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Pateikia paslaugą tvirtinimui</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pateikia paslaugos vertinimo kriterijus patvirtinimui.</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T4.</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Patikslina paslaugos duomenis / pašalina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patikslina paslaugos vertinimo kriterijų duomenis arba pašalina paslaugą.</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Paslauga pašalinta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Proceso pabaiga.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Paslauga suteikta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Paslauga suteikta ir paslaugos vykdymo duomenys įvesti.</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T6.</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Paslaugos vykdymas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 xml:space="preserve">Paslauga suteikiama ir įvedami paslaugos vykdymo duomenys. Detalesnis proceso aprašymas pateiktas </w:t>
            </w:r>
            <w:r>
              <w:rPr/>
              <w:fldChar w:fldCharType="begin"/>
            </w:r>
            <w:r>
              <w:rPr/>
              <w:instrText xml:space="preserve"> REF _Ref178237179 \r \h </w:instrText>
            </w:r>
            <w:r>
              <w:rPr/>
              <w:fldChar w:fldCharType="separate"/>
            </w:r>
            <w:r>
              <w:rPr/>
              <w:t>5.2.4</w:t>
            </w:r>
            <w:r>
              <w:rPr/>
              <w:fldChar w:fldCharType="end"/>
            </w:r>
            <w:r>
              <w:rPr/>
              <w:t xml:space="preserve"> </w:t>
            </w:r>
            <w:r>
              <w:rPr/>
              <w:fldChar w:fldCharType="begin"/>
            </w:r>
            <w:r>
              <w:rPr/>
              <w:instrText xml:space="preserve"> REF _Ref178237184 \h </w:instrText>
            </w:r>
            <w:r>
              <w:rPr/>
              <w:fldChar w:fldCharType="separate"/>
            </w:r>
            <w:r>
              <w:rPr/>
              <w:t>Paslaugos vykdymas</w:t>
            </w:r>
            <w:r>
              <w:rPr/>
              <w:fldChar w:fldCharType="end"/>
            </w:r>
            <w:r>
              <w:rPr/>
              <w:t>.</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Kriterijų derintojas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Pažymi vertinimo kriterijų suderintu / atmeta jį</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Kriterijų derintojas pažymi vertinimo kriterijų suderintu arba atmeta jį.</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Kriterijų tvirtintojas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T5.</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Patvirtina / atmeta vertinimo kriterijų</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Kriterijų tvirtintojas patvirtina vertinimo kriterijų arba atmeta jį.</w:t>
            </w:r>
          </w:p>
        </w:tc>
      </w:tr>
    </w:tbl>
    <w:p>
      <w:pPr>
        <w:pStyle w:val="Heading3"/>
        <w:numPr>
          <w:ilvl w:val="1"/>
          <w:numId w:val="58"/>
        </w:numPr>
        <w:rPr/>
      </w:pPr>
      <w:bookmarkStart w:id="10" w:name="_Toc192483607"/>
      <w:bookmarkStart w:id="11" w:name="_Ref178237184"/>
      <w:bookmarkStart w:id="12" w:name="_Ref178237179"/>
      <w:r>
        <w:rPr/>
        <w:t>Paslaugos vykdymas</w:t>
      </w:r>
      <w:bookmarkEnd w:id="10"/>
      <w:bookmarkEnd w:id="11"/>
      <w:bookmarkEnd w:id="12"/>
    </w:p>
    <w:p>
      <w:pPr>
        <w:pStyle w:val="Normal"/>
        <w:rPr/>
      </w:pPr>
      <w:r>
        <w:rPr/>
        <w:drawing>
          <wp:inline distT="0" distB="0" distL="0" distR="0">
            <wp:extent cx="7240905" cy="524065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8"/>
                    <a:stretch>
                      <a:fillRect/>
                    </a:stretch>
                  </pic:blipFill>
                  <pic:spPr bwMode="auto">
                    <a:xfrm>
                      <a:off x="0" y="0"/>
                      <a:ext cx="7240905" cy="5240655"/>
                    </a:xfrm>
                    <a:prstGeom prst="rect">
                      <a:avLst/>
                    </a:prstGeom>
                  </pic:spPr>
                </pic:pic>
              </a:graphicData>
            </a:graphic>
          </wp:inline>
        </w:drawing>
      </w:r>
    </w:p>
    <w:p>
      <w:pPr>
        <w:pStyle w:val="Normal"/>
        <w:rPr/>
      </w:pPr>
      <w:r>
        <w:rPr/>
        <w:fldChar w:fldCharType="begin"/>
      </w:r>
      <w:r>
        <w:rPr/>
        <w:instrText xml:space="preserve"> SEQ Pav \* ARABIC </w:instrText>
      </w:r>
      <w:r>
        <w:rPr/>
        <w:fldChar w:fldCharType="separate"/>
      </w:r>
      <w:r>
        <w:rPr/>
        <w:t>4</w:t>
      </w:r>
      <w:r>
        <w:rPr/>
        <w:fldChar w:fldCharType="end"/>
      </w:r>
      <w:r>
        <w:rPr/>
        <w:t xml:space="preserve"> </w:t>
      </w:r>
      <w:r>
        <w:rPr/>
        <w:t>pav. Paslaugos vykdymas.</w:t>
      </w:r>
    </w:p>
    <w:p>
      <w:pPr>
        <w:pStyle w:val="Normal"/>
        <w:rPr>
          <w:i/>
          <w:i/>
        </w:rPr>
      </w:pPr>
      <w:r>
        <w:rPr/>
        <w:fldChar w:fldCharType="begin"/>
      </w:r>
      <w:r>
        <w:rPr/>
        <w:instrText xml:space="preserve"> SEQ Lentelė \* ARABIC </w:instrText>
      </w:r>
      <w:r>
        <w:rPr/>
        <w:fldChar w:fldCharType="separate"/>
      </w:r>
      <w:r>
        <w:rPr/>
        <w:t>5</w:t>
      </w:r>
      <w:r>
        <w:rPr/>
        <w:fldChar w:fldCharType="end"/>
      </w:r>
      <w:r>
        <w:rPr>
          <w:i/>
        </w:rPr>
        <w:t xml:space="preserve"> </w:t>
      </w:r>
      <w:r>
        <w:rPr>
          <w:i/>
        </w:rPr>
        <w:t>lentelė. Paslaugos vykdymo</w:t>
      </w:r>
      <w:r>
        <w:rPr>
          <w:rFonts w:cs="Times New Roman"/>
          <w:i/>
        </w:rPr>
        <w:t xml:space="preserve"> </w:t>
      </w:r>
      <w:r>
        <w:rPr>
          <w:i/>
        </w:rPr>
        <w:t>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bookmarkStart w:id="13" w:name="_Hlk178238812"/>
            <w:r>
              <w:rPr/>
              <w:t>VSB darbuotojas</w:t>
            </w:r>
            <w:bookmarkEnd w:id="13"/>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Visi vertinimo kriterijai patvirtinti</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Visi paslaugos vertinimo kriterijai patvirtinti.</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SRDI</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įveda SRDI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Sistema atnaujina paslaugos vertinimo kriterijų duomenis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Sistema atnaujina paslaugos vertinimo kriterijų duomenis pagal įvesto SRDI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paslaugos vertinimo kriterijų įvykdymo duomenis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įveda paslaugos vertinimo kriterijų įvykdymo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T4.</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papildomos ataskaitos duomenis / paslaugos gavėjų analitinius požymius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įveda paslaugos papildomos ataskaitos duomenis arba užpildo paslaugos gavėjų analitinius požymius.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Paslaugų uždarytojas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T5.</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Pažymi paslaugą suteikta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Paslaugų uždarytojas pažymi paslaugą suteikta.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Paslauga suteikta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Paslauga suteikta ir paslaugos vykdymo duomenys įvesti.</w:t>
            </w:r>
          </w:p>
        </w:tc>
      </w:tr>
    </w:tbl>
    <w:p>
      <w:pPr>
        <w:pStyle w:val="Heading3"/>
        <w:numPr>
          <w:ilvl w:val="1"/>
          <w:numId w:val="58"/>
        </w:numPr>
        <w:rPr/>
      </w:pPr>
      <w:bookmarkStart w:id="14" w:name="_Toc192483608"/>
      <w:bookmarkStart w:id="15" w:name="_Ref178235956"/>
      <w:bookmarkStart w:id="16" w:name="_Ref178235954"/>
      <w:r>
        <w:rPr/>
        <w:t>Paslaugų įvykdymo ataskaitų pateikimas</w:t>
      </w:r>
      <w:bookmarkEnd w:id="14"/>
      <w:bookmarkEnd w:id="15"/>
      <w:bookmarkEnd w:id="16"/>
    </w:p>
    <w:p>
      <w:pPr>
        <w:pStyle w:val="Normal"/>
        <w:rPr/>
      </w:pPr>
      <w:r>
        <w:rPr/>
        <w:object>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502pt;height:133pt;mso-wrap-distance-right:0pt" filled="f" o:ole="">
            <v:imagedata r:id="rId10" o:title=""/>
          </v:shape>
          <o:OLEObject Type="Embed" ProgID="Visio.Drawing.15" ShapeID="ole_rId9" DrawAspect="Content" ObjectID="_1498071333" r:id="rId9"/>
        </w:object>
      </w:r>
    </w:p>
    <w:p>
      <w:pPr>
        <w:pStyle w:val="Normal"/>
        <w:rPr/>
      </w:pPr>
      <w:r>
        <w:rPr/>
        <w:fldChar w:fldCharType="begin"/>
      </w:r>
      <w:r>
        <w:rPr/>
        <w:instrText xml:space="preserve"> SEQ Pav \* ARABIC </w:instrText>
      </w:r>
      <w:r>
        <w:rPr/>
        <w:fldChar w:fldCharType="separate"/>
      </w:r>
      <w:r>
        <w:rPr/>
        <w:t>5</w:t>
      </w:r>
      <w:r>
        <w:rPr/>
        <w:fldChar w:fldCharType="end"/>
      </w:r>
      <w:r>
        <w:rPr/>
        <w:t xml:space="preserve"> </w:t>
      </w:r>
      <w:r>
        <w:rPr/>
        <w:t>pav. Paslaugų įvykdymo ataskaitų pateikimas.</w:t>
      </w:r>
    </w:p>
    <w:p>
      <w:pPr>
        <w:pStyle w:val="Normal"/>
        <w:rPr>
          <w:i/>
          <w:i/>
        </w:rPr>
      </w:pPr>
      <w:r>
        <w:rPr/>
        <w:fldChar w:fldCharType="begin"/>
      </w:r>
      <w:r>
        <w:rPr/>
        <w:instrText xml:space="preserve"> SEQ Lentelė \* ARABIC </w:instrText>
      </w:r>
      <w:r>
        <w:rPr/>
        <w:fldChar w:fldCharType="separate"/>
      </w:r>
      <w:r>
        <w:rPr/>
        <w:t>6</w:t>
      </w:r>
      <w:r>
        <w:rPr/>
        <w:fldChar w:fldCharType="end"/>
      </w:r>
      <w:r>
        <w:rPr>
          <w:i/>
        </w:rPr>
        <w:t xml:space="preserve"> </w:t>
      </w:r>
      <w:r>
        <w:rPr>
          <w:i/>
        </w:rPr>
        <w:t>lentelė. Paslaugų įvykdymo ataskaitų pateikimo</w:t>
      </w:r>
      <w:r>
        <w:rPr>
          <w:rFonts w:cs="Times New Roman"/>
          <w:i/>
        </w:rPr>
        <w:t xml:space="preserve"> </w:t>
      </w:r>
      <w:r>
        <w:rPr>
          <w:i/>
        </w:rPr>
        <w:t>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Paslaugos suteiktos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Visos paslaugos suteiktos ir jų vykdymo duomenys įvesti.</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Pateikia vertinimo kriterijų ataskaitą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sugeneruoja vertinimo kriterijų ataskaitą.</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Pateikia papildomą ataskaitą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kiekvienai bazinei paslaugai, kuri turi papildomą ataskaitą, šią ataskaitą sugeneruoja.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Paslaugų įvykdymo ataskaitos pateiktos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Proceso pabaiga.</w:t>
            </w:r>
          </w:p>
        </w:tc>
      </w:tr>
    </w:tbl>
    <w:p>
      <w:pPr>
        <w:pStyle w:val="Heading3"/>
        <w:numPr>
          <w:ilvl w:val="1"/>
          <w:numId w:val="58"/>
        </w:numPr>
        <w:rPr/>
      </w:pPr>
      <w:bookmarkStart w:id="17" w:name="_Toc192483609"/>
      <w:bookmarkStart w:id="18" w:name="_Ref178235862"/>
      <w:bookmarkStart w:id="19" w:name="_Ref178235858"/>
      <w:r>
        <w:rPr/>
        <w:t>Papildomų paslaugų įvedimas</w:t>
      </w:r>
      <w:bookmarkEnd w:id="17"/>
      <w:bookmarkEnd w:id="18"/>
      <w:bookmarkEnd w:id="19"/>
    </w:p>
    <w:p>
      <w:pPr>
        <w:pStyle w:val="Normal"/>
        <w:rPr/>
      </w:pPr>
      <w:r>
        <w:rPr/>
        <w:object>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602.5pt;height:191.5pt;mso-wrap-distance-right:0pt" filled="f" o:ole="">
            <v:imagedata r:id="rId12" o:title=""/>
          </v:shape>
          <o:OLEObject Type="Embed" ProgID="Visio.Drawing.15" ShapeID="ole_rId11" DrawAspect="Content" ObjectID="_1446493046" r:id="rId11"/>
        </w:object>
      </w:r>
    </w:p>
    <w:p>
      <w:pPr>
        <w:pStyle w:val="Normal"/>
        <w:rPr/>
      </w:pPr>
      <w:r>
        <w:rPr/>
        <w:fldChar w:fldCharType="begin"/>
      </w:r>
      <w:r>
        <w:rPr/>
        <w:instrText xml:space="preserve"> SEQ Pav \* ARABIC </w:instrText>
      </w:r>
      <w:r>
        <w:rPr/>
        <w:fldChar w:fldCharType="separate"/>
      </w:r>
      <w:r>
        <w:rPr/>
        <w:t>6</w:t>
      </w:r>
      <w:r>
        <w:rPr/>
        <w:fldChar w:fldCharType="end"/>
      </w:r>
      <w:r>
        <w:rPr/>
        <w:t xml:space="preserve"> </w:t>
      </w:r>
      <w:r>
        <w:rPr/>
        <w:t>pav. Papildomų paslaugų įvedimas.</w:t>
      </w:r>
    </w:p>
    <w:p>
      <w:pPr>
        <w:pStyle w:val="Normal"/>
        <w:rPr>
          <w:i/>
          <w:i/>
        </w:rPr>
      </w:pPr>
      <w:r>
        <w:rPr/>
        <w:fldChar w:fldCharType="begin"/>
      </w:r>
      <w:r>
        <w:rPr/>
        <w:instrText xml:space="preserve"> SEQ Lentelė \* ARABIC </w:instrText>
      </w:r>
      <w:r>
        <w:rPr/>
        <w:fldChar w:fldCharType="separate"/>
      </w:r>
      <w:r>
        <w:rPr/>
        <w:t>7</w:t>
      </w:r>
      <w:r>
        <w:rPr/>
        <w:fldChar w:fldCharType="end"/>
      </w:r>
      <w:r>
        <w:rPr>
          <w:i/>
        </w:rPr>
        <w:t xml:space="preserve"> </w:t>
      </w:r>
      <w:r>
        <w:rPr>
          <w:i/>
        </w:rPr>
        <w:t>lentelė. Papildomų paslaugų įvedimo</w:t>
      </w:r>
      <w:r>
        <w:rPr>
          <w:rFonts w:cs="Times New Roman"/>
          <w:i/>
        </w:rPr>
        <w:t xml:space="preserve"> </w:t>
      </w:r>
      <w:r>
        <w:rPr>
          <w:i/>
        </w:rPr>
        <w:t>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E1.</w:t>
            </w:r>
          </w:p>
          <w:p>
            <w:pPr>
              <w:pStyle w:val="Normal"/>
              <w:spacing w:before="40" w:after="160"/>
              <w:rPr/>
            </w:pPr>
            <w:r>
              <w:rPr/>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VSB atsirado poreikis suteikti papildomą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siekia suteikti papildomą paslaugą, kurios nėra SAM pateiktame bazinių paslaugų sąraše.</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Paruošia papildomos paslaugos aprašymą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paruošia ir pateikia papildomos paslaugos aprašymą ne sistemos priemonėmis.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Įvertina papildomos paslaugos tikslingumą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peržiūri paruoštą papildomos paslaugos aprašymą ir įvertina tikslingumą.</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Bazinė paslauga nesukurta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Proceso pabaiga.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papildomą paslaugą (prie bazinių paslaugų)</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įveda papildomą paslaugą (prie bazinių paslaugų).</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T4.</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Patvirtina bazinę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patvirtina bazinės paslaugos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Bazinė paslauga sukurta ir patvirtinta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Bazinė paslauga sukurta pagal gautus papildomos paslaugos aprašymo duomenis ir patvirtinta.</w:t>
            </w:r>
          </w:p>
        </w:tc>
      </w:tr>
    </w:tbl>
    <w:p>
      <w:pPr>
        <w:pStyle w:val="Heading3"/>
        <w:numPr>
          <w:ilvl w:val="1"/>
          <w:numId w:val="58"/>
        </w:numPr>
        <w:rPr/>
      </w:pPr>
      <w:bookmarkStart w:id="20" w:name="_Toc192483610"/>
      <w:r>
        <w:rPr/>
        <w:t>Dotacijų paskirstymas</w:t>
      </w:r>
      <w:bookmarkEnd w:id="20"/>
    </w:p>
    <w:p>
      <w:pPr>
        <w:pStyle w:val="Normal"/>
        <w:rPr/>
      </w:pPr>
      <w:r>
        <w:rPr/>
        <w:object>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602.5pt;height:351.5pt;mso-wrap-distance-right:0pt" filled="f" o:ole="">
            <v:imagedata r:id="rId14" o:title=""/>
          </v:shape>
          <o:OLEObject Type="Embed" ProgID="Visio.Drawing.15" ShapeID="ole_rId13" DrawAspect="Content" ObjectID="_2140766604" r:id="rId13"/>
        </w:object>
      </w:r>
    </w:p>
    <w:p>
      <w:pPr>
        <w:pStyle w:val="Normal"/>
        <w:rPr/>
      </w:pPr>
      <w:r>
        <w:rPr/>
        <w:fldChar w:fldCharType="begin"/>
      </w:r>
      <w:r>
        <w:rPr/>
        <w:instrText xml:space="preserve"> SEQ Pav \* ARABIC </w:instrText>
      </w:r>
      <w:r>
        <w:rPr/>
        <w:fldChar w:fldCharType="separate"/>
      </w:r>
      <w:r>
        <w:rPr/>
        <w:t>7</w:t>
      </w:r>
      <w:r>
        <w:rPr/>
        <w:fldChar w:fldCharType="end"/>
      </w:r>
      <w:r>
        <w:rPr/>
        <w:t xml:space="preserve"> </w:t>
      </w:r>
      <w:r>
        <w:rPr/>
        <w:t>pav. Dotacijų paskirstymas.</w:t>
      </w:r>
    </w:p>
    <w:p>
      <w:pPr>
        <w:pStyle w:val="Normal"/>
        <w:rPr>
          <w:i/>
          <w:i/>
        </w:rPr>
      </w:pPr>
      <w:r>
        <w:rPr/>
        <w:fldChar w:fldCharType="begin"/>
      </w:r>
      <w:r>
        <w:rPr/>
        <w:instrText xml:space="preserve"> SEQ Lentelė \* ARABIC </w:instrText>
      </w:r>
      <w:r>
        <w:rPr/>
        <w:fldChar w:fldCharType="separate"/>
      </w:r>
      <w:r>
        <w:rPr/>
        <w:t>8</w:t>
      </w:r>
      <w:r>
        <w:rPr/>
        <w:fldChar w:fldCharType="end"/>
      </w:r>
      <w:r>
        <w:rPr>
          <w:i/>
        </w:rPr>
        <w:t xml:space="preserve"> </w:t>
      </w:r>
      <w:r>
        <w:rPr>
          <w:i/>
        </w:rPr>
        <w:t>lentelė. Dotacijų paskirstymo</w:t>
      </w:r>
      <w:r>
        <w:rPr>
          <w:rFonts w:cs="Times New Roman"/>
          <w:i/>
        </w:rPr>
        <w:t xml:space="preserve"> </w:t>
      </w:r>
      <w:r>
        <w:rPr>
          <w:i/>
        </w:rPr>
        <w:t>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Paskirtos dotacijos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Paskirtos dotacijos pagal bazinių paslaugų sritis.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 užkrauna paskirstymo bazes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įveda arba užkrauna dotacijų paskirstymo bazes.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paskirstymo normas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įveda dotacijų paskirstymo normas.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SAM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Paskirsto dotaciją savivaldybėms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SAM darbuotojas paskirsto dotaciją savivaldybėms pagal paskirstymo bazes ir normas.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T4.</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Suplanuoja paslaugų sričiai kaštus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kiekvienai paslaugų sričiai suplanuoja kaštus.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T5.</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Pateikia faktinius paslaugų srities kaštus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kiekvienai paslaugų sričiai pateikia faktinius įvykdymo kaštus.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Paslaugų faktiniai kaštai pateikti</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Proceso pabaiga.</w:t>
            </w:r>
          </w:p>
        </w:tc>
      </w:tr>
    </w:tbl>
    <w:p>
      <w:pPr>
        <w:sectPr>
          <w:headerReference w:type="default" r:id="rId15"/>
          <w:footerReference w:type="default" r:id="rId16"/>
          <w:type w:val="nextPage"/>
          <w:pgSz w:orient="landscape" w:w="15840" w:h="12240"/>
          <w:pgMar w:left="1800" w:right="1980" w:gutter="0" w:header="864" w:top="1555" w:footer="720" w:bottom="1555"/>
          <w:pgNumType w:fmt="decimal"/>
          <w:formProt w:val="false"/>
          <w:textDirection w:val="lrTb"/>
          <w:docGrid w:type="default" w:linePitch="360" w:charSpace="0"/>
        </w:sectPr>
      </w:pPr>
    </w:p>
    <w:p>
      <w:pPr>
        <w:pStyle w:val="Heading1"/>
        <w:numPr>
          <w:ilvl w:val="0"/>
          <w:numId w:val="58"/>
        </w:numPr>
        <w:rPr>
          <w:b/>
        </w:rPr>
      </w:pPr>
      <w:bookmarkStart w:id="21" w:name="_Toc192483611"/>
      <w:r>
        <w:rPr>
          <w:b/>
        </w:rPr>
        <w:t>Veiklos reikalavimai</w:t>
      </w:r>
      <w:bookmarkEnd w:id="21"/>
    </w:p>
    <w:p>
      <w:pPr>
        <w:pStyle w:val="Heading2"/>
        <w:numPr>
          <w:ilvl w:val="1"/>
          <w:numId w:val="58"/>
        </w:numPr>
        <w:rPr>
          <w:b/>
        </w:rPr>
      </w:pPr>
      <w:bookmarkStart w:id="22" w:name="_Toc192483612"/>
      <w:r>
        <w:rPr>
          <w:b/>
        </w:rPr>
        <w:t>Funkcinė schema</w:t>
      </w:r>
      <w:bookmarkEnd w:id="22"/>
    </w:p>
    <w:p>
      <w:pPr>
        <w:pStyle w:val="Normal"/>
        <w:rPr/>
      </w:pPr>
      <w:r>
        <w:rPr/>
        <w:object>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457pt;height:230pt;mso-wrap-distance-right:0pt" filled="f" o:ole="">
            <v:imagedata r:id="rId18" o:title=""/>
          </v:shape>
          <o:OLEObject Type="Embed" ProgID="Visio.Drawing.15" ShapeID="ole_rId17" DrawAspect="Content" ObjectID="_1328514448" r:id="rId17"/>
        </w:object>
      </w:r>
    </w:p>
    <w:p>
      <w:pPr>
        <w:pStyle w:val="Normal"/>
        <w:rPr/>
      </w:pPr>
      <w:r>
        <w:rPr/>
        <w:fldChar w:fldCharType="begin"/>
      </w:r>
      <w:r>
        <w:rPr/>
        <w:instrText xml:space="preserve"> SEQ Pav \* ARABIC </w:instrText>
      </w:r>
      <w:r>
        <w:rPr/>
        <w:fldChar w:fldCharType="separate"/>
      </w:r>
      <w:r>
        <w:rPr/>
        <w:t>8</w:t>
      </w:r>
      <w:r>
        <w:rPr/>
        <w:fldChar w:fldCharType="end"/>
      </w:r>
      <w:r>
        <w:rPr/>
        <w:t xml:space="preserve"> </w:t>
      </w:r>
      <w:r>
        <w:rPr/>
        <w:t>pav. Funkcinė schema.</w:t>
      </w:r>
    </w:p>
    <w:p>
      <w:pPr>
        <w:pStyle w:val="Normal"/>
        <w:rPr>
          <w:i/>
          <w:i/>
        </w:rPr>
      </w:pPr>
      <w:r>
        <w:rPr/>
        <w:fldChar w:fldCharType="begin"/>
      </w:r>
      <w:r>
        <w:rPr/>
        <w:instrText xml:space="preserve"> SEQ Lentelė \* ARABIC </w:instrText>
      </w:r>
      <w:r>
        <w:rPr/>
        <w:fldChar w:fldCharType="separate"/>
      </w:r>
      <w:r>
        <w:rPr/>
        <w:t>9</w:t>
      </w:r>
      <w:r>
        <w:rPr/>
        <w:fldChar w:fldCharType="end"/>
      </w:r>
      <w:r>
        <w:rPr>
          <w:i/>
        </w:rPr>
        <w:t xml:space="preserve"> </w:t>
      </w:r>
      <w:r>
        <w:rPr>
          <w:i/>
        </w:rPr>
        <w:t>lentelė. Funkcinės schemos komponentai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Komponentas</w:t>
            </w:r>
          </w:p>
        </w:tc>
        <w:tc>
          <w:tcPr>
            <w:tcW w:w="530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Aprašymas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7"/>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Autentifikacijos posistemis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Posistemis skirtas identifikuoti ir autentifikuoti sistemos naudotojus.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60"/>
              </w:numPr>
              <w:spacing w:before="40" w:after="160"/>
              <w:contextualSpacing/>
              <w:rPr/>
            </w:pPr>
            <w:r>
              <w:rPr/>
            </w:r>
          </w:p>
        </w:tc>
        <w:tc>
          <w:tcPr>
            <w:tcW w:w="814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Administravimo posistemis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1"/>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Naudotojų valdymo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valdyti naudotojus ir jų teises.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2"/>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Žinyno valdymo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tvarkyti žinyną.</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3"/>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Naudotojų veiksmų stebėsenos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saugoti ir kaupti naudotojų atliktus veiksmus.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64"/>
              </w:numPr>
              <w:spacing w:before="40" w:after="160"/>
              <w:contextualSpacing/>
              <w:rPr/>
            </w:pPr>
            <w:r>
              <w:rPr/>
            </w:r>
          </w:p>
        </w:tc>
        <w:tc>
          <w:tcPr>
            <w:tcW w:w="814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Duomenų rinkimo posistemis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5"/>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Paslaugų vykdymo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įvesti ir kaupti bazinių paslaugų ir VSB teikiamų paslaugų planavimo ir vykdymo duomenis.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6"/>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Specialios tikslinės dotacijos planavimo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įvesti ir kaupti specialios tikslinės dotacijos planavimo duomenis.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7"/>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Finansinių formų pildymo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įvesti ir kaupti VSB teikiamų paslaugų finansinius planavimo ir įvykdymo duomenis.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68"/>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Duomenų mainų posistemis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Posistemis skirtas importuoti duomenis iš integracinės sąsajos.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69"/>
              </w:numPr>
              <w:spacing w:before="40" w:after="160"/>
              <w:contextualSpacing/>
              <w:rPr/>
            </w:pPr>
            <w:r>
              <w:rPr/>
            </w:r>
          </w:p>
        </w:tc>
        <w:tc>
          <w:tcPr>
            <w:tcW w:w="814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Ataskaitų ir analizės posistemis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70"/>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Analizės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analizuoti sukauptus sistemos duomenis.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71"/>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Ataskaitų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generuoti ataskaitas pagal sistemoje sukauptus duomenis.</w:t>
            </w:r>
          </w:p>
        </w:tc>
      </w:tr>
    </w:tbl>
    <w:p>
      <w:pPr>
        <w:pStyle w:val="Heading2"/>
        <w:numPr>
          <w:ilvl w:val="1"/>
          <w:numId w:val="58"/>
        </w:numPr>
        <w:rPr>
          <w:b/>
        </w:rPr>
      </w:pPr>
      <w:bookmarkStart w:id="23" w:name="_Toc192483613"/>
      <w:r>
        <w:rPr>
          <w:b/>
        </w:rPr>
        <w:t>Vidiniai ir išoriniai duomenų srautai</w:t>
      </w:r>
      <w:bookmarkEnd w:id="23"/>
    </w:p>
    <w:p>
      <w:pPr>
        <w:pStyle w:val="Normal"/>
        <w:rPr>
          <w:i/>
          <w:i/>
        </w:rPr>
      </w:pPr>
      <w:r>
        <w:rPr>
          <w:i/>
        </w:rPr>
        <w:fldChar w:fldCharType="begin"/>
      </w:r>
      <w:r>
        <w:rPr>
          <w:i/>
        </w:rPr>
        <w:instrText xml:space="preserve"> SEQ Lentelė \* ARABIC </w:instrText>
      </w:r>
      <w:r>
        <w:rPr>
          <w:i/>
        </w:rPr>
        <w:fldChar w:fldCharType="separate"/>
      </w:r>
      <w:r>
        <w:rPr>
          <w:i/>
        </w:rPr>
        <w:t>10</w:t>
      </w:r>
      <w:r>
        <w:rPr>
          <w:i/>
        </w:rPr>
        <w:fldChar w:fldCharType="end"/>
      </w:r>
      <w:r>
        <w:rPr>
          <w:i/>
        </w:rPr>
        <w:t xml:space="preserve"> </w:t>
      </w:r>
      <w:r>
        <w:rPr>
          <w:i/>
        </w:rPr>
        <w:t>lentelė. Vidiniai ir išoriniai duomenų srautai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Duomenų srautas</w:t>
            </w:r>
          </w:p>
        </w:tc>
        <w:tc>
          <w:tcPr>
            <w:tcW w:w="530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Aprašymas</w:t>
            </w:r>
          </w:p>
        </w:tc>
      </w:tr>
      <w:tr>
        <w:trPr/>
        <w:tc>
          <w:tcPr>
            <w:tcW w:w="913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Išoriniai duomenų srautai</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9"/>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Gaunami duomenys iš VDVIS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41"/>
              </w:numPr>
              <w:spacing w:before="40" w:after="160"/>
              <w:ind w:hanging="360" w:left="324"/>
              <w:contextualSpacing/>
              <w:rPr/>
            </w:pPr>
            <w:r>
              <w:rPr>
                <w:bCs/>
              </w:rPr>
              <w:t>Gyventojų skaičiaus duomenys metų pradžiai pagal savivaldybę.</w:t>
            </w:r>
          </w:p>
          <w:p>
            <w:pPr>
              <w:pStyle w:val="ListParagraph"/>
              <w:numPr>
                <w:ilvl w:val="0"/>
                <w:numId w:val="41"/>
              </w:numPr>
              <w:ind w:hanging="360" w:left="324"/>
              <w:rPr/>
            </w:pPr>
            <w:r>
              <w:rPr/>
              <w:t>Patvirtinti mokinių skaičiaus duomenys pagal savivaldybę.</w:t>
            </w:r>
          </w:p>
          <w:p>
            <w:pPr>
              <w:pStyle w:val="ListParagraph"/>
              <w:numPr>
                <w:ilvl w:val="0"/>
                <w:numId w:val="41"/>
              </w:numPr>
              <w:spacing w:before="40" w:after="160"/>
              <w:ind w:hanging="360" w:left="324"/>
              <w:contextualSpacing/>
              <w:rPr/>
            </w:pPr>
            <w:r>
              <w:rPr/>
              <w:t>Patvirtinti mokymo įstaigų skaičiaus duomenys pagal savivaldybę.</w:t>
            </w:r>
          </w:p>
        </w:tc>
      </w:tr>
      <w:tr>
        <w:trPr/>
        <w:tc>
          <w:tcPr>
            <w:tcW w:w="913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bCs/>
              </w:rPr>
            </w:pPr>
            <w:r>
              <w:rPr>
                <w:bCs/>
              </w:rPr>
              <w:t>Vidiniai duomenų srautai</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9"/>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Duomenys iš Duomenų mainų posistemio perduodami į Specialios tikslinės dotacijos planavimo modulį</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Perduodami iš VDVIS gauti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9"/>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Duomenys iš Duomenų rinkimo posistemio perduodami į Ataskaitų ir analizės posistemį</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Perduodami duomenų analizei ir ataskaitai reikalingi duomenys.</w:t>
            </w:r>
          </w:p>
        </w:tc>
      </w:tr>
    </w:tbl>
    <w:p>
      <w:pPr>
        <w:pStyle w:val="Heading2"/>
        <w:numPr>
          <w:ilvl w:val="1"/>
          <w:numId w:val="58"/>
        </w:numPr>
        <w:rPr>
          <w:b/>
          <w:bCs/>
        </w:rPr>
      </w:pPr>
      <w:bookmarkStart w:id="24" w:name="_Toc192483614"/>
      <w:r>
        <w:rPr>
          <w:b/>
          <w:bCs/>
        </w:rPr>
        <w:t>Koncepcinis duomenų modelis</w:t>
      </w:r>
      <w:bookmarkEnd w:id="24"/>
    </w:p>
    <w:p>
      <w:pPr>
        <w:pStyle w:val="Normal"/>
        <w:rPr/>
      </w:pPr>
      <w:r>
        <w:rPr/>
        <mc:AlternateContent>
          <mc:Choice Requires="wps">
            <w:drawing>
              <wp:inline distT="0" distB="0" distL="0" distR="0" wp14:anchorId="59A78866">
                <wp:extent cx="5410200" cy="3067050"/>
                <wp:effectExtent l="0" t="0" r="0" b="0"/>
                <wp:docPr id="2" name="Picture 1"/>
                <a:graphic xmlns:a="http://schemas.openxmlformats.org/drawingml/2006/main">
                  <a:graphicData uri="http://schemas.openxmlformats.org/drawingml/2006/picture">
                    <pic:pic xmlns:pic="http://schemas.openxmlformats.org/drawingml/2006/picture">
                      <pic:nvPicPr>
                        <pic:cNvPr id="3" name="Picture 1" descr=""/>
                        <pic:cNvPicPr/>
                      </pic:nvPicPr>
                      <pic:blipFill>
                        <a:blip r:embed="rId19"/>
                        <a:stretch/>
                      </pic:blipFill>
                      <pic:spPr>
                        <a:xfrm>
                          <a:off x="0" y="0"/>
                          <a:ext cx="5410080" cy="3067200"/>
                        </a:xfrm>
                        <a:prstGeom prst="rect">
                          <a:avLst/>
                        </a:prstGeom>
                        <a:ln w="0">
                          <a:noFill/>
                        </a:ln>
                        <a:effectLst>
                          <a:softEdge rad="112320"/>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0pt;margin-top:-241.55pt;width:425.95pt;height:241.45pt;mso-wrap-style:none;v-text-anchor:middle;mso-position-vertical:top" wp14:anchorId="59A78866" type="_x0000_t75">
                <v:imagedata r:id="rId20" o:detectmouseclick="t"/>
                <v:stroke color="#3465a4" joinstyle="round" endcap="flat"/>
                <w10:wrap type="square"/>
              </v:shape>
            </w:pict>
          </mc:Fallback>
        </mc:AlternateContent>
      </w:r>
    </w:p>
    <w:p>
      <w:pPr>
        <w:pStyle w:val="Normal"/>
        <w:rPr/>
      </w:pPr>
      <w:r>
        <w:rPr/>
        <w:fldChar w:fldCharType="begin"/>
      </w:r>
      <w:r>
        <w:rPr/>
        <w:instrText xml:space="preserve"> SEQ Pav \* ARABIC </w:instrText>
      </w:r>
      <w:r>
        <w:rPr/>
        <w:fldChar w:fldCharType="separate"/>
      </w:r>
      <w:r>
        <w:rPr/>
        <w:t>9</w:t>
      </w:r>
      <w:r>
        <w:rPr/>
        <w:fldChar w:fldCharType="end"/>
      </w:r>
      <w:r>
        <w:rPr/>
        <w:t xml:space="preserve"> </w:t>
      </w:r>
      <w:r>
        <w:rPr/>
        <w:t xml:space="preserve">pav. </w:t>
      </w:r>
      <w:bookmarkStart w:id="25" w:name="_Hlk178340892"/>
      <w:r>
        <w:rPr/>
        <w:t>Koncepcinis paslaugų vykdymo duomenų modelis</w:t>
      </w:r>
      <w:bookmarkEnd w:id="25"/>
      <w:r>
        <w:rPr/>
        <w:t>.</w:t>
      </w:r>
    </w:p>
    <w:p>
      <w:pPr>
        <w:pStyle w:val="Normal"/>
        <w:rPr>
          <w:i/>
          <w:i/>
        </w:rPr>
      </w:pPr>
      <w:r>
        <w:rPr/>
        <w:fldChar w:fldCharType="begin"/>
      </w:r>
      <w:r>
        <w:rPr/>
        <w:instrText xml:space="preserve"> SEQ Lentelė \* ARABIC </w:instrText>
      </w:r>
      <w:r>
        <w:rPr/>
        <w:fldChar w:fldCharType="separate"/>
      </w:r>
      <w:r>
        <w:rPr/>
        <w:t>11</w:t>
      </w:r>
      <w:r>
        <w:rPr/>
        <w:fldChar w:fldCharType="end"/>
      </w:r>
      <w:r>
        <w:rPr>
          <w:i/>
        </w:rPr>
        <w:t xml:space="preserve"> </w:t>
      </w:r>
      <w:r>
        <w:rPr>
          <w:i/>
        </w:rPr>
        <w:t>lentelė. Koncepcinio paslaugų vykdymo duomenų modelio esybės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Esybė</w:t>
            </w:r>
          </w:p>
        </w:tc>
        <w:tc>
          <w:tcPr>
            <w:tcW w:w="530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Aprašymas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8"/>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Bazinė paslauga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SAM pateiktų bazinių ir kitų (papildomų) paslaugų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8"/>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Savivaldybė</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Saugomas savivaldybių sąrašas.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8"/>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VSB paslauga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VSB paslaugų vykdymo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8"/>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Paslaugos vertinimo kriterijus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paslaugos kriterijų planavimo ir įgyvendinimo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8"/>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rFonts w:cs="Times New Roman"/>
                <w:szCs w:val="24"/>
              </w:rPr>
              <w:t>Stebėsenos rodiklį detalizuojanti informacija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detalūs stebėsenos rodiklį detalizuojančios informacijos duomenys, kurie naudojami automatiškai apskaičiuoti paslaugos vertinimo kriterijus.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8"/>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Paslaugos gavėjų analitinis požymis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detalūs paslaugos gavėjų analitinių požymių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8"/>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Papildomos ataskaitos duomenys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paslaugos papildomos ataskaitos detalūs duomenys.</w:t>
            </w:r>
          </w:p>
        </w:tc>
      </w:tr>
    </w:tbl>
    <w:p>
      <w:pPr>
        <w:pStyle w:val="Normal"/>
        <w:rPr/>
      </w:pPr>
      <w:r>
        <w:rPr/>
        <w:object>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454.5pt;height:125pt;mso-wrap-distance-right:0pt" filled="f" o:ole="">
            <v:imagedata r:id="rId22" o:title=""/>
          </v:shape>
          <o:OLEObject Type="Embed" ProgID="Visio.Drawing.15" ShapeID="ole_rId21" DrawAspect="Content" ObjectID="_930970778" r:id="rId21"/>
        </w:object>
      </w:r>
    </w:p>
    <w:p>
      <w:pPr>
        <w:pStyle w:val="Normal"/>
        <w:rPr/>
      </w:pPr>
      <w:r>
        <w:rPr/>
        <w:fldChar w:fldCharType="begin"/>
      </w:r>
      <w:r>
        <w:rPr/>
        <w:instrText xml:space="preserve"> SEQ Pav \* ARABIC </w:instrText>
      </w:r>
      <w:r>
        <w:rPr/>
        <w:fldChar w:fldCharType="separate"/>
      </w:r>
      <w:r>
        <w:rPr/>
        <w:t>10</w:t>
      </w:r>
      <w:r>
        <w:rPr/>
        <w:fldChar w:fldCharType="end"/>
      </w:r>
      <w:r>
        <w:rPr/>
        <w:t xml:space="preserve"> </w:t>
      </w:r>
      <w:r>
        <w:rPr/>
        <w:t>pav. Koncepcinis dotacijų paskirstymo duomenų modelis.</w:t>
      </w:r>
    </w:p>
    <w:p>
      <w:pPr>
        <w:pStyle w:val="Normal"/>
        <w:rPr>
          <w:i/>
          <w:i/>
        </w:rPr>
      </w:pPr>
      <w:r>
        <w:rPr/>
        <w:fldChar w:fldCharType="begin"/>
      </w:r>
      <w:r>
        <w:rPr/>
        <w:instrText xml:space="preserve"> SEQ Lentelė \* ARABIC </w:instrText>
      </w:r>
      <w:r>
        <w:rPr/>
        <w:fldChar w:fldCharType="separate"/>
      </w:r>
      <w:r>
        <w:rPr/>
        <w:t>12</w:t>
      </w:r>
      <w:r>
        <w:rPr/>
        <w:fldChar w:fldCharType="end"/>
      </w:r>
      <w:r>
        <w:rPr>
          <w:i/>
        </w:rPr>
        <w:t xml:space="preserve"> </w:t>
      </w:r>
      <w:r>
        <w:rPr>
          <w:i/>
        </w:rPr>
        <w:t>lentelė. Koncepcinio dotacijų paskirstymo duomenų modelio esybės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Esybė</w:t>
            </w:r>
          </w:p>
        </w:tc>
        <w:tc>
          <w:tcPr>
            <w:tcW w:w="530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Aprašymas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2"/>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Paskirstymo bazė</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Saugomos dotacijų paskirstymui naudojamos paskirstymo bazės.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2"/>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Paskirstymo norma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Saugomos dotacijų paskirstymui naudojamos paskirstymo normos.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2"/>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Dotacijų paskirstymas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VSB paslaugų vykdymo duomenys.</w:t>
            </w:r>
          </w:p>
        </w:tc>
      </w:tr>
    </w:tbl>
    <w:p>
      <w:pPr>
        <w:pStyle w:val="Normal"/>
        <w:rPr/>
      </w:pPr>
      <w:r>
        <w:rPr/>
        <w:object>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455pt;height:278pt;mso-wrap-distance-right:0pt" filled="f" o:ole="">
            <v:imagedata r:id="rId24" o:title=""/>
          </v:shape>
          <o:OLEObject Type="Embed" ProgID="Visio.Drawing.15" ShapeID="ole_rId23" DrawAspect="Content" ObjectID="_1402025364" r:id="rId23"/>
        </w:object>
      </w:r>
    </w:p>
    <w:p>
      <w:pPr>
        <w:pStyle w:val="Normal"/>
        <w:rPr/>
      </w:pPr>
      <w:r>
        <w:rPr/>
        <w:fldChar w:fldCharType="begin"/>
      </w:r>
      <w:r>
        <w:rPr/>
        <w:instrText xml:space="preserve"> SEQ Pav \* ARABIC </w:instrText>
      </w:r>
      <w:r>
        <w:rPr/>
        <w:fldChar w:fldCharType="separate"/>
      </w:r>
      <w:r>
        <w:rPr/>
        <w:t>11</w:t>
      </w:r>
      <w:r>
        <w:rPr/>
        <w:fldChar w:fldCharType="end"/>
      </w:r>
      <w:r>
        <w:rPr/>
        <w:t xml:space="preserve"> </w:t>
      </w:r>
      <w:r>
        <w:rPr/>
        <w:t>pav. Koncepcinis finansinių formų duomenų modelis.</w:t>
      </w:r>
    </w:p>
    <w:p>
      <w:pPr>
        <w:pStyle w:val="Normal"/>
        <w:rPr>
          <w:i/>
          <w:i/>
        </w:rPr>
      </w:pPr>
      <w:r>
        <w:rPr/>
        <w:fldChar w:fldCharType="begin"/>
      </w:r>
      <w:r>
        <w:rPr/>
        <w:instrText xml:space="preserve"> SEQ Lentelė \* ARABIC </w:instrText>
      </w:r>
      <w:r>
        <w:rPr/>
        <w:fldChar w:fldCharType="separate"/>
      </w:r>
      <w:r>
        <w:rPr/>
        <w:t>13</w:t>
      </w:r>
      <w:r>
        <w:rPr/>
        <w:fldChar w:fldCharType="end"/>
      </w:r>
      <w:r>
        <w:rPr>
          <w:i/>
        </w:rPr>
        <w:t xml:space="preserve"> </w:t>
      </w:r>
      <w:r>
        <w:rPr>
          <w:i/>
        </w:rPr>
        <w:t>lentelė. Koncepcinio finansinių formų duomenų modelio esybės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Esybė</w:t>
            </w:r>
          </w:p>
        </w:tc>
        <w:tc>
          <w:tcPr>
            <w:tcW w:w="530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Aprašymas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Sritis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Saugomas sričių sąrašas.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Savivaldybė</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Saugomas savivaldybių sąrašas.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Programos sąmata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programų sąmatų detalūs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Darbo užmokesčio sąmata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darbo užmokesčio sąmatų detalūs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Sąmatos vykdymo ataskaita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sąmatų vykdymo ataskaitų detalūs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Darbo užmokesčio sąmatos vykdymo ataskaita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darbo užmokesčio sąmatų vykdymo ataskaitų detalūs duomenys.</w:t>
            </w:r>
          </w:p>
        </w:tc>
      </w:tr>
    </w:tbl>
    <w:p>
      <w:pPr>
        <w:pStyle w:val="Normal"/>
        <w:rPr/>
      </w:pPr>
      <w:r>
        <w:rPr/>
        <w:object>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439pt;height:42pt;mso-wrap-distance-right:0pt" filled="f" o:ole="">
            <v:imagedata r:id="rId26" o:title=""/>
          </v:shape>
          <o:OLEObject Type="Embed" ProgID="Visio.Drawing.15" ShapeID="ole_rId25" DrawAspect="Content" ObjectID="_2062939450" r:id="rId25"/>
        </w:object>
      </w:r>
    </w:p>
    <w:p>
      <w:pPr>
        <w:pStyle w:val="Normal"/>
        <w:rPr/>
      </w:pPr>
      <w:r>
        <w:rPr/>
        <w:fldChar w:fldCharType="begin"/>
      </w:r>
      <w:r>
        <w:rPr/>
        <w:instrText xml:space="preserve"> SEQ Pav \* ARABIC </w:instrText>
      </w:r>
      <w:r>
        <w:rPr/>
        <w:fldChar w:fldCharType="separate"/>
      </w:r>
      <w:r>
        <w:rPr/>
        <w:t>12</w:t>
      </w:r>
      <w:r>
        <w:rPr/>
        <w:fldChar w:fldCharType="end"/>
      </w:r>
      <w:r>
        <w:rPr/>
        <w:t xml:space="preserve"> </w:t>
      </w:r>
      <w:r>
        <w:rPr/>
        <w:t>pav. Koncepcinis naudotojų duomenų modelis.</w:t>
      </w:r>
    </w:p>
    <w:p>
      <w:pPr>
        <w:pStyle w:val="Normal"/>
        <w:rPr>
          <w:i/>
          <w:i/>
        </w:rPr>
      </w:pPr>
      <w:r>
        <w:rPr/>
        <w:fldChar w:fldCharType="begin"/>
      </w:r>
      <w:r>
        <w:rPr/>
        <w:instrText xml:space="preserve"> SEQ Lentelė \* ARABIC </w:instrText>
      </w:r>
      <w:r>
        <w:rPr/>
        <w:fldChar w:fldCharType="separate"/>
      </w:r>
      <w:r>
        <w:rPr/>
        <w:t>14</w:t>
      </w:r>
      <w:r>
        <w:rPr/>
        <w:fldChar w:fldCharType="end"/>
      </w:r>
      <w:r>
        <w:rPr>
          <w:i/>
        </w:rPr>
        <w:t xml:space="preserve"> </w:t>
      </w:r>
      <w:r>
        <w:rPr>
          <w:i/>
        </w:rPr>
        <w:t>lentelė. Koncepcinio naudotojų duomenų modelio esybės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Esybė</w:t>
            </w:r>
          </w:p>
        </w:tc>
        <w:tc>
          <w:tcPr>
            <w:tcW w:w="530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Aprašymas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Naudotojas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IT sprendime tvarkomi naudotojų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Savivaldybė</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Saugomas savivaldybių sąrašas.</w:t>
            </w:r>
          </w:p>
        </w:tc>
      </w:tr>
    </w:tbl>
    <w:p>
      <w:pPr>
        <w:pStyle w:val="Heading2"/>
        <w:numPr>
          <w:ilvl w:val="1"/>
          <w:numId w:val="58"/>
        </w:numPr>
        <w:rPr>
          <w:b/>
        </w:rPr>
      </w:pPr>
      <w:bookmarkStart w:id="26" w:name="_Toc192483615"/>
      <w:r>
        <w:rPr>
          <w:b/>
        </w:rPr>
        <w:t>Duomenų teikimas ir naudojimas</w:t>
      </w:r>
      <w:bookmarkEnd w:id="26"/>
    </w:p>
    <w:p>
      <w:pPr>
        <w:pStyle w:val="ListParagraph"/>
        <w:numPr>
          <w:ilvl w:val="0"/>
          <w:numId w:val="56"/>
        </w:numPr>
        <w:jc w:val="both"/>
        <w:rPr/>
      </w:pPr>
      <w:r>
        <w:rPr/>
        <w:t xml:space="preserve">IT sprendimo apibendrinti duomenys yra vieši ir teikiami duomenų gavėjams, jeigu Lietuvos Respublikos įstatymai, tiesiogiai taikomi Europos Sąjungos teisės aktai ar Lietuvos Respublikos tarptautinės sutartys nenustato kitaip. IT sprendime tvarkomi asmens duomenys duomenų gavėjams teikiami, vadovaujantis Reglamentu (ES) 2016/679, Valstybės informacinių išteklių valdymo įstatymu ir kitais teisės aktais, reglamentuojančiais asmens duomenų teikimą. </w:t>
      </w:r>
    </w:p>
    <w:p>
      <w:pPr>
        <w:pStyle w:val="ListParagraph"/>
        <w:numPr>
          <w:ilvl w:val="0"/>
          <w:numId w:val="56"/>
        </w:numPr>
        <w:jc w:val="both"/>
        <w:rPr/>
      </w:pPr>
      <w:r>
        <w:rPr/>
        <w:t xml:space="preserve"> </w:t>
      </w:r>
      <w:r>
        <w:rPr/>
        <w:t>IT sprendimo duomenys Europos Sąjungos valstybių narių ar Europos ekonominės erdvės valstybių duomenų gavėjams teikiami ta pačia tvarka ir sąlygomis, kaip ir Lietuvos Respublikos duomenų gavėjams.</w:t>
      </w:r>
    </w:p>
    <w:p>
      <w:pPr>
        <w:pStyle w:val="ListParagraph"/>
        <w:numPr>
          <w:ilvl w:val="0"/>
          <w:numId w:val="56"/>
        </w:numPr>
        <w:jc w:val="both"/>
        <w:rPr/>
      </w:pPr>
      <w:r>
        <w:rPr/>
        <w:t xml:space="preserve"> </w:t>
      </w:r>
      <w:r>
        <w:rPr/>
        <w:t>IT sprendimo duomenys trečiųjų šalių, kurios nėra Europos Sąjungos valstybės narės ar Europos ekonominės erdvės valstybės, duomenų gavėjams teikiami tokia pačia tvarka ir sąlygomis kaip ir Lietuvos Respublikos duomenų gavėjams, jeigu šio ir kitų Lietuvos Respublikos įstatymų, tiesiogiai taikomų Europos Sąjungos teisės aktų ir jų įgyvendinamųjų teisės aktų ar kitų tarptautinės</w:t>
      </w:r>
      <w:r>
        <w:rPr>
          <w:i/>
          <w:iCs/>
        </w:rPr>
        <w:t xml:space="preserve"> </w:t>
      </w:r>
      <w:r>
        <w:rPr/>
        <w:t xml:space="preserve">teisės aktų reikalavimai nenustato kitos tvarkos ar sąlygų, – tokiu atveju taikoma juose nustatyta tvarka ir sąlygos. </w:t>
      </w:r>
    </w:p>
    <w:p>
      <w:pPr>
        <w:pStyle w:val="ListParagraph"/>
        <w:numPr>
          <w:ilvl w:val="0"/>
          <w:numId w:val="56"/>
        </w:numPr>
        <w:jc w:val="both"/>
        <w:rPr/>
      </w:pPr>
      <w:r>
        <w:rPr/>
        <w:t>IT sprendimo duomenys gali būti:</w:t>
      </w:r>
    </w:p>
    <w:p>
      <w:pPr>
        <w:pStyle w:val="ListParagraph"/>
        <w:numPr>
          <w:ilvl w:val="1"/>
          <w:numId w:val="56"/>
        </w:numPr>
        <w:jc w:val="both"/>
        <w:rPr/>
      </w:pPr>
      <w:r>
        <w:rPr/>
        <w:t>pateikiami peržiūrėti leidžiamosios kreipties būdu internetu ar kitais elektroninių ryšių tinklais;</w:t>
      </w:r>
    </w:p>
    <w:p>
      <w:pPr>
        <w:pStyle w:val="ListParagraph"/>
        <w:numPr>
          <w:ilvl w:val="1"/>
          <w:numId w:val="56"/>
        </w:numPr>
        <w:jc w:val="both"/>
        <w:rPr/>
      </w:pPr>
      <w:r>
        <w:rPr/>
        <w:t>perduodami automatiniu būdu elektroninių ryšių tinklais;</w:t>
      </w:r>
    </w:p>
    <w:p>
      <w:pPr>
        <w:pStyle w:val="ListParagraph"/>
        <w:numPr>
          <w:ilvl w:val="1"/>
          <w:numId w:val="56"/>
        </w:numPr>
        <w:jc w:val="both"/>
        <w:rPr/>
      </w:pPr>
      <w:r>
        <w:rPr/>
        <w:t>teikiami raštu, žodžiu ir (arba) elektroninių ryšių priemonėmis;</w:t>
      </w:r>
    </w:p>
    <w:p>
      <w:pPr>
        <w:pStyle w:val="ListParagraph"/>
        <w:numPr>
          <w:ilvl w:val="1"/>
          <w:numId w:val="56"/>
        </w:numPr>
        <w:jc w:val="both"/>
        <w:rPr/>
      </w:pPr>
      <w:r>
        <w:rPr/>
        <w:t>pateikiami kitais Lietuvos Respublikos įstatymuose ir Europos Sąjungos teisės aktuose nustatytais būdais.</w:t>
      </w:r>
    </w:p>
    <w:p>
      <w:pPr>
        <w:pStyle w:val="ListParagraph"/>
        <w:numPr>
          <w:ilvl w:val="0"/>
          <w:numId w:val="56"/>
        </w:numPr>
        <w:jc w:val="both"/>
        <w:rPr/>
      </w:pPr>
      <w:r>
        <w:rPr/>
        <w:t xml:space="preserve"> </w:t>
      </w:r>
      <w:r>
        <w:rPr/>
        <w:t>IT sprendimo duomenys teikiami pagal duomenų teikimo sutartis (daugkartinio teikimo atvejais) arba pagal duomenų gavėjo prašymą (vienkartinio teikimo atvejais). Kai informacija teikiama pagal duomenų gavėjo prašymą, prašyme turi būti nurodytas prašomos informacijos teikimo ir gavimo teisinis pagrindas, jos naudojimo tikslas, teikimo būdas, apimtis, gavimo būdai, teikiamų duomenų formatas. Kai informacija duomenų gavėjui teikiama pagal duomenų teikimo sutartį, sutartyje turi būti nustatyta teikiamos informacijos apimtis, prašomos informacijos teikimo ir gavimo teisinis pagrindas, naudojimo tikslas, informacijos teikimo būdas, teikiamų duomenų formatas, teikimo terminai, informavimo apie klaidų ištaisymą tvarka ir terminai, sutarties keitimo tvarka.</w:t>
      </w:r>
    </w:p>
    <w:p>
      <w:pPr>
        <w:pStyle w:val="ListParagraph"/>
        <w:numPr>
          <w:ilvl w:val="0"/>
          <w:numId w:val="56"/>
        </w:numPr>
        <w:jc w:val="both"/>
        <w:rPr/>
      </w:pPr>
      <w:r>
        <w:rPr/>
        <w:t>Duomenys duomenų gavėjams teikiami tokio turinio ir tokios formos, kurie IT sprendimo duomenų valdytojo ir duomenų tvarkytojo naudojami ir nereikalauja papildomo duomenų apdorojimo. Jeigu  IT sprendimo tvarkomų duomenų formatas, turinys ar apimtis neatitinka duomenų gavėjo poreikių dėl duomenų formato, turinio ar apimties arba duomenų gavėjas neturi techninių galimybių tinkamai apdoroti gaunamų duomenų,  IT sprendimo duomenų valdytojas ir duomenų tvarkytojas gali sukurti programinę įrangą, reikalingą prašomam duomenų formatui, turiniui ar apimčiai parengti ir (ar) apdoroti. Duomenų gavėjas atlygina patirtas sąnaudas programinei įrangai sukurti ir palaikyti, nepaisant to, ar jis turi teisę gauti  IT sprendimo tvarkomus duomenis neatlygintinai Valstybės informacinių išteklių valdymo įstatymo 31 straipsnio 4 dalies 3 punkte nurodytu atveju.</w:t>
      </w:r>
    </w:p>
    <w:p>
      <w:pPr>
        <w:pStyle w:val="ListParagraph"/>
        <w:numPr>
          <w:ilvl w:val="0"/>
          <w:numId w:val="56"/>
        </w:numPr>
        <w:jc w:val="both"/>
        <w:rPr/>
      </w:pPr>
      <w:r>
        <w:rPr/>
        <w:t>Duomenų gavėjams pateikti  IT sprendimo duomenys gali būti naudojami tik teisėtiems ir apibrėžtiems tikslams, kuriems šie duomenys buvo suteikti, ir tik duomenų teikimo sutartyje ar prašyme nurodytu tikslu, teikimo sąlygomis ir tvarka arba kitų teisės aktų nustatyta tvarka, jei teisės aktai numato kitaip. Iš I IT sprendimo gauti duomenys negali būti iškraipomi ar kitaip keičiami ir juos naudodamas privalo nurodyti jų šaltinį.</w:t>
      </w:r>
    </w:p>
    <w:p>
      <w:pPr>
        <w:pStyle w:val="ListParagraph"/>
        <w:numPr>
          <w:ilvl w:val="0"/>
          <w:numId w:val="56"/>
        </w:numPr>
        <w:jc w:val="both"/>
        <w:rPr/>
      </w:pPr>
      <w:r>
        <w:rPr/>
        <w:t xml:space="preserve"> </w:t>
      </w:r>
      <w:r>
        <w:rPr/>
        <w:t xml:space="preserve">IT sprendimo sudaryti duomenų rinkiniai teikiami pakartotinai naudoti ir publikuojami vadovaujantis Teisės gauti informaciją ir duomenų pakartotinio naudojimo įstatymo nuostatomis. </w:t>
      </w:r>
    </w:p>
    <w:p>
      <w:pPr>
        <w:pStyle w:val="ListParagraph"/>
        <w:numPr>
          <w:ilvl w:val="0"/>
          <w:numId w:val="56"/>
        </w:numPr>
        <w:jc w:val="both"/>
        <w:rPr/>
      </w:pPr>
      <w:r>
        <w:rPr/>
        <w:t>Kai atsisakoma teikti  IT sprendimo duomenis, asmeniui, pateikusiam prašymą juos gauti, raštu</w:t>
      </w:r>
      <w:r>
        <w:rPr>
          <w:b/>
          <w:bCs/>
        </w:rPr>
        <w:t> </w:t>
      </w:r>
      <w:r>
        <w:rPr/>
        <w:t xml:space="preserve">arba elektroninių ryšių priemonėmis pranešama apie priimtą motyvuotą sprendimą atsisakyti tenkinti jo prašymą ir suteikiama informacija apie tokio sprendimo apskundimo tvarką. </w:t>
      </w:r>
    </w:p>
    <w:p>
      <w:pPr>
        <w:pStyle w:val="ListParagraph"/>
        <w:numPr>
          <w:ilvl w:val="0"/>
          <w:numId w:val="56"/>
        </w:numPr>
        <w:jc w:val="both"/>
        <w:rPr/>
      </w:pPr>
      <w:r>
        <w:rPr/>
        <w:t xml:space="preserve">Duomenų subjektai, jų įstatyminiai atstovai, duomenų gavėjai, registro ar kitos valstybės informacinės sistemos duomenų tvarkytojai, kiti asmenys turi teisę reikalauti ištaisyti neteisingus, netikslius, neišsamius  IT sprendimo duomenis (toliau – netikslūs duomenys). Rašytinį prašymą ištaisyti netikslius duomenis galima pateikti asmeniškai, paštu ar elektroninių ryšių priemonėmis. </w:t>
      </w:r>
    </w:p>
    <w:p>
      <w:pPr>
        <w:pStyle w:val="ListParagraph"/>
        <w:numPr>
          <w:ilvl w:val="0"/>
          <w:numId w:val="56"/>
        </w:numPr>
        <w:jc w:val="both"/>
        <w:rPr/>
      </w:pPr>
      <w:r>
        <w:rPr/>
        <w:t xml:space="preserve"> </w:t>
      </w:r>
      <w:r>
        <w:rPr/>
        <w:t>IT sprendimo duomenų valdytojas, gavęs duomenų subjektų, jų įstatyminių atstovų, duomenų gavėjų, registro ar kitos valstybės informacinės sistemos tvarkytojų, kitų asmenų rašytinį prašymą ištaisyti netikslius duomenis, nedelsdamas (ne ilgiau kaip per 5 darbo dienas) patikrina IT sprendimo duomenų tikslumą ir prireikus ištaiso netikslius duomenis. Pranešimas apie netikslių duomenų ištaisymą arba apie motyvuotą atsisakymą tai padaryti nedelsiant (ne vėliau kaip per vieną darbo dieną) siunčiamas asmeniui, pateikusiam rašytinį prašymą ištaisyti netikslius duomenis, paštu ir (ar) elektroninių ryšių priemonėmis. Ištaisęs netikslius duomenis,  IT sprendimo duomenų valdytojas ir duomenų tvarkytojas per vieną darbo dieną nuo jų ištaisymo apie tai praneša  IT sprendimo duomenų gavėjams, kuriems perduoti netikslūs duomenys.  IT sprendimo duomenų valdytojas ir duomenų tvarkytojas, nustatęs, kad yra  IT sprendimo duomenų netikslumų, turi nedelsdamas (ne vėliau kaip per vieną darbo dieną) elektroninių ryšių tinklais perduoti šią informaciją susijusiam duomenų teikėjui.</w:t>
      </w:r>
    </w:p>
    <w:p>
      <w:pPr>
        <w:pStyle w:val="Heading2"/>
        <w:numPr>
          <w:ilvl w:val="1"/>
          <w:numId w:val="58"/>
        </w:numPr>
        <w:rPr>
          <w:b/>
        </w:rPr>
      </w:pPr>
      <w:bookmarkStart w:id="27" w:name="_Toc192483616"/>
      <w:r>
        <w:rPr>
          <w:b/>
        </w:rPr>
        <w:t>Funkciniai reikalavimai</w:t>
      </w:r>
      <w:bookmarkEnd w:id="27"/>
    </w:p>
    <w:p>
      <w:pPr>
        <w:pStyle w:val="Heading3"/>
        <w:numPr>
          <w:ilvl w:val="2"/>
          <w:numId w:val="58"/>
        </w:numPr>
        <w:rPr/>
      </w:pPr>
      <w:bookmarkStart w:id="28" w:name="_Toc192483617"/>
      <w:r>
        <w:rPr/>
        <w:t>Bendrieji reikalavimai</w:t>
      </w:r>
      <w:bookmarkEnd w:id="28"/>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98"/>
        <w:gridCol w:w="7431"/>
      </w:tblGrid>
      <w:tr>
        <w:trPr>
          <w:tblHeader w:val="true"/>
        </w:trPr>
        <w:tc>
          <w:tcPr>
            <w:tcW w:w="169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31"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užtikrinta galimybė IT sprendimą naudoti keliuose naršyklės languose.</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filtruoti visus IT sprendime pateikiamus sąrašus pagal sąraše matomus laukus ir / ar kitus su Perkančiąja organizacija suderintus duomenis. Įgyvendinti su Perkančiąja organizacija suderintas numatytąsias filtravimo laukų reikšmes (pvz.: metų lauko reikšmę automatiškai nustatyti į einamuosius metus).</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visus IT sprendime pateikiamus sąrašus su visais matomais laukais eksportuoti į .xlsx, .docx formato rinkmenas. Jei sąrašas atfiltruotas, tai IT sprendimas turi eksportuoti tik atrinktus duomenis.</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patikrinti pildomų laukų reikšmių teisingumą pagal su Perkančiąja organizacija suderintas sąlygas.</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suformatuoti aprašomųjų tekstinių laukų turinį, pvz.: paryškinti, pabraukti tekstą, padaryti tekstą pasvirusiu, lygiuoti tekstą, keisti teksto šriftą, dydį, spalvą, įterpti automatinį numeravimą ar sąrašus (su ženkleliais ar numeriais), keisti įtrauką ir pan. Taip pat turi būti galimybė atlikti kitas įprastines tekstinių redaktorių funkcijas (pvz.: kopijuoti, įklijuoti ir kt.). Ši funkcija turi būti lengvai pasiekiama naudotojui ir intuityvi, panaši į standartinių teksto redaktorių funkcionalumą, siekiant užtikrinti sklandų darbą su tekstiniu turiniu. Formatuojamo turinio tekstinių laukų sąrašas turi būti suderintas su Perkančiąja organizacija.</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suteikti galimybę jo naudotojams pamatyti visos jame publikuojamos informacijos struktūrą (svetainės žemėlapis).</w:t>
            </w:r>
          </w:p>
        </w:tc>
      </w:tr>
    </w:tbl>
    <w:p>
      <w:pPr>
        <w:pStyle w:val="Heading3"/>
        <w:numPr>
          <w:ilvl w:val="2"/>
          <w:numId w:val="58"/>
        </w:numPr>
        <w:rPr/>
      </w:pPr>
      <w:bookmarkStart w:id="29" w:name="_Toc192483618"/>
      <w:r>
        <w:rPr/>
        <w:t>Reikalavimai paslaugų vykdymo funkcionalumui</w:t>
      </w:r>
      <w:bookmarkEnd w:id="29"/>
    </w:p>
    <w:p>
      <w:pPr>
        <w:pStyle w:val="Heading3"/>
        <w:numPr>
          <w:ilvl w:val="3"/>
          <w:numId w:val="58"/>
        </w:numPr>
        <w:rPr/>
      </w:pPr>
      <w:bookmarkStart w:id="30" w:name="_Toc192483619"/>
      <w:r>
        <w:rPr/>
        <w:t>Reikalavimai bazinių paslaugų registravimui ir vykdymui</w:t>
      </w:r>
      <w:bookmarkEnd w:id="30"/>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bazines paslaugas.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bazinei paslaugai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Bazinės paslaugos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31" w:name="_Hlk178063365"/>
            <w:r>
              <w:rPr>
                <w:rFonts w:cs="Times New Roman"/>
                <w:szCs w:val="24"/>
              </w:rPr>
              <w:t>Sritis.</w:t>
            </w:r>
            <w:bookmarkEnd w:id="31"/>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Visuomenės sveikatos paslaugų grupė.</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Tikslinė grupė.</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Bazinės paslaugos rūšis, t. y. požymis, ar kuriama bazinė, ar papildoma paslauga.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aprašymas.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32" w:name="_Hlk177447883"/>
            <w:r>
              <w:rPr>
                <w:rFonts w:cs="Times New Roman"/>
                <w:szCs w:val="24"/>
              </w:rPr>
              <w:t xml:space="preserve">Paslaugoje naudojamų vertinimo kriterijų </w:t>
            </w:r>
            <w:bookmarkStart w:id="33" w:name="_Hlk178087795"/>
            <w:r>
              <w:rPr>
                <w:rFonts w:cs="Times New Roman"/>
                <w:szCs w:val="24"/>
              </w:rPr>
              <w:t>sąrašas</w:t>
            </w:r>
            <w:bookmarkEnd w:id="33"/>
            <w:r>
              <w:rPr>
                <w:rFonts w:cs="Times New Roman"/>
                <w:szCs w:val="24"/>
              </w:rPr>
              <w:t>. Bazinė paslauga privalo turėti vieną arba daugiau vertinimo kriterijų</w:t>
            </w:r>
            <w:bookmarkEnd w:id="32"/>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Paslaugoje naudojamų gavėjų analitinių požymių sąrašas. Bazinė paslauga gali neturėti arba turėti vieną ar daugiau analitinių požymių.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Paslaugoje naudojamas papildomos ataskaitos duomenų rinkinys. Bazinė paslauga gali neturėti arba turėti vieną papildomos ataskaitos duomenų rinkinį.</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sprendimo bazinei paslaugai turi automatiškai priskirti bazinės paslaugos kodą. Neturi būti galimybės keisti bazinės paslaugos kodo.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nepatvirtintų ir nearchyvuotų bazinių paslaugų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patvirtinti bazines paslaugas.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atšaukti bazinių paslaugų patvirtinimą.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archyvuoti bazines paslaugas.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34" w:name="_Hlk177989901"/>
            <w:r>
              <w:rPr>
                <w:rFonts w:cs="Times New Roman"/>
                <w:szCs w:val="24"/>
              </w:rPr>
              <w:t>Turi būti galimybė pašalinti bazines paslaugas, kurios neturi susijusių paslaugų.</w:t>
            </w:r>
            <w:bookmarkEnd w:id="34"/>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sukurti bazinę paslaugą pagal kitos bazinės paslaugos duomenis (nukopijuoti).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bazinių paslaugų sąrašą su paslaugos kodo, būsenos, paslaugos pavadinimo, visuomenės sveikatos paslaugų grupės ir kitais su Perkančiąja organizacija suderintais duomenimis.</w:t>
            </w:r>
          </w:p>
        </w:tc>
      </w:tr>
    </w:tbl>
    <w:p>
      <w:pPr>
        <w:pStyle w:val="Heading3"/>
        <w:numPr>
          <w:ilvl w:val="3"/>
          <w:numId w:val="58"/>
        </w:numPr>
        <w:rPr/>
      </w:pPr>
      <w:bookmarkStart w:id="35" w:name="_Toc192483620"/>
      <w:r>
        <w:rPr/>
        <w:t>Reikalavimai visuomenės sveikatos biurų teikiamų paslaugų registravimui ir vykdymui</w:t>
      </w:r>
      <w:bookmarkEnd w:id="35"/>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visuomenės sveikatos biurų teikiamas paslaugas.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bookmarkStart w:id="36" w:name="_Ref178138362"/>
            <w:bookmarkStart w:id="37" w:name="_Ref178138362"/>
            <w:bookmarkEnd w:id="37"/>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paslaugai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Bazinė paslauga. Turi būti galima nurodyti tik patvirtintą bazinę paslaugą.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Savivaldybė. IT sprendimas neturi leisti nurodyti savivaldybės, kuri neatitinka paslaugą kuriančio naudotojo savivaldybės.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Metai.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Planavimo komentarai.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Vykdymo komentarai.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vertinimo kriterijų detalūs duomenys.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Kuriant paslaugą ir sukurtos paslaugos peržiūroje IT sprendimas turi automatiškai atvaizduoti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aprašymas.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Kuriant paslaugą, IT sprendimas turi automatiškai užpildyti šių duomenų reikšmes: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pavadinimo pradinę reikšmę pagal nurodytos bazinės paslaugos pavadinimą ir paslaugą kuriančio naudotojo savivaldybę. Turi būti galimybė pakeisti šią reikšmę.</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Kuriant paslaugą, IT sprendimas pagal nurodytą bazinę paslaugą turi automatiškai priskirti žemiau pateiktus duomenų sąrašus / rinkinius. Neturi būti galimybės šių duomenų sąrašų / rinkinių pašalinti, pridėti ar pakeisti. Duomenų sąrašų / rinkinių detalūs duomenys turi būti neužpildyti.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vertinimo kriterijų sąrašas.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gavėjų analitinių požymių sąrašas.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Papildomos ataskaitos duomenų rinkinys.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priskirti paslaugos kodą sukurtai paslaugai. Neturi būti galimybės keisti paslaugos kodo.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Turi būti galimybė keisti paslaugų</w:t>
            </w:r>
            <w:bookmarkStart w:id="38" w:name="_Hlk178081196"/>
            <w:r>
              <w:rPr>
                <w:rFonts w:cs="Times New Roman"/>
              </w:rPr>
              <w:t>, kurių vertinimo kriterijai nepateikti tvirtinimui, arba kurios turi bent vieną atmestą vertinimo kriterijų</w:t>
            </w:r>
            <w:bookmarkEnd w:id="38"/>
            <w:r>
              <w:rPr>
                <w:rFonts w:cs="Times New Roman"/>
              </w:rPr>
              <w:t xml:space="preserve">, </w:t>
            </w:r>
            <w:r>
              <w:rPr>
                <w:rFonts w:cs="Times New Roman"/>
              </w:rPr>
              <w:fldChar w:fldCharType="begin"/>
            </w:r>
            <w:r>
              <w:rPr>
                <w:rFonts w:cs="Times New Roman"/>
              </w:rPr>
              <w:instrText xml:space="preserve"> REF _Ref178138362 \r \h </w:instrText>
            </w:r>
            <w:r>
              <w:rPr>
                <w:rFonts w:cs="Times New Roman"/>
              </w:rPr>
              <w:fldChar w:fldCharType="separate"/>
            </w:r>
            <w:r>
              <w:rPr>
                <w:rFonts w:cs="Times New Roman"/>
              </w:rPr>
              <w:t>FR-18</w:t>
            </w:r>
            <w:r>
              <w:rPr>
                <w:rFonts w:cs="Times New Roman"/>
              </w:rPr>
              <w:fldChar w:fldCharType="end"/>
            </w:r>
            <w:r>
              <w:rPr>
                <w:rFonts w:cs="Times New Roman"/>
              </w:rPr>
              <w:t xml:space="preserve"> nurodytus duomenis, išskyrus nurodytą bazinę paslaugą.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pažymėti paslaugas suteiktomis.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atšaukti paslaugų pažymėjimą suteiktomis.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archyvuoti paslaugas.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paslaugas, kurių vertinimo kriterijai nepateikti tvirtinimui, arba kurios turi bent vieną atmestą vertinimo kriterijų.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sukurti paslaugą pagal kitos paslaugos duomenis (nukopijuoti).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39" w:name="_Hlk177643354"/>
            <w:r>
              <w:rPr>
                <w:rFonts w:cs="Times New Roman"/>
                <w:szCs w:val="24"/>
              </w:rPr>
              <w:t>Turi būti galimybė peržiūrėti visuomenės sveikatos biurų teikiamų paslaugų sąrašą su paslaugos kodo, būsenos, pradžios datos, metų, paslaugos pavadinimo, visuomenės sveikatos paslaugų grupės, savivaldybės ir kitais su Perkančiąja organizacija suderintais duomenimis</w:t>
            </w:r>
            <w:bookmarkEnd w:id="39"/>
            <w:r>
              <w:rPr>
                <w:rFonts w:cs="Times New Roman"/>
                <w:szCs w:val="24"/>
              </w:rPr>
              <w:t>.</w:t>
            </w:r>
          </w:p>
        </w:tc>
      </w:tr>
    </w:tbl>
    <w:p>
      <w:pPr>
        <w:pStyle w:val="Heading3"/>
        <w:numPr>
          <w:ilvl w:val="3"/>
          <w:numId w:val="58"/>
        </w:numPr>
        <w:rPr/>
      </w:pPr>
      <w:bookmarkStart w:id="40" w:name="_Toc192483621"/>
      <w:r>
        <w:rPr/>
        <w:t>Reikalavimai paslaugų vertinimo kriterijų pildymui ir valdymui</w:t>
      </w:r>
      <w:bookmarkEnd w:id="40"/>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pildyti paslaugų vertinimo kriterijų detalius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41" w:name="_Hlk177967772"/>
            <w:r>
              <w:rPr>
                <w:rFonts w:cs="Times New Roman"/>
                <w:szCs w:val="24"/>
              </w:rPr>
              <w:t>Vertinimo kriterijus turi būti galima pildyti vertinimo kriterijų sąraše arba paslaugos peržiūroje.</w:t>
            </w:r>
            <w:bookmarkEnd w:id="41"/>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42" w:name="_Hlk177968232"/>
            <w:r>
              <w:rPr>
                <w:rFonts w:cs="Times New Roman"/>
                <w:szCs w:val="24"/>
              </w:rPr>
              <w:t>Paslaugos vertinimo kriterijui turi būti galima nurodyti šiuos detalius duomenis:</w:t>
            </w:r>
            <w:bookmarkEnd w:id="42"/>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Suplanuota pirmą pusmetį. Turi būti galima pildyti tik tuo atveju, jei kriterijus nepateiktas tvirtinimui arba yra atmestas.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Įvykdyta pirmą pusmetį. Turi būti galima pildyti tik tuo atveju</w:t>
            </w:r>
            <w:bookmarkStart w:id="43" w:name="_Hlk177881295"/>
            <w:r>
              <w:rPr>
                <w:rFonts w:cs="Times New Roman"/>
                <w:szCs w:val="24"/>
              </w:rPr>
              <w:t>, jei:</w:t>
            </w:r>
          </w:p>
          <w:p>
            <w:pPr>
              <w:pStyle w:val="ListParagraph"/>
              <w:numPr>
                <w:ilvl w:val="0"/>
                <w:numId w:val="16"/>
              </w:numPr>
              <w:jc w:val="both"/>
              <w:rPr>
                <w:rFonts w:cs="Times New Roman"/>
                <w:szCs w:val="24"/>
              </w:rPr>
            </w:pPr>
            <w:r>
              <w:rPr>
                <w:rFonts w:cs="Times New Roman"/>
                <w:szCs w:val="24"/>
              </w:rPr>
              <w:t>Paslaugos vertinimo kriterijui žinyne nurodyta, kad jis apskaičiuojamas rankiniu būdu.</w:t>
            </w:r>
          </w:p>
          <w:p>
            <w:pPr>
              <w:pStyle w:val="ListParagraph"/>
              <w:numPr>
                <w:ilvl w:val="0"/>
                <w:numId w:val="16"/>
              </w:numPr>
              <w:jc w:val="both"/>
              <w:rPr>
                <w:rFonts w:cs="Times New Roman"/>
                <w:szCs w:val="24"/>
              </w:rPr>
            </w:pPr>
            <w:r>
              <w:rPr>
                <w:rFonts w:cs="Times New Roman"/>
                <w:szCs w:val="24"/>
              </w:rPr>
              <w:t>Visi paslaugos vertinimo kriterijai yra patvirtinti.</w:t>
            </w:r>
            <w:bookmarkEnd w:id="43"/>
          </w:p>
          <w:p>
            <w:pPr>
              <w:pStyle w:val="ListParagraph"/>
              <w:numPr>
                <w:ilvl w:val="0"/>
                <w:numId w:val="16"/>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44" w:name="_Hlk177650021"/>
            <w:r>
              <w:rPr>
                <w:rFonts w:cs="Times New Roman"/>
                <w:szCs w:val="24"/>
              </w:rPr>
              <w:t>Suplanuota viso</w:t>
            </w:r>
            <w:bookmarkEnd w:id="44"/>
            <w:r>
              <w:rPr>
                <w:rFonts w:cs="Times New Roman"/>
                <w:szCs w:val="24"/>
              </w:rPr>
              <w:t>. Turi būti galima pildyti tik tuo atveju, jei kriterijus nepateiktas tvirtinimui arba yra atmestas.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Įvykdyta viso. Turi būti galima pildyti tik tuo atveju, jei:</w:t>
            </w:r>
          </w:p>
          <w:p>
            <w:pPr>
              <w:pStyle w:val="ListParagraph"/>
              <w:numPr>
                <w:ilvl w:val="0"/>
                <w:numId w:val="17"/>
              </w:numPr>
              <w:jc w:val="both"/>
              <w:rPr>
                <w:rFonts w:cs="Times New Roman"/>
                <w:szCs w:val="24"/>
              </w:rPr>
            </w:pPr>
            <w:r>
              <w:rPr>
                <w:rFonts w:cs="Times New Roman"/>
                <w:szCs w:val="24"/>
              </w:rPr>
              <w:t>Paslaugos vertinimo kriterijui žinyne nurodyta, kad jis apskaičiuojamas rankiniu būdu.</w:t>
            </w:r>
          </w:p>
          <w:p>
            <w:pPr>
              <w:pStyle w:val="ListParagraph"/>
              <w:numPr>
                <w:ilvl w:val="0"/>
                <w:numId w:val="17"/>
              </w:numPr>
              <w:jc w:val="both"/>
              <w:rPr>
                <w:rFonts w:cs="Times New Roman"/>
                <w:szCs w:val="24"/>
              </w:rPr>
            </w:pPr>
            <w:r>
              <w:rPr>
                <w:rFonts w:cs="Times New Roman"/>
                <w:szCs w:val="24"/>
              </w:rPr>
              <w:t>Visi paslaugos vertinimo kriterijai yra patvirtinti.</w:t>
            </w:r>
          </w:p>
          <w:p>
            <w:pPr>
              <w:pStyle w:val="ListParagraph"/>
              <w:numPr>
                <w:ilvl w:val="0"/>
                <w:numId w:val="17"/>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Pastabos. Turi būti galima pildyti tik tuo atveju, jei:</w:t>
            </w:r>
          </w:p>
          <w:p>
            <w:pPr>
              <w:pStyle w:val="ListParagraph"/>
              <w:numPr>
                <w:ilvl w:val="0"/>
                <w:numId w:val="18"/>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apskaičiuoti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Pirmo pusmečio įvykdymo procentas = Įvykdyta pirmą pusmetį / Suplanuota pirmą pusmetį * 100. Jei Pirmo pusmečio įvykdymo procentas mažesnis nei 90 arba didesnis nei 110 ir neįvesta pastaba, tai vertinimo kriterijus turi būti išskirtas sąraše, kad naudotojas atkreiptų dėmesį ir įvestų pastabas.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Įvykdymo procentas = Įvykdyta viso / Suplanuota viso * 100. Jei Įvykdymo procentas mažesnis nei 90 arba didesnis nei 110 ir neįvesta pastaba, tai vertinimo kriterijus turi būti išskirtas sąraše, kad naudotojas atkreiptų dėmesį ir įvestų pastabas.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pateikti paslaugos vertinimo kriterijus patvirtinimui.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pažymėti pateiktų patvirtinimui paslaugų vertinimo kriterijus suderintais.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patvirtinti suderintus paslaugų vertinimo kriterijus.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atmesti pateiktus tvirtinimui, suderintus ir patvirtintus paslaugų vertinimo kriterijus.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galimybė peržiūrėti paslaugų vertinimo kriterijų sąrašą su vertinimo kriterijaus pavadinimo, srities, bazinės paslaugos, savivaldybės, suplanuota pirmą pusmetį, įvykdyta pirmą pusmetį, pirmo pusmečio įvykdymo procento, suplanuota viso, įvykdyta viso, įvykdymo procento, pastabos </w:t>
            </w:r>
            <w:bookmarkStart w:id="45" w:name="_Hlk177886281"/>
            <w:r>
              <w:rPr>
                <w:rFonts w:cs="Times New Roman"/>
                <w:szCs w:val="24"/>
              </w:rPr>
              <w:t>ir kitais su Perkančiąja organizacija suderintais duomenimis</w:t>
            </w:r>
            <w:bookmarkEnd w:id="45"/>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bookmarkStart w:id="46" w:name="_Ref178597739"/>
            <w:bookmarkStart w:id="47" w:name="_Ref178597739"/>
            <w:bookmarkEnd w:id="47"/>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vertinimo kriterijų sąrašas turi būti papildomai pateikiamas viešojoje IT sprendimo dalyje (t. y. matomas neprisijungusiems naudotojams).</w:t>
            </w:r>
          </w:p>
        </w:tc>
      </w:tr>
    </w:tbl>
    <w:p>
      <w:pPr>
        <w:pStyle w:val="Heading3"/>
        <w:numPr>
          <w:ilvl w:val="3"/>
          <w:numId w:val="58"/>
        </w:numPr>
        <w:rPr/>
      </w:pPr>
      <w:bookmarkStart w:id="48" w:name="_Toc192483622"/>
      <w:r>
        <w:rPr/>
        <w:t xml:space="preserve">Reikalavimai </w:t>
      </w:r>
      <w:r>
        <w:rPr>
          <w:rFonts w:cs="Times New Roman"/>
          <w:szCs w:val="24"/>
        </w:rPr>
        <w:t xml:space="preserve">SRDI </w:t>
      </w:r>
      <w:r>
        <w:rPr/>
        <w:t>registravimui</w:t>
      </w:r>
      <w:bookmarkEnd w:id="48"/>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stebėsenos rodiklį detalizuojančią informaciją.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49" w:name="_Hlk177802617"/>
            <w:r>
              <w:rPr>
                <w:rFonts w:cs="Times New Roman"/>
                <w:szCs w:val="24"/>
              </w:rPr>
              <w:t>SRDI turi būti galima kurti SRDI sąraše arba paslaugos peržiūroje.</w:t>
            </w:r>
            <w:bookmarkEnd w:id="49"/>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Stebėsenos rodiklį detalizuojančią informaciją turi būti galima kurti tik paslaugoms, kurios atitinka visas sąlygas:</w:t>
            </w:r>
          </w:p>
          <w:p>
            <w:pPr>
              <w:pStyle w:val="ListParagraph"/>
              <w:numPr>
                <w:ilvl w:val="0"/>
                <w:numId w:val="19"/>
              </w:numPr>
              <w:jc w:val="both"/>
              <w:rPr>
                <w:rFonts w:cs="Times New Roman"/>
                <w:szCs w:val="24"/>
              </w:rPr>
            </w:pPr>
            <w:r>
              <w:rPr>
                <w:rFonts w:cs="Times New Roman"/>
                <w:szCs w:val="24"/>
              </w:rPr>
              <w:t>Turi bent vieną paslaugos vertinimo kriterijų, kuriam žinyne nurodyta, kad jis apskaičiuojamas ne rankiniu būdu.</w:t>
            </w:r>
          </w:p>
          <w:p>
            <w:pPr>
              <w:pStyle w:val="ListParagraph"/>
              <w:numPr>
                <w:ilvl w:val="0"/>
                <w:numId w:val="19"/>
              </w:numPr>
              <w:jc w:val="both"/>
              <w:rPr>
                <w:rFonts w:cs="Times New Roman"/>
                <w:szCs w:val="24"/>
              </w:rPr>
            </w:pPr>
            <w:bookmarkStart w:id="50" w:name="_Hlk177884139"/>
            <w:r>
              <w:rPr>
                <w:rFonts w:cs="Times New Roman"/>
                <w:szCs w:val="24"/>
              </w:rPr>
              <w:t>Visi paslaugos vertinimo kriterijai yra patvirtinti.</w:t>
            </w:r>
          </w:p>
          <w:p>
            <w:pPr>
              <w:pStyle w:val="ListParagraph"/>
              <w:numPr>
                <w:ilvl w:val="0"/>
                <w:numId w:val="19"/>
              </w:numPr>
              <w:spacing w:before="40" w:after="160"/>
              <w:contextualSpacing/>
              <w:jc w:val="both"/>
              <w:rPr>
                <w:rFonts w:cs="Times New Roman"/>
                <w:szCs w:val="24"/>
              </w:rPr>
            </w:pPr>
            <w:bookmarkStart w:id="51" w:name="_Hlk177884139"/>
            <w:r>
              <w:rPr>
                <w:rFonts w:cs="Times New Roman"/>
                <w:szCs w:val="24"/>
              </w:rPr>
              <w:t>Paslauga nėra suteikta.</w:t>
            </w:r>
            <w:bookmarkEnd w:id="51"/>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SRDI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SRDI data.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Dalyvių skaičius.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Pirmą kartą apsilankiusių dalyvių skaičius.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SRDI aprašymas.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priskirti apsilankymo kodą sukurtam apsilankymui. Neturi būti galimybės keisti apsilankymo kodo.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apskaičiuoti paslaugos vertinimo kriterijų reikšmes pagal visų paslaugos SRDI duomenis.</w:t>
              <w:tab/>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Jei paslauga turi vertinimo kriterijų, kuris apskaičiuojamas pagal SRDI kiekį, tai įvykdymo duomenis apskaičiuoja pagal paslaugos SRDI kiekį.</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Jei paslauga turi vertinimo kriterijų, kuris apskaičiuojamas pagal SRDI dalyvių skaičių, tai įvykdymo duomenis apskaičiuoja pagal visų SRDI dalyvių skaičių sumą.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Jei paslauga turi vertinimo kriterijų, kuris apskaičiuojamas pagal SRDI pirmą kartą apsilankiusių dalyvių skaičių, tai įvykdymo duomenis apskaičiuoja pagal visų SRDI pirmą kartą apsilankiusių dalyvių skaičių sumą.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Jei paslauga turi vertinimo kriterijų, kuris apskaičiuojamas pagal vienam SRDI tenkančių dalyvių skaičių, tai įvykdymo duomenis apskaičiuoja pagal formulę: vienam SRDI tenkančių dalyvių skaičius = visų SRDI dalyvių skaičių suma / SRDI kiekis.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SRDI duomenis tik paslaugoms, kurios atitinka visas sąlygas:</w:t>
            </w:r>
          </w:p>
          <w:p>
            <w:pPr>
              <w:pStyle w:val="ListParagraph"/>
              <w:numPr>
                <w:ilvl w:val="0"/>
                <w:numId w:val="21"/>
              </w:numPr>
              <w:jc w:val="both"/>
              <w:rPr>
                <w:rFonts w:cs="Times New Roman"/>
                <w:szCs w:val="24"/>
              </w:rPr>
            </w:pPr>
            <w:r>
              <w:rPr>
                <w:rFonts w:cs="Times New Roman"/>
                <w:szCs w:val="24"/>
              </w:rPr>
              <w:t>Turi bent vieną paslaugos vertinimo kriterijų, kuriam žinyne nurodyta, kad jis apskaičiuojamas ne rankiniu būdu.</w:t>
            </w:r>
          </w:p>
          <w:p>
            <w:pPr>
              <w:pStyle w:val="ListParagraph"/>
              <w:numPr>
                <w:ilvl w:val="0"/>
                <w:numId w:val="21"/>
              </w:numPr>
              <w:jc w:val="both"/>
              <w:rPr>
                <w:rFonts w:cs="Times New Roman"/>
                <w:szCs w:val="24"/>
              </w:rPr>
            </w:pPr>
            <w:r>
              <w:rPr>
                <w:rFonts w:cs="Times New Roman"/>
                <w:szCs w:val="24"/>
              </w:rPr>
              <w:t>Visi paslaugos vertinimo kriterijai yra patvirtinti.</w:t>
            </w:r>
          </w:p>
          <w:p>
            <w:pPr>
              <w:pStyle w:val="ListParagraph"/>
              <w:numPr>
                <w:ilvl w:val="0"/>
                <w:numId w:val="21"/>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SRDI tik paslaugoms, kurios atitinka visas sąlygas:</w:t>
            </w:r>
          </w:p>
          <w:p>
            <w:pPr>
              <w:pStyle w:val="ListParagraph"/>
              <w:numPr>
                <w:ilvl w:val="0"/>
                <w:numId w:val="32"/>
              </w:numPr>
              <w:jc w:val="both"/>
              <w:rPr>
                <w:rFonts w:cs="Times New Roman"/>
                <w:szCs w:val="24"/>
              </w:rPr>
            </w:pPr>
            <w:r>
              <w:rPr>
                <w:rFonts w:cs="Times New Roman"/>
                <w:szCs w:val="24"/>
              </w:rPr>
              <w:t>Turi bent vieną paslaugos vertinimo kriterijų, kuriam žinyne nurodyta, kad jis apskaičiuojamas ne rankiniu būdu.</w:t>
            </w:r>
          </w:p>
          <w:p>
            <w:pPr>
              <w:pStyle w:val="ListParagraph"/>
              <w:numPr>
                <w:ilvl w:val="0"/>
                <w:numId w:val="32"/>
              </w:numPr>
              <w:jc w:val="both"/>
              <w:rPr>
                <w:rFonts w:cs="Times New Roman"/>
                <w:szCs w:val="24"/>
              </w:rPr>
            </w:pPr>
            <w:r>
              <w:rPr>
                <w:rFonts w:cs="Times New Roman"/>
                <w:szCs w:val="24"/>
              </w:rPr>
              <w:t>Visi paslaugos vertinimo kriterijai yra patvirtinti.</w:t>
            </w:r>
          </w:p>
          <w:p>
            <w:pPr>
              <w:pStyle w:val="ListParagraph"/>
              <w:numPr>
                <w:ilvl w:val="0"/>
                <w:numId w:val="32"/>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sukurti SRDI pagal kito SRDI duomenis (nukopijuoti).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52" w:name="_Hlk178056487"/>
            <w:r>
              <w:rPr>
                <w:rFonts w:cs="Times New Roman"/>
                <w:szCs w:val="24"/>
              </w:rPr>
              <w:t>Turi būti galimybė peržiūrėti paslaugų SRDI sąrašą su SRDI kodo, būsenos, datos, dalyvių skaičiaus, pirmą kartą apsilankiusių dalyvių, SRDI aprašymo, paslaugos pavadinimo, vertinimo kriterijaus, paslaugos tikslinės grupės, savivaldybės ir kitais su Perkančiąja organizacija suderintais duomenimis.</w:t>
            </w:r>
            <w:bookmarkEnd w:id="52"/>
          </w:p>
        </w:tc>
      </w:tr>
    </w:tbl>
    <w:p>
      <w:pPr>
        <w:pStyle w:val="Heading3"/>
        <w:numPr>
          <w:ilvl w:val="3"/>
          <w:numId w:val="58"/>
        </w:numPr>
        <w:rPr/>
      </w:pPr>
      <w:bookmarkStart w:id="53" w:name="_Toc192483623"/>
      <w:r>
        <w:rPr/>
        <w:t>Reikalavimai paslaugos gavėjų analitinių požymių pildymui</w:t>
      </w:r>
      <w:bookmarkEnd w:id="53"/>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pildyti </w:t>
            </w:r>
            <w:bookmarkStart w:id="54" w:name="_Hlk177648281"/>
            <w:r>
              <w:rPr>
                <w:rFonts w:cs="Times New Roman"/>
                <w:szCs w:val="24"/>
              </w:rPr>
              <w:t>paslaugos analitinių požymių detalius duomenis</w:t>
            </w:r>
            <w:bookmarkEnd w:id="54"/>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gavėjų analitinių požymių detalius duomenis turi būti galima pildyti paslaugos peržiūroje.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analitinių požymių detalius duomenis turi būti galima pildyti, jei:</w:t>
            </w:r>
          </w:p>
          <w:p>
            <w:pPr>
              <w:pStyle w:val="ListParagraph"/>
              <w:numPr>
                <w:ilvl w:val="0"/>
                <w:numId w:val="31"/>
              </w:numPr>
              <w:jc w:val="both"/>
              <w:rPr>
                <w:rFonts w:cs="Times New Roman"/>
                <w:szCs w:val="24"/>
              </w:rPr>
            </w:pPr>
            <w:r>
              <w:rPr>
                <w:rFonts w:cs="Times New Roman"/>
                <w:szCs w:val="24"/>
              </w:rPr>
              <w:t>Paslaugai priskirtas paslaugos gavėjų analitinių požymių sąrašas.</w:t>
            </w:r>
          </w:p>
          <w:p>
            <w:pPr>
              <w:pStyle w:val="ListParagraph"/>
              <w:numPr>
                <w:ilvl w:val="0"/>
                <w:numId w:val="31"/>
              </w:numPr>
              <w:jc w:val="both"/>
              <w:rPr>
                <w:rFonts w:cs="Times New Roman"/>
                <w:szCs w:val="24"/>
              </w:rPr>
            </w:pPr>
            <w:r>
              <w:rPr>
                <w:rFonts w:cs="Times New Roman"/>
                <w:szCs w:val="24"/>
              </w:rPr>
              <w:t>Visi paslaugos vertinimo kriterijai yra patvirtinti.</w:t>
            </w:r>
          </w:p>
          <w:p>
            <w:pPr>
              <w:pStyle w:val="ListParagraph"/>
              <w:numPr>
                <w:ilvl w:val="0"/>
                <w:numId w:val="31"/>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gavėjų analitiniam požymiui turi būti galima nurodyti detalius duomenis, kurie atitinkamam požymiui priskirti žinyne.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paslaugų gavėjų analitinių požymių sąrašą su analitinio požymio pavadinimo, savivaldybės, analitinių požymių detalių duomenų reikšmėmis ir / arba apskaičiuotos procentinės dalies duomenimis ir kitais su Perkančiąja organizacija suderintais duomenimis.</w:t>
            </w:r>
          </w:p>
        </w:tc>
      </w:tr>
    </w:tbl>
    <w:p>
      <w:pPr>
        <w:pStyle w:val="Heading3"/>
        <w:numPr>
          <w:ilvl w:val="3"/>
          <w:numId w:val="58"/>
        </w:numPr>
        <w:rPr/>
      </w:pPr>
      <w:bookmarkStart w:id="55" w:name="_Toc192483624"/>
      <w:r>
        <w:rPr/>
        <w:t>Reikalavimai papildomų ataskaitų duomenų pildymui</w:t>
      </w:r>
      <w:bookmarkEnd w:id="55"/>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pildyti paslaugos papildomos ataskaitos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papildomos ataskaitos duomenis turi būti galima pildyti paslaugos peržiūroje.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papildomos ataskaitos duomenis turi būti galima pildyti, jei:</w:t>
            </w:r>
          </w:p>
          <w:p>
            <w:pPr>
              <w:pStyle w:val="ListParagraph"/>
              <w:numPr>
                <w:ilvl w:val="0"/>
                <w:numId w:val="20"/>
              </w:numPr>
              <w:jc w:val="both"/>
              <w:rPr>
                <w:rFonts w:cs="Times New Roman"/>
                <w:szCs w:val="24"/>
              </w:rPr>
            </w:pPr>
            <w:r>
              <w:rPr>
                <w:rFonts w:cs="Times New Roman"/>
                <w:szCs w:val="24"/>
              </w:rPr>
              <w:t>Paslaugai priskirtas papildomos ataskaitos duomenų rinkinys.</w:t>
            </w:r>
          </w:p>
          <w:p>
            <w:pPr>
              <w:pStyle w:val="ListParagraph"/>
              <w:numPr>
                <w:ilvl w:val="0"/>
                <w:numId w:val="20"/>
              </w:numPr>
              <w:jc w:val="both"/>
              <w:rPr>
                <w:rFonts w:cs="Times New Roman"/>
                <w:szCs w:val="24"/>
              </w:rPr>
            </w:pPr>
            <w:r>
              <w:rPr>
                <w:rFonts w:cs="Times New Roman"/>
                <w:szCs w:val="24"/>
              </w:rPr>
              <w:t>Visi paslaugos vertinimo kriterijai yra patvirtinti.</w:t>
            </w:r>
          </w:p>
          <w:p>
            <w:pPr>
              <w:pStyle w:val="ListParagraph"/>
              <w:numPr>
                <w:ilvl w:val="0"/>
                <w:numId w:val="20"/>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Paslaugos papildomos ataskaitos duomenys turi būti pildomi priklausomai nuo bazinei paslaugai priskirto paslaugoje naudojamo papildomos ataskaitos duomenų rinkinio, pvz.: vienos ataskaitos pildomi duomenys gali apimti įvedamus tekstinius duomenis, datos ir laiko duomenis, skaičius, apskaičiuojamus duomenis, numeruojamus duomenis, pasirenkamus duomenis su iš anksto apibrėžtomis reikšmėmis, sąrašus su daug stulpelių ir kintančiu eilučių skaičiumi, sąrašus su daug stulpelių ir fiksuotu daugelio eilučių skaičiumi. Papildomų ataskaitų sąrašas pateiktas </w:t>
            </w:r>
            <w:r>
              <w:rPr>
                <w:rFonts w:cs="Times New Roman"/>
                <w:szCs w:val="24"/>
              </w:rPr>
              <w:fldChar w:fldCharType="begin"/>
            </w:r>
            <w:r>
              <w:rPr>
                <w:szCs w:val="24"/>
                <w:rFonts w:cs="Times New Roman"/>
              </w:rPr>
              <w:instrText xml:space="preserve"> REF _Ref177972320 \r \h </w:instrText>
            </w:r>
            <w:r>
              <w:rPr>
                <w:szCs w:val="24"/>
                <w:rFonts w:cs="Times New Roman"/>
              </w:rPr>
              <w:fldChar w:fldCharType="separate"/>
            </w:r>
            <w:r>
              <w:rPr>
                <w:szCs w:val="24"/>
                <w:rFonts w:cs="Times New Roman"/>
              </w:rPr>
              <w:t>6.5.6</w:t>
            </w:r>
            <w:r>
              <w:rPr>
                <w:szCs w:val="24"/>
                <w:rFonts w:cs="Times New Roman"/>
              </w:rPr>
              <w:fldChar w:fldCharType="end"/>
            </w:r>
            <w:r>
              <w:rPr>
                <w:rFonts w:cs="Times New Roman"/>
                <w:szCs w:val="24"/>
              </w:rPr>
              <w:t xml:space="preserve"> </w:t>
            </w:r>
            <w:r>
              <w:rPr>
                <w:rFonts w:cs="Times New Roman"/>
                <w:szCs w:val="24"/>
              </w:rPr>
              <w:fldChar w:fldCharType="begin"/>
            </w:r>
            <w:r>
              <w:rPr>
                <w:szCs w:val="24"/>
                <w:rFonts w:cs="Times New Roman"/>
              </w:rPr>
              <w:instrText xml:space="preserve"> REF _Ref177972320 \h </w:instrText>
            </w:r>
            <w:r>
              <w:rPr>
                <w:szCs w:val="24"/>
                <w:rFonts w:cs="Times New Roman"/>
              </w:rPr>
              <w:fldChar w:fldCharType="separate"/>
            </w:r>
            <w:r>
              <w:rPr>
                <w:szCs w:val="24"/>
                <w:rFonts w:cs="Times New Roman"/>
              </w:rPr>
              <w:t>Reikalavimai ataskaitoms</w:t>
            </w:r>
            <w:r>
              <w:rPr>
                <w:szCs w:val="24"/>
                <w:rFonts w:cs="Times New Roman"/>
              </w:rPr>
              <w:fldChar w:fldCharType="end"/>
            </w:r>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užpildyti kelis papildomų ataskaitų duomenų rinkinius vienai paslaugai, pvz.: jei teikiamos atskiros pusės metų ir metinė ataskaitos.</w:t>
            </w:r>
          </w:p>
        </w:tc>
      </w:tr>
    </w:tbl>
    <w:p>
      <w:pPr>
        <w:pStyle w:val="Heading3"/>
        <w:numPr>
          <w:ilvl w:val="2"/>
          <w:numId w:val="58"/>
        </w:numPr>
        <w:rPr/>
      </w:pPr>
      <w:bookmarkStart w:id="56" w:name="_Toc192483625"/>
      <w:r>
        <w:rPr/>
        <w:t>Reikalavimai specialios tikslinės dotacijos planavimui</w:t>
      </w:r>
      <w:bookmarkEnd w:id="56"/>
    </w:p>
    <w:p>
      <w:pPr>
        <w:pStyle w:val="Heading3"/>
        <w:numPr>
          <w:ilvl w:val="3"/>
          <w:numId w:val="58"/>
        </w:numPr>
        <w:rPr/>
      </w:pPr>
      <w:bookmarkStart w:id="57" w:name="_Toc192483626"/>
      <w:r>
        <w:rPr/>
        <w:t>Reikalavimai paskirstymo bazių pildymui</w:t>
      </w:r>
      <w:bookmarkEnd w:id="57"/>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paskirstymo bazes.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paskirstymo bazei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bazės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bazės tipas.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Duomenų metai.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bazės eilutės. Eilučių skaičius neturi būti ribojamas.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bazės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Savivaldybė.</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Bendras skaičius.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Skaičius kaime.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Skaičius mieste.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Turi būti galimybė automatiškai įkelti šių paskirstymo bazių duomenis iš VDVIS integracinės sąsajos:</w:t>
            </w:r>
          </w:p>
          <w:p>
            <w:pPr>
              <w:pStyle w:val="ListParagraph"/>
              <w:numPr>
                <w:ilvl w:val="0"/>
                <w:numId w:val="25"/>
              </w:numPr>
              <w:jc w:val="both"/>
              <w:rPr>
                <w:rFonts w:cs="Times New Roman"/>
                <w:szCs w:val="24"/>
              </w:rPr>
            </w:pPr>
            <w:r>
              <w:rPr>
                <w:rFonts w:cs="Times New Roman"/>
                <w:szCs w:val="24"/>
              </w:rPr>
              <w:t>Gyventojai.</w:t>
            </w:r>
          </w:p>
          <w:p>
            <w:pPr>
              <w:pStyle w:val="ListParagraph"/>
              <w:numPr>
                <w:ilvl w:val="0"/>
                <w:numId w:val="25"/>
              </w:numPr>
              <w:jc w:val="both"/>
              <w:rPr>
                <w:rFonts w:cs="Times New Roman"/>
                <w:szCs w:val="24"/>
              </w:rPr>
            </w:pPr>
            <w:r>
              <w:rPr>
                <w:rFonts w:cs="Times New Roman"/>
                <w:szCs w:val="24"/>
              </w:rPr>
              <w:t>Mokiniai.</w:t>
            </w:r>
          </w:p>
          <w:p>
            <w:pPr>
              <w:pStyle w:val="ListParagraph"/>
              <w:numPr>
                <w:ilvl w:val="0"/>
                <w:numId w:val="25"/>
              </w:numPr>
              <w:jc w:val="both"/>
              <w:rPr>
                <w:rFonts w:cs="Times New Roman"/>
                <w:szCs w:val="24"/>
              </w:rPr>
            </w:pPr>
            <w:r>
              <w:rPr>
                <w:rFonts w:cs="Times New Roman"/>
                <w:szCs w:val="24"/>
              </w:rPr>
              <w:t>Mokymo įstaigos.</w:t>
            </w:r>
          </w:p>
          <w:p>
            <w:pPr>
              <w:pStyle w:val="Normal"/>
              <w:spacing w:before="40" w:after="160"/>
              <w:jc w:val="both"/>
              <w:rPr>
                <w:rFonts w:cs="Times New Roman"/>
                <w:szCs w:val="24"/>
              </w:rPr>
            </w:pPr>
            <w:r>
              <w:rPr>
                <w:rFonts w:cs="Times New Roman"/>
                <w:szCs w:val="24"/>
              </w:rPr>
              <w:t>Pastaba. Šio reikalavimo įgyvendinimo poreikis turi būti suderintas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importuoti paskirstymo bazės duomenis iš .xlsx, .csv, .xml formato rinkmenos.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eksportuoti paskirstymo bazės duomenis į .xlsx formato rinkmeną.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automatiškai apskaičiuoti gyventojų, išskyrus mokinius paskirstymo bazės duomenis pagal gyventojų ir mokinių paskirstymo bazių duomenis: Gyventojų, išskyrus mokinius skaičius = Gyventojų skaičius - Mokinių skaičius.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paskirstymo bazių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paskirstymo bazes, kurios neturi susijusių dotacijų paskirstymų.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paskirstymo bazių sąrašą su paskirstymo bazės pavadinimo, paskirstymo bazės tipo, duomenų metų ir kitais su Perkančiąja organizacija suderintais duomenimis.</w:t>
            </w:r>
          </w:p>
        </w:tc>
      </w:tr>
    </w:tbl>
    <w:p>
      <w:pPr>
        <w:pStyle w:val="Heading3"/>
        <w:numPr>
          <w:ilvl w:val="3"/>
          <w:numId w:val="58"/>
        </w:numPr>
        <w:rPr/>
      </w:pPr>
      <w:bookmarkStart w:id="58" w:name="_Toc192483627"/>
      <w:r>
        <w:rPr/>
        <w:t>Reikalavimai paskirstymo normų pildymui</w:t>
      </w:r>
      <w:bookmarkEnd w:id="58"/>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paskirstymo normas.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paskirstymo normai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normos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normos eilutės. Eilučių skaičius neturi būti ribojamas.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normos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Bazė nuo.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Bazė iki.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Miestas/kaimas. Turi būti galima nurodyti: Miestas, Kaimas, Miestas + Kaimas.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Etatų norma.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Kitų išlaidų fondas %.</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paskirstymo normų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paskirstymo normas, kurios neturi susijusių dotacijų paskirstymų.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paskirstymo normų sąrašą su paskirstymo normos pavadinimo ir kitais su Perkančiąja organizacija suderintais duomenimis.</w:t>
            </w:r>
          </w:p>
        </w:tc>
      </w:tr>
    </w:tbl>
    <w:p>
      <w:pPr>
        <w:pStyle w:val="Heading3"/>
        <w:numPr>
          <w:ilvl w:val="3"/>
          <w:numId w:val="58"/>
        </w:numPr>
        <w:rPr/>
      </w:pPr>
      <w:bookmarkStart w:id="59" w:name="_Toc192483628"/>
      <w:r>
        <w:rPr/>
        <w:t>Reikalavimai dotacijų paskirstymų pildymui</w:t>
      </w:r>
      <w:bookmarkEnd w:id="59"/>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dotacijų paskirstymus.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Kuriamam dotacijų paskirstymui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bazė.</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norma.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Dotacijos paskirstymo tipas. Turi būti galima nurodyti: DU fondas, DU fondas + kitos išlaidos, Kitos išlaidos.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Sritis.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Maksimalus valstybės biudžeto asignavimas.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Planavimo laikotarpis.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Minimalus koeficientas.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60" w:name="_Hlk178000074"/>
            <w:r>
              <w:rPr>
                <w:rFonts w:cs="Times New Roman"/>
                <w:szCs w:val="24"/>
              </w:rPr>
              <w:t>Maksimalus koeficientas</w:t>
            </w:r>
            <w:bookmarkEnd w:id="60"/>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Pareiginės algos bazinis dydis.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61" w:name="_Hlk177996933"/>
            <w:r>
              <w:rPr>
                <w:rFonts w:cs="Times New Roman"/>
                <w:szCs w:val="24"/>
              </w:rPr>
              <w:t>DU kintamoji dalis %</w:t>
            </w:r>
            <w:bookmarkEnd w:id="61"/>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62" w:name="_Hlk177998057"/>
            <w:r>
              <w:rPr>
                <w:rFonts w:cs="Times New Roman"/>
                <w:szCs w:val="24"/>
              </w:rPr>
              <w:t xml:space="preserve">VSD įmoka </w:t>
            </w:r>
            <w:bookmarkEnd w:id="62"/>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Pildomam dotacijų paskirstymui IT sprendimas turi automatiškai apskaičiuoti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Vidutinis mėnesio DU = (Minimalus koeficientas + Maksimalus koeficientas) / 2 * Pareiginės algos bazinis dydis.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suplanuoti dotacijos poreikį. IT sprendimas kiekvienai savivaldybei turi automatiškai apskaičiuoti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Etatai = Skaičius kaime / Etatų norma kaimui + Skaičius mieste / Etatų norma miestui. Skaičius kaime ir Skaičius mieste turi būti imami iš dotacijų paskirstymui priskirtos paskirstymo bazės. Etatų norma kaimui ir Etatų norma miestui turi būti imami iš dotacijų paskirstymui priskirtos paskirstymo normos, atsižvelgiant į savivaldybės gyventojų skaičių (savivaldybei turi būti taikomos paskirstymo normos eilutės, kurių bazė nuo ir bazė iki apima savivaldybės gyventojų skaičių).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DU fondas = Etatai * (Vidutinis mėnesio DU + Vidutinis mėnesio DU * DU kintamoji dalis % / 100) * (1 + VSDI įmoka % / 100) * 12. DU fondas turi būti apskaičiuojamas, jei nurodytas paskirstymo tipas yra DU fondas, DU fondas + kitos išlaidos.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Kitų išlaidų fondas = (Skaičius kaime / Etatų norma kaimui * Kitų išlaidų fondas kaimui % / 100 + Skaičius mieste / Etatų norma miestui * Kitų išlaidų fondas miestui % / 100) * (Vidutinis mėnesio DU + Vidutinis mėnesio DU * DU kintamoji dalis % / 100) * (1 + VSDI įmoka % / 100) * 12. Skaičius kaime ir Skaičius mieste turi būti imami iš dotacijų paskirstymui priskirtos paskirstymo bazės. Etatų norma kaimui, Kitų išlaidų fondas % kaimui, Etatų norma miestui ir Kitų išlaidų fondas % miestui turi būti imami iš dotacijų paskirstymui priskirtos paskirstymo normos, atsižvelgiant į savivaldybės gyventojų skaičių (savivaldybei turi būti taikomos paskirstymo normos eilutės, kurių bazė nuo ir bazė iki apima savivaldybės gyventojų skaičių). Kitų išlaidų fondas turi būti apskaičiuojamas, jei nurodytas paskirstymo tipas yra DU fondas + kitos išlaidos, Kitos.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Dotacijos poreikis = DU fondas + Kitų išlaidų fondas.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paskirstyti dotaciją. IT sprendimas kiekvienai savivaldybei turi automatiškai apskaičiuoti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DU dotacija = DU fondas * Maksimalus valstybės biudžeto asignavimas / Visų savivaldybių bendras Dotacijos poreikis.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Kitų išlaidų fondo dotacija = Viso dotacija - DU dotacija.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Viso dotacija = Dotacijos poreikis * Maksimalus valstybės biudžeto asignavimas / Visų savivaldybių bendras Dotacijos poreikis.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galimybė eksportuoti dotacijos paskirstymo duomenis </w:t>
            </w:r>
            <w:bookmarkStart w:id="63" w:name="_Hlk178058853"/>
            <w:r>
              <w:rPr>
                <w:rFonts w:cs="Times New Roman"/>
                <w:szCs w:val="24"/>
              </w:rPr>
              <w:t>į .xlsx formato rinkmeną pagal su Perkančiąja organizacija suderintą struktūrą.</w:t>
            </w:r>
            <w:bookmarkEnd w:id="63"/>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išvalyti dotacijos planavimo ir paskirstymo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vieną dotacijos sumą paskirstyti keliems dotacijų paskirstymams. IT sprendimas kiekvienam dotacijų paskirstymui turi proporcingai pagal dotacijų poreikį padalinti nurodytą maksimalų valstybės biudžeto asignavimą ir paskirstyti dotaciją.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dotacijų paskirstymus.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sukurti dotacijų paskirstymą pagal kito dotacijų paskirstymo duomenis (nukopijuoti).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sukurti rankinį dotacijų paskirstymą, t. y. nenurodyti paskirstymo bazės, paskirstymo normos ir kitų duomenų, o dotacijų duomenis savivaldybėms įvesti rankiniu būdu.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dotacijų paskirstymo sąrašą su būsenos, dotacijos paskirstymo pavadinimo, dotacijos poreikio, visos dotacijos ir kitais su Perkančiąja organizacija suderintais duomenimis.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eksportuoti dotacijų paskirstymo sąraše pažymėtų įrašų suminius duomenis į .xlsx formato rinkmeną pagal su Perkančiąja organizacija suderintą struktūrą.</w:t>
            </w:r>
          </w:p>
        </w:tc>
      </w:tr>
    </w:tbl>
    <w:p>
      <w:pPr>
        <w:pStyle w:val="Heading3"/>
        <w:numPr>
          <w:ilvl w:val="2"/>
          <w:numId w:val="58"/>
        </w:numPr>
        <w:rPr/>
      </w:pPr>
      <w:bookmarkStart w:id="64" w:name="_Toc192483629"/>
      <w:r>
        <w:rPr/>
        <w:t>Reikalavimai finansinių formų pildymui</w:t>
      </w:r>
      <w:bookmarkEnd w:id="64"/>
    </w:p>
    <w:p>
      <w:pPr>
        <w:pStyle w:val="Heading3"/>
        <w:numPr>
          <w:ilvl w:val="3"/>
          <w:numId w:val="58"/>
        </w:numPr>
        <w:rPr/>
      </w:pPr>
      <w:bookmarkStart w:id="65" w:name="_Toc192483630"/>
      <w:r>
        <w:rPr/>
        <w:t xml:space="preserve">Reikalavimai </w:t>
      </w:r>
      <w:bookmarkStart w:id="66" w:name="_Hlk178339782"/>
      <w:r>
        <w:rPr/>
        <w:t>programų sąmatų</w:t>
      </w:r>
      <w:bookmarkEnd w:id="66"/>
      <w:r>
        <w:rPr/>
        <w:t xml:space="preserve"> pildymui</w:t>
      </w:r>
      <w:bookmarkEnd w:id="65"/>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bookmarkStart w:id="67" w:name="_Hlk178070763"/>
            <w:bookmarkEnd w:id="67"/>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programų sąmatas.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programos sąmatai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Sritis.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Savivaldybė. IT sprendimas neturi leisti nurodyti savivaldybės, kuri neatitinka programos sąmatą kuriančio naudotojo savivaldybės.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Dokumento sudarytojo (įstaigos)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Metai.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data.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numeris.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Sudarymo vieta.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Biudžetinė įstaiga.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Programa.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Finansavimo šaltinis.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Išlaidų klasifikacija pagal valstybės funkcijas.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Programos sąmatos eilutės. Eilutės turi būti automatiškai suformuojamos pagal Išlaidų ekonominės klasifikacijos straipsnių žinyną, atsižvelgiant į hierarchinę struktūrą.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Žemiausio lygio programos sąmatos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68" w:name="_Hlk178065085"/>
            <w:r>
              <w:rPr>
                <w:rFonts w:cs="Times New Roman"/>
                <w:szCs w:val="24"/>
              </w:rPr>
              <w:t>I ketvirtis</w:t>
            </w:r>
            <w:bookmarkEnd w:id="68"/>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II ketvirtis.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III ketvirtis.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IV ketvirtis.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Pildomai programos sąmatos eilutei IT sprendimas turi automatiškai apskaičiuoti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Iš viso = I ketvirtis + II ketvirtis + III ketvirtis + IV ketvirtis.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apskaičiuoti aukštesnio lygio programos sąmatos eilučių duomenis pagal žemesnio lygio programos sąmatos eilutes.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Neturi būti galimybės išsaugoti programos sąmatos, jei jos sąnaudos iš viso yra didesnės nei dotacijų paskirstymų viso dotacija. Tikrinami dotacijos paskirstymai turi būti atrenkami pagal programos sąmatoje nurodytą savivaldybę ir sritį. Jei sričiai programos sąmatoje nurodytais metais yra keli dotacijų paskirstymai, tai jų duomenys susumuojami.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sugeneruoti programos sąmatą .pdf, .xlsx, .docx formatu. Dokumento forma turi būti parengta galiojančių teisės aktų pagrindu ir suderinta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programų sąmatų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programų sąmatas, kurios neturi susijusių darbo užmokesčio sąmatų ir sąmatų vykdymo ataskaitų.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programų sąmatų sąrašą su srities, metų, I ketvirčio, II ketvirčio, III ketvirčio ir IV ketvirčio, savivaldybės ir kitais su Perkančiąja organizacija suderintais duomenimis.</w:t>
            </w:r>
          </w:p>
        </w:tc>
      </w:tr>
    </w:tbl>
    <w:p>
      <w:pPr>
        <w:pStyle w:val="Heading3"/>
        <w:numPr>
          <w:ilvl w:val="3"/>
          <w:numId w:val="58"/>
        </w:numPr>
        <w:rPr/>
      </w:pPr>
      <w:bookmarkStart w:id="69" w:name="_Hlk178070763"/>
      <w:bookmarkStart w:id="70" w:name="_Toc192483631"/>
      <w:bookmarkEnd w:id="69"/>
      <w:r>
        <w:rPr/>
        <w:t>Reikalavimai darbo užmokesčio sąmatų pildymui</w:t>
      </w:r>
      <w:bookmarkEnd w:id="70"/>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darbo užmokesčio sąmatas.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darbo užmokesčio sąmatai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Programos sąmata.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data.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numeris.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Darbo užmokesčio sąmatos eilutės. Eilutės turi būti automatiškai suformuojamos:</w:t>
            </w:r>
          </w:p>
          <w:p>
            <w:pPr>
              <w:pStyle w:val="ListParagraph"/>
              <w:numPr>
                <w:ilvl w:val="0"/>
                <w:numId w:val="29"/>
              </w:numPr>
              <w:jc w:val="both"/>
              <w:rPr>
                <w:rFonts w:cs="Times New Roman"/>
                <w:szCs w:val="24"/>
              </w:rPr>
            </w:pPr>
            <w:r>
              <w:rPr>
                <w:rFonts w:cs="Times New Roman"/>
                <w:szCs w:val="24"/>
              </w:rPr>
              <w:t>2. IŠLAIDOS.</w:t>
            </w:r>
          </w:p>
          <w:p>
            <w:pPr>
              <w:pStyle w:val="ListParagraph"/>
              <w:numPr>
                <w:ilvl w:val="0"/>
                <w:numId w:val="29"/>
              </w:numPr>
              <w:jc w:val="both"/>
              <w:rPr>
                <w:rFonts w:cs="Times New Roman"/>
                <w:szCs w:val="24"/>
              </w:rPr>
            </w:pPr>
            <w:r>
              <w:rPr>
                <w:rFonts w:cs="Times New Roman"/>
                <w:szCs w:val="24"/>
              </w:rPr>
              <w:t>25. Dotacijos.</w:t>
            </w:r>
          </w:p>
          <w:p>
            <w:pPr>
              <w:pStyle w:val="ListParagraph"/>
              <w:numPr>
                <w:ilvl w:val="0"/>
                <w:numId w:val="29"/>
              </w:numPr>
              <w:jc w:val="both"/>
              <w:rPr>
                <w:rFonts w:cs="Times New Roman"/>
                <w:szCs w:val="24"/>
              </w:rPr>
            </w:pPr>
            <w:r>
              <w:rPr>
                <w:rFonts w:cs="Times New Roman"/>
                <w:szCs w:val="24"/>
              </w:rPr>
              <w:t>253. Dotacijos kitiems valdžios sektoriaus subjektams.</w:t>
            </w:r>
          </w:p>
          <w:p>
            <w:pPr>
              <w:pStyle w:val="ListParagraph"/>
              <w:numPr>
                <w:ilvl w:val="0"/>
                <w:numId w:val="29"/>
              </w:numPr>
              <w:jc w:val="both"/>
              <w:rPr>
                <w:rFonts w:cs="Times New Roman"/>
                <w:szCs w:val="24"/>
              </w:rPr>
            </w:pPr>
            <w:r>
              <w:rPr>
                <w:rFonts w:cs="Times New Roman"/>
                <w:szCs w:val="24"/>
              </w:rPr>
              <w:t>253112. Dotacijos savivaldybėms einamiesiems tikslams.</w:t>
            </w:r>
          </w:p>
          <w:p>
            <w:pPr>
              <w:pStyle w:val="ListParagraph"/>
              <w:numPr>
                <w:ilvl w:val="0"/>
                <w:numId w:val="29"/>
              </w:numPr>
              <w:jc w:val="both"/>
              <w:rPr>
                <w:rFonts w:cs="Times New Roman"/>
                <w:szCs w:val="24"/>
              </w:rPr>
            </w:pPr>
            <w:r>
              <w:rPr>
                <w:rFonts w:cs="Times New Roman"/>
                <w:szCs w:val="24"/>
              </w:rPr>
              <w:t>darbo užmokestis (neįskaitant socialinio draudimo įmokų).</w:t>
            </w:r>
          </w:p>
          <w:p>
            <w:pPr>
              <w:pStyle w:val="ListParagraph"/>
              <w:numPr>
                <w:ilvl w:val="0"/>
                <w:numId w:val="29"/>
              </w:numPr>
              <w:jc w:val="both"/>
              <w:rPr>
                <w:rFonts w:cs="Times New Roman"/>
                <w:szCs w:val="24"/>
              </w:rPr>
            </w:pPr>
            <w:r>
              <w:rPr>
                <w:rFonts w:cs="Times New Roman"/>
                <w:szCs w:val="24"/>
              </w:rPr>
              <w:t>valstybės tarnautojams.</w:t>
            </w:r>
          </w:p>
          <w:p>
            <w:pPr>
              <w:pStyle w:val="ListParagraph"/>
              <w:numPr>
                <w:ilvl w:val="0"/>
                <w:numId w:val="29"/>
              </w:numPr>
              <w:jc w:val="both"/>
              <w:rPr>
                <w:rFonts w:cs="Times New Roman"/>
                <w:szCs w:val="24"/>
              </w:rPr>
            </w:pPr>
            <w:r>
              <w:rPr>
                <w:rFonts w:cs="Times New Roman"/>
                <w:szCs w:val="24"/>
              </w:rPr>
              <w:t>darbuotojams, dirbantiems pagal darbo sutartis.</w:t>
            </w:r>
          </w:p>
          <w:p>
            <w:pPr>
              <w:pStyle w:val="ListParagraph"/>
              <w:numPr>
                <w:ilvl w:val="0"/>
                <w:numId w:val="29"/>
              </w:numPr>
              <w:jc w:val="both"/>
              <w:rPr>
                <w:rFonts w:cs="Times New Roman"/>
                <w:szCs w:val="24"/>
              </w:rPr>
            </w:pPr>
            <w:r>
              <w:rPr>
                <w:rFonts w:cs="Times New Roman"/>
                <w:szCs w:val="24"/>
              </w:rPr>
              <w:t>iš jų: darbininkams.</w:t>
            </w:r>
          </w:p>
          <w:p>
            <w:pPr>
              <w:pStyle w:val="ListParagraph"/>
              <w:numPr>
                <w:ilvl w:val="0"/>
                <w:numId w:val="29"/>
              </w:numPr>
              <w:jc w:val="both"/>
              <w:rPr>
                <w:rFonts w:cs="Times New Roman"/>
                <w:szCs w:val="24"/>
              </w:rPr>
            </w:pPr>
            <w:r>
              <w:rPr>
                <w:rFonts w:cs="Times New Roman"/>
                <w:szCs w:val="24"/>
              </w:rPr>
              <w:t>253212. Dotacijos savivaldybėms turtui įsigyti.</w:t>
            </w:r>
          </w:p>
          <w:p>
            <w:pPr>
              <w:pStyle w:val="Normal"/>
              <w:jc w:val="both"/>
              <w:rPr>
                <w:rFonts w:cs="Times New Roman"/>
                <w:szCs w:val="24"/>
              </w:rPr>
            </w:pPr>
            <w:r>
              <w:rPr>
                <w:rFonts w:cs="Times New Roman"/>
                <w:szCs w:val="24"/>
              </w:rPr>
              <w:t>1) – 4), 9) eilučių duomenys turi būti perkelti iš susijusios programos sąmatos.</w:t>
            </w:r>
          </w:p>
          <w:p>
            <w:pPr>
              <w:pStyle w:val="Normal"/>
              <w:spacing w:before="40" w:after="160"/>
              <w:jc w:val="both"/>
              <w:rPr>
                <w:rFonts w:cs="Times New Roman"/>
                <w:szCs w:val="24"/>
              </w:rPr>
            </w:pPr>
            <w:r>
              <w:rPr>
                <w:rFonts w:cs="Times New Roman"/>
                <w:szCs w:val="24"/>
              </w:rPr>
              <w:t>5) – 8) eilučių duomenys turi būti pildomi rankiniu būdu.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Darbo užmokesčio sąmatos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Patvirtintas planas.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sugeneruoti darbo užmokesčio sąmatą .pdf, .xlsx, .docx formatu. Dokumento forma turi būti parengta galiojančių teisės aktų pagrindu ir suderinta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darbo užmokesčio sąmatų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darbo užmokesčio sąmatas.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darbo užmokesčio sąmatų sąrašą su srities, metų, darbo užmokesčio, savivaldybės ir kitais su Perkančiąja organizacija suderintais duomenimis.</w:t>
            </w:r>
          </w:p>
        </w:tc>
      </w:tr>
    </w:tbl>
    <w:p>
      <w:pPr>
        <w:pStyle w:val="Heading3"/>
        <w:numPr>
          <w:ilvl w:val="3"/>
          <w:numId w:val="58"/>
        </w:numPr>
        <w:rPr/>
      </w:pPr>
      <w:bookmarkStart w:id="71" w:name="_Toc192483632"/>
      <w:r>
        <w:rPr/>
        <w:t>Reikalavimai sąmatų vykdymo ataskaitų pildymui</w:t>
      </w:r>
      <w:bookmarkEnd w:id="71"/>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sąmatų vykdymo ataskaitas.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sąmatos vykdymo ataskaitai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Programos sąmata.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Laikotarpis.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data.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numeris.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vykdymo ataskaitos eilutės. Eilutės turi būti automatiškai suformuojamos pagal Išlaidų ekonominės klasifikacijos straipsnių žinyną, atsižvelgiant į hierarchinę struktūrą. Eilučių asignavimų plano duomenys turi būti perkelti iš susijusios programos sąmatos.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Žemiausio lygio sąmatos vykdymo ataskaitos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Gauti asignavimai kartu su įskaitytu praėjusių metų lėšų likučiu.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Panaudoti asignavimai.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apskaičiuoti aukštesnio lygio sąmatos vykdymo ataskaitos eilučių duomenis pagal žemesnio lygio sąmatos vykdymo ataskaitos eilutes.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sugeneruoti sąmatos vykdymo ataskaitą .pdf, .xlsx, .docx formatu. Dokumento forma turi būti parengta galiojančių teisės aktų pagrindu ir suderinta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sąmatų vykdymo ataskaitų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sąmatų vykdymo ataskaitas, kurios neturi susijusių darbo užmokesčio sąmatų vykdymo ataskaitų.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sąmatų vykdymo ataskaitų sąrašą su srities, metų, laikotarpio, asignavimų plano metams, asignavimo plano ataskaitiniam laikotarpiui, gautų asignavimų, panaudotų asignavimų, savivaldybės ir kitais su Perkančiąja organizacija suderintais duomenimis.</w:t>
            </w:r>
          </w:p>
        </w:tc>
      </w:tr>
    </w:tbl>
    <w:p>
      <w:pPr>
        <w:pStyle w:val="Heading3"/>
        <w:numPr>
          <w:ilvl w:val="3"/>
          <w:numId w:val="58"/>
        </w:numPr>
        <w:rPr/>
      </w:pPr>
      <w:bookmarkStart w:id="72" w:name="_Toc192483633"/>
      <w:r>
        <w:rPr/>
        <w:t>Reikalavimai darbo užmokesčio sąmatų vykdymo ataskaitų pildymui</w:t>
      </w:r>
      <w:bookmarkEnd w:id="72"/>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darbo užmokesčio sąmatų vykdymo ataskaitas.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darbo užmokesčio sąmatos vykdymo ataskaitai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vykdymo ataskaita.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data.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numeris.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Darbo užmokesčio sąmatos vykdymo ataskaitos eilutės. Eilutės turi būti automatiškai suformuojamos:</w:t>
            </w:r>
          </w:p>
          <w:p>
            <w:pPr>
              <w:pStyle w:val="ListParagraph"/>
              <w:numPr>
                <w:ilvl w:val="0"/>
                <w:numId w:val="30"/>
              </w:numPr>
              <w:jc w:val="both"/>
              <w:rPr>
                <w:rFonts w:cs="Times New Roman"/>
                <w:szCs w:val="24"/>
              </w:rPr>
            </w:pPr>
            <w:r>
              <w:rPr>
                <w:rFonts w:cs="Times New Roman"/>
                <w:szCs w:val="24"/>
              </w:rPr>
              <w:t>2. IŠLAIDOS.</w:t>
            </w:r>
          </w:p>
          <w:p>
            <w:pPr>
              <w:pStyle w:val="ListParagraph"/>
              <w:numPr>
                <w:ilvl w:val="0"/>
                <w:numId w:val="30"/>
              </w:numPr>
              <w:jc w:val="both"/>
              <w:rPr>
                <w:rFonts w:cs="Times New Roman"/>
                <w:szCs w:val="24"/>
              </w:rPr>
            </w:pPr>
            <w:r>
              <w:rPr>
                <w:rFonts w:cs="Times New Roman"/>
                <w:szCs w:val="24"/>
              </w:rPr>
              <w:t>25. Dotacijos.</w:t>
            </w:r>
          </w:p>
          <w:p>
            <w:pPr>
              <w:pStyle w:val="ListParagraph"/>
              <w:numPr>
                <w:ilvl w:val="0"/>
                <w:numId w:val="30"/>
              </w:numPr>
              <w:jc w:val="both"/>
              <w:rPr>
                <w:rFonts w:cs="Times New Roman"/>
                <w:szCs w:val="24"/>
              </w:rPr>
            </w:pPr>
            <w:r>
              <w:rPr>
                <w:rFonts w:cs="Times New Roman"/>
                <w:szCs w:val="24"/>
              </w:rPr>
              <w:t>253. Dotacijos kitiems valdžios sektoriaus subjektams.</w:t>
            </w:r>
          </w:p>
          <w:p>
            <w:pPr>
              <w:pStyle w:val="ListParagraph"/>
              <w:numPr>
                <w:ilvl w:val="0"/>
                <w:numId w:val="30"/>
              </w:numPr>
              <w:jc w:val="both"/>
              <w:rPr>
                <w:rFonts w:cs="Times New Roman"/>
                <w:szCs w:val="24"/>
              </w:rPr>
            </w:pPr>
            <w:r>
              <w:rPr>
                <w:rFonts w:cs="Times New Roman"/>
                <w:szCs w:val="24"/>
              </w:rPr>
              <w:t>253112. Dotacijos savivaldybėms einamiesiems tikslams.</w:t>
            </w:r>
          </w:p>
          <w:p>
            <w:pPr>
              <w:pStyle w:val="ListParagraph"/>
              <w:numPr>
                <w:ilvl w:val="0"/>
                <w:numId w:val="30"/>
              </w:numPr>
              <w:jc w:val="both"/>
              <w:rPr>
                <w:rFonts w:cs="Times New Roman"/>
                <w:szCs w:val="24"/>
              </w:rPr>
            </w:pPr>
            <w:r>
              <w:rPr>
                <w:rFonts w:cs="Times New Roman"/>
                <w:szCs w:val="24"/>
              </w:rPr>
              <w:t>darbo užmokestis (neįskaitant socialinio draudimo įmokų).</w:t>
            </w:r>
          </w:p>
          <w:p>
            <w:pPr>
              <w:pStyle w:val="ListParagraph"/>
              <w:numPr>
                <w:ilvl w:val="0"/>
                <w:numId w:val="30"/>
              </w:numPr>
              <w:jc w:val="both"/>
              <w:rPr>
                <w:rFonts w:cs="Times New Roman"/>
                <w:szCs w:val="24"/>
              </w:rPr>
            </w:pPr>
            <w:r>
              <w:rPr>
                <w:rFonts w:cs="Times New Roman"/>
                <w:szCs w:val="24"/>
              </w:rPr>
              <w:t>valstybės tarnautojams.</w:t>
            </w:r>
          </w:p>
          <w:p>
            <w:pPr>
              <w:pStyle w:val="ListParagraph"/>
              <w:numPr>
                <w:ilvl w:val="0"/>
                <w:numId w:val="30"/>
              </w:numPr>
              <w:jc w:val="both"/>
              <w:rPr>
                <w:rFonts w:cs="Times New Roman"/>
                <w:szCs w:val="24"/>
              </w:rPr>
            </w:pPr>
            <w:r>
              <w:rPr>
                <w:rFonts w:cs="Times New Roman"/>
                <w:szCs w:val="24"/>
              </w:rPr>
              <w:t>darbuotojams, dirbantiems pagal darbo sutartis.</w:t>
            </w:r>
          </w:p>
          <w:p>
            <w:pPr>
              <w:pStyle w:val="ListParagraph"/>
              <w:numPr>
                <w:ilvl w:val="0"/>
                <w:numId w:val="30"/>
              </w:numPr>
              <w:jc w:val="both"/>
              <w:rPr>
                <w:rFonts w:cs="Times New Roman"/>
                <w:szCs w:val="24"/>
              </w:rPr>
            </w:pPr>
            <w:r>
              <w:rPr>
                <w:rFonts w:cs="Times New Roman"/>
                <w:szCs w:val="24"/>
              </w:rPr>
              <w:t>iš jų: darbininkams.</w:t>
            </w:r>
          </w:p>
          <w:p>
            <w:pPr>
              <w:pStyle w:val="ListParagraph"/>
              <w:numPr>
                <w:ilvl w:val="0"/>
                <w:numId w:val="30"/>
              </w:numPr>
              <w:jc w:val="both"/>
              <w:rPr>
                <w:rFonts w:cs="Times New Roman"/>
                <w:szCs w:val="24"/>
              </w:rPr>
            </w:pPr>
            <w:r>
              <w:rPr>
                <w:rFonts w:cs="Times New Roman"/>
                <w:szCs w:val="24"/>
              </w:rPr>
              <w:t>253212. Dotacijos savivaldybėms turtui įsigyti.</w:t>
            </w:r>
          </w:p>
          <w:p>
            <w:pPr>
              <w:pStyle w:val="Normal"/>
              <w:jc w:val="both"/>
              <w:rPr>
                <w:rFonts w:cs="Times New Roman"/>
                <w:szCs w:val="24"/>
              </w:rPr>
            </w:pPr>
            <w:r>
              <w:rPr>
                <w:rFonts w:cs="Times New Roman"/>
                <w:szCs w:val="24"/>
              </w:rPr>
              <w:t>1) – 4), 9) eilučių duomenys turi būti perkelti iš susijusios sąmatos vykdymo ataskaitos.</w:t>
            </w:r>
          </w:p>
          <w:p>
            <w:pPr>
              <w:pStyle w:val="Normal"/>
              <w:spacing w:before="40" w:after="160"/>
              <w:jc w:val="both"/>
              <w:rPr>
                <w:rFonts w:cs="Times New Roman"/>
                <w:szCs w:val="24"/>
              </w:rPr>
            </w:pPr>
            <w:r>
              <w:rPr>
                <w:rFonts w:cs="Times New Roman"/>
                <w:szCs w:val="24"/>
              </w:rPr>
              <w:t>5) – 8) eilučių duomenys turi būti pildomi rankiniu būdu.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Darbo užmokesčio sąmatos vykdymo ataskaitos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Įvykdyta.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sugeneruoti darbo užmokesčio sąmatos vykdymo ataskaitą .pdf, .xlsx, .docx formatu. Dokumento forma turi būti parengta galiojančių teisės aktų pagrindu ir suderinta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darbo užmokesčio sąmatų vykdymo ataskaitų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darbo užmokesčio sąmatų vykdymo ataskaitas.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darbo užmokesčio sąmatų vykdymo ataskaitų sąrašą su srities, metų, įvykdyta, savivaldybės ir kitais su Perkančiąja organizacija suderintais duomenimis.</w:t>
            </w:r>
          </w:p>
        </w:tc>
      </w:tr>
    </w:tbl>
    <w:p>
      <w:pPr>
        <w:pStyle w:val="Heading3"/>
        <w:numPr>
          <w:ilvl w:val="2"/>
          <w:numId w:val="58"/>
        </w:numPr>
        <w:rPr/>
      </w:pPr>
      <w:bookmarkStart w:id="73" w:name="_Toc192483634"/>
      <w:r>
        <w:rPr/>
        <w:t>Reikalavimai duomenų mainams</w:t>
      </w:r>
      <w:bookmarkEnd w:id="73"/>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Turi būti sukurta integracinė sąsaja iš VDVIS gauti šiuos gyventojų skaičiaus duomenis </w:t>
            </w:r>
            <w:bookmarkStart w:id="74" w:name="_Hlk177992445"/>
            <w:r>
              <w:rPr>
                <w:rFonts w:cs="Times New Roman"/>
              </w:rPr>
              <w:t xml:space="preserve">metų pradžiai </w:t>
            </w:r>
            <w:bookmarkEnd w:id="74"/>
            <w:r>
              <w:rPr>
                <w:rFonts w:cs="Times New Roman"/>
              </w:rPr>
              <w:t>pagal savivaldybę:</w:t>
            </w:r>
          </w:p>
          <w:p>
            <w:pPr>
              <w:pStyle w:val="ListParagraph"/>
              <w:numPr>
                <w:ilvl w:val="0"/>
                <w:numId w:val="22"/>
              </w:numPr>
              <w:jc w:val="both"/>
              <w:rPr>
                <w:rFonts w:cs="Times New Roman"/>
                <w:bCs/>
                <w:szCs w:val="24"/>
              </w:rPr>
            </w:pPr>
            <w:r>
              <w:rPr>
                <w:rFonts w:cs="Times New Roman"/>
                <w:bCs/>
                <w:szCs w:val="24"/>
              </w:rPr>
              <w:t>Gyventojų skaičius kaime.</w:t>
            </w:r>
          </w:p>
          <w:p>
            <w:pPr>
              <w:pStyle w:val="ListParagraph"/>
              <w:numPr>
                <w:ilvl w:val="0"/>
                <w:numId w:val="22"/>
              </w:numPr>
              <w:jc w:val="both"/>
              <w:rPr>
                <w:rFonts w:cs="Times New Roman"/>
                <w:bCs/>
                <w:szCs w:val="24"/>
              </w:rPr>
            </w:pPr>
            <w:r>
              <w:rPr>
                <w:rFonts w:cs="Times New Roman"/>
                <w:bCs/>
                <w:szCs w:val="24"/>
              </w:rPr>
              <w:t>Gyventojų skaičius mieste.</w:t>
            </w:r>
          </w:p>
          <w:p>
            <w:pPr>
              <w:pStyle w:val="Normal"/>
              <w:spacing w:before="40" w:after="160"/>
              <w:jc w:val="both"/>
              <w:rPr>
                <w:rFonts w:cs="Times New Roman"/>
                <w:bCs/>
                <w:szCs w:val="24"/>
              </w:rPr>
            </w:pPr>
            <w:r>
              <w:rPr>
                <w:rFonts w:cs="Times New Roman"/>
                <w:bCs/>
                <w:szCs w:val="24"/>
              </w:rPr>
              <w:t>Pastaba. Šio reikalavimo įgyvendinimo poreikis turi būti suderintas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Turi būti sukurta integracinė sąsaja iš VDVIS gauti šiuos patvirtintus mokinių skaičiaus duomenis pagal savivaldybę:</w:t>
            </w:r>
          </w:p>
          <w:p>
            <w:pPr>
              <w:pStyle w:val="ListParagraph"/>
              <w:numPr>
                <w:ilvl w:val="0"/>
                <w:numId w:val="23"/>
              </w:numPr>
              <w:jc w:val="both"/>
              <w:rPr>
                <w:rFonts w:cs="Times New Roman"/>
                <w:szCs w:val="24"/>
              </w:rPr>
            </w:pPr>
            <w:r>
              <w:rPr>
                <w:rFonts w:cs="Times New Roman"/>
                <w:szCs w:val="24"/>
              </w:rPr>
              <w:t>Mokinių skaičius kaime.</w:t>
            </w:r>
          </w:p>
          <w:p>
            <w:pPr>
              <w:pStyle w:val="ListParagraph"/>
              <w:numPr>
                <w:ilvl w:val="0"/>
                <w:numId w:val="23"/>
              </w:numPr>
              <w:jc w:val="both"/>
              <w:rPr>
                <w:rFonts w:cs="Times New Roman"/>
                <w:szCs w:val="24"/>
              </w:rPr>
            </w:pPr>
            <w:r>
              <w:rPr>
                <w:rFonts w:cs="Times New Roman"/>
                <w:szCs w:val="24"/>
              </w:rPr>
              <w:t>Mokinių skaičius mieste.</w:t>
            </w:r>
          </w:p>
          <w:p>
            <w:pPr>
              <w:pStyle w:val="Normal"/>
              <w:spacing w:before="40" w:after="160"/>
              <w:jc w:val="both"/>
              <w:rPr>
                <w:rFonts w:cs="Times New Roman"/>
                <w:szCs w:val="24"/>
              </w:rPr>
            </w:pPr>
            <w:r>
              <w:rPr>
                <w:rFonts w:cs="Times New Roman"/>
                <w:szCs w:val="24"/>
              </w:rPr>
              <w:t>Pastaba. Šio reikalavimo įgyvendinimo poreikis turi būti suderintas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naudojami tik duomenys apie mokinius, kurie mokosi mokymo įstaigose:</w:t>
            </w:r>
          </w:p>
          <w:p>
            <w:pPr>
              <w:pStyle w:val="ListParagraph"/>
              <w:numPr>
                <w:ilvl w:val="0"/>
                <w:numId w:val="26"/>
              </w:numPr>
              <w:jc w:val="both"/>
              <w:rPr>
                <w:rFonts w:cs="Times New Roman"/>
                <w:szCs w:val="24"/>
              </w:rPr>
            </w:pPr>
            <w:r>
              <w:rPr>
                <w:rFonts w:cs="Times New Roman"/>
                <w:szCs w:val="24"/>
              </w:rPr>
              <w:t>Ikimokyklinio ugdymo mokykla.</w:t>
            </w:r>
          </w:p>
          <w:p>
            <w:pPr>
              <w:pStyle w:val="ListParagraph"/>
              <w:numPr>
                <w:ilvl w:val="0"/>
                <w:numId w:val="26"/>
              </w:numPr>
              <w:jc w:val="both"/>
              <w:rPr>
                <w:rFonts w:cs="Times New Roman"/>
                <w:szCs w:val="24"/>
              </w:rPr>
            </w:pPr>
            <w:r>
              <w:rPr>
                <w:rFonts w:cs="Times New Roman"/>
                <w:szCs w:val="24"/>
              </w:rPr>
              <w:t>Bendrojo ugdymo mokykla.</w:t>
            </w:r>
          </w:p>
          <w:p>
            <w:pPr>
              <w:pStyle w:val="ListParagraph"/>
              <w:numPr>
                <w:ilvl w:val="0"/>
                <w:numId w:val="26"/>
              </w:numPr>
              <w:jc w:val="both"/>
              <w:rPr>
                <w:rFonts w:cs="Times New Roman"/>
                <w:szCs w:val="24"/>
              </w:rPr>
            </w:pPr>
            <w:r>
              <w:rPr>
                <w:rFonts w:cs="Times New Roman"/>
                <w:szCs w:val="24"/>
              </w:rPr>
              <w:t>Profesinio mokymo įstaiga.</w:t>
            </w:r>
          </w:p>
          <w:p>
            <w:pPr>
              <w:pStyle w:val="Normal"/>
              <w:jc w:val="both"/>
              <w:rPr>
                <w:rFonts w:cs="Times New Roman"/>
                <w:szCs w:val="24"/>
              </w:rPr>
            </w:pPr>
            <w:r>
              <w:rPr>
                <w:rFonts w:cs="Times New Roman"/>
                <w:szCs w:val="24"/>
              </w:rPr>
              <w:t>pagal programas:</w:t>
            </w:r>
          </w:p>
          <w:p>
            <w:pPr>
              <w:pStyle w:val="ListParagraph"/>
              <w:numPr>
                <w:ilvl w:val="0"/>
                <w:numId w:val="27"/>
              </w:numPr>
              <w:jc w:val="both"/>
              <w:rPr>
                <w:rFonts w:cs="Times New Roman"/>
                <w:szCs w:val="24"/>
              </w:rPr>
            </w:pPr>
            <w:r>
              <w:rPr>
                <w:rFonts w:cs="Times New Roman"/>
                <w:szCs w:val="24"/>
              </w:rPr>
              <w:t>Ikimokyklinio ugdymo programa.</w:t>
            </w:r>
          </w:p>
          <w:p>
            <w:pPr>
              <w:pStyle w:val="ListParagraph"/>
              <w:numPr>
                <w:ilvl w:val="0"/>
                <w:numId w:val="27"/>
              </w:numPr>
              <w:jc w:val="both"/>
              <w:rPr>
                <w:rFonts w:cs="Times New Roman"/>
                <w:szCs w:val="24"/>
              </w:rPr>
            </w:pPr>
            <w:r>
              <w:rPr>
                <w:rFonts w:cs="Times New Roman"/>
                <w:szCs w:val="24"/>
              </w:rPr>
              <w:t>Priešmokyklinio ugdymo programa.</w:t>
            </w:r>
          </w:p>
          <w:p>
            <w:pPr>
              <w:pStyle w:val="ListParagraph"/>
              <w:numPr>
                <w:ilvl w:val="0"/>
                <w:numId w:val="27"/>
              </w:numPr>
              <w:jc w:val="both"/>
              <w:rPr>
                <w:rFonts w:cs="Times New Roman"/>
                <w:szCs w:val="24"/>
              </w:rPr>
            </w:pPr>
            <w:r>
              <w:rPr>
                <w:rFonts w:cs="Times New Roman"/>
                <w:szCs w:val="24"/>
              </w:rPr>
              <w:t>Pradinis mokymas.</w:t>
            </w:r>
          </w:p>
          <w:p>
            <w:pPr>
              <w:pStyle w:val="ListParagraph"/>
              <w:numPr>
                <w:ilvl w:val="0"/>
                <w:numId w:val="27"/>
              </w:numPr>
              <w:jc w:val="both"/>
              <w:rPr>
                <w:rFonts w:cs="Times New Roman"/>
                <w:szCs w:val="24"/>
              </w:rPr>
            </w:pPr>
            <w:r>
              <w:rPr>
                <w:rFonts w:cs="Times New Roman"/>
                <w:szCs w:val="24"/>
              </w:rPr>
              <w:t>Pagrindinis mokymas.</w:t>
            </w:r>
          </w:p>
          <w:p>
            <w:pPr>
              <w:pStyle w:val="ListParagraph"/>
              <w:numPr>
                <w:ilvl w:val="0"/>
                <w:numId w:val="27"/>
              </w:numPr>
              <w:jc w:val="both"/>
              <w:rPr>
                <w:rFonts w:cs="Times New Roman"/>
                <w:szCs w:val="24"/>
              </w:rPr>
            </w:pPr>
            <w:r>
              <w:rPr>
                <w:rFonts w:cs="Times New Roman"/>
                <w:szCs w:val="24"/>
              </w:rPr>
              <w:t>Vidurinis mokymas.</w:t>
            </w:r>
          </w:p>
          <w:p>
            <w:pPr>
              <w:pStyle w:val="Normal"/>
              <w:spacing w:before="40" w:after="160"/>
              <w:jc w:val="both"/>
              <w:rPr>
                <w:rFonts w:cs="Times New Roman"/>
                <w:szCs w:val="24"/>
              </w:rPr>
            </w:pPr>
            <w:bookmarkStart w:id="75" w:name="_Hlk177994951"/>
            <w:r>
              <w:rPr>
                <w:rFonts w:cs="Times New Roman"/>
                <w:szCs w:val="24"/>
              </w:rPr>
              <w:t>Turi būti galimybė sistemoje pakeisti importuojamų duomenų imtį pagal mokymo įstaigas ir programas.</w:t>
            </w:r>
            <w:bookmarkEnd w:id="75"/>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sukurta integracinė sąsaja iš VDVIS gauti šiuos patvirtintus mokymo įstaigų skaičiaus duomenis pagal savivaldybę:</w:t>
            </w:r>
          </w:p>
          <w:p>
            <w:pPr>
              <w:pStyle w:val="ListParagraph"/>
              <w:numPr>
                <w:ilvl w:val="0"/>
                <w:numId w:val="24"/>
              </w:numPr>
              <w:jc w:val="both"/>
              <w:rPr>
                <w:rFonts w:cs="Times New Roman"/>
                <w:szCs w:val="24"/>
              </w:rPr>
            </w:pPr>
            <w:r>
              <w:rPr>
                <w:rFonts w:cs="Times New Roman"/>
                <w:szCs w:val="24"/>
              </w:rPr>
              <w:t>Mokymo įstaigų skaičius kaime.</w:t>
            </w:r>
          </w:p>
          <w:p>
            <w:pPr>
              <w:pStyle w:val="ListParagraph"/>
              <w:numPr>
                <w:ilvl w:val="0"/>
                <w:numId w:val="24"/>
              </w:numPr>
              <w:jc w:val="both"/>
              <w:rPr>
                <w:rFonts w:cs="Times New Roman"/>
                <w:szCs w:val="24"/>
              </w:rPr>
            </w:pPr>
            <w:r>
              <w:rPr>
                <w:rFonts w:cs="Times New Roman"/>
                <w:szCs w:val="24"/>
              </w:rPr>
              <w:t>Mokymo įstaigų skaičius mieste.</w:t>
            </w:r>
          </w:p>
          <w:p>
            <w:pPr>
              <w:pStyle w:val="Normal"/>
              <w:spacing w:before="40" w:after="160"/>
              <w:jc w:val="both"/>
              <w:rPr>
                <w:rFonts w:cs="Times New Roman"/>
                <w:szCs w:val="24"/>
              </w:rPr>
            </w:pPr>
            <w:r>
              <w:rPr>
                <w:rFonts w:cs="Times New Roman"/>
                <w:szCs w:val="24"/>
              </w:rPr>
              <w:t>Pastaba. Šio reikalavimo įgyvendinimo poreikis turi būti suderintas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naudojami tik duomenys apie šias mokymo įstaigas:</w:t>
            </w:r>
          </w:p>
          <w:p>
            <w:pPr>
              <w:pStyle w:val="ListParagraph"/>
              <w:numPr>
                <w:ilvl w:val="0"/>
                <w:numId w:val="28"/>
              </w:numPr>
              <w:jc w:val="both"/>
              <w:rPr>
                <w:rFonts w:cs="Times New Roman"/>
                <w:szCs w:val="24"/>
              </w:rPr>
            </w:pPr>
            <w:r>
              <w:rPr>
                <w:rFonts w:cs="Times New Roman"/>
                <w:szCs w:val="24"/>
              </w:rPr>
              <w:t>Ikimokyklinio ugdymo mokykla.</w:t>
            </w:r>
          </w:p>
          <w:p>
            <w:pPr>
              <w:pStyle w:val="ListParagraph"/>
              <w:numPr>
                <w:ilvl w:val="0"/>
                <w:numId w:val="28"/>
              </w:numPr>
              <w:jc w:val="both"/>
              <w:rPr>
                <w:rFonts w:cs="Times New Roman"/>
                <w:szCs w:val="24"/>
              </w:rPr>
            </w:pPr>
            <w:r>
              <w:rPr>
                <w:rFonts w:cs="Times New Roman"/>
                <w:szCs w:val="24"/>
              </w:rPr>
              <w:t>Bendrojo ugdymo mokykla.</w:t>
            </w:r>
          </w:p>
          <w:p>
            <w:pPr>
              <w:pStyle w:val="ListParagraph"/>
              <w:numPr>
                <w:ilvl w:val="0"/>
                <w:numId w:val="28"/>
              </w:numPr>
              <w:jc w:val="both"/>
              <w:rPr>
                <w:rFonts w:cs="Times New Roman"/>
                <w:szCs w:val="24"/>
              </w:rPr>
            </w:pPr>
            <w:r>
              <w:rPr>
                <w:rFonts w:cs="Times New Roman"/>
                <w:szCs w:val="24"/>
              </w:rPr>
              <w:t>Profesinio mokymo įstaiga.</w:t>
            </w:r>
          </w:p>
          <w:p>
            <w:pPr>
              <w:pStyle w:val="Normal"/>
              <w:spacing w:before="40" w:after="160"/>
              <w:jc w:val="both"/>
              <w:rPr>
                <w:rFonts w:cs="Times New Roman"/>
                <w:szCs w:val="24"/>
              </w:rPr>
            </w:pPr>
            <w:r>
              <w:rPr>
                <w:rFonts w:cs="Times New Roman"/>
                <w:szCs w:val="24"/>
              </w:rPr>
              <w:t>Turi būti galimybė sistemoje pakeisti importuojamų duomenų imtį pagal mokymo įstaigas.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naudojamos standartinės VDVIS pateikiamos integracinės sąsajos.</w:t>
            </w:r>
          </w:p>
        </w:tc>
      </w:tr>
    </w:tbl>
    <w:p>
      <w:pPr>
        <w:pStyle w:val="Heading3"/>
        <w:numPr>
          <w:ilvl w:val="2"/>
          <w:numId w:val="58"/>
        </w:numPr>
        <w:rPr/>
      </w:pPr>
      <w:bookmarkStart w:id="76" w:name="_Toc192483635"/>
      <w:bookmarkStart w:id="77" w:name="_Ref177972320"/>
      <w:r>
        <w:rPr/>
        <w:t>Reikalavimai ataskaitoms</w:t>
      </w:r>
      <w:bookmarkEnd w:id="76"/>
      <w:bookmarkEnd w:id="77"/>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29"/>
        <w:gridCol w:w="28"/>
        <w:gridCol w:w="7472"/>
      </w:tblGrid>
      <w:tr>
        <w:trPr>
          <w:tblHeader w:val="true"/>
        </w:trPr>
        <w:tc>
          <w:tcPr>
            <w:tcW w:w="1657" w:type="dxa"/>
            <w:gridSpan w:val="2"/>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Ataskaitų formos turi būti parengtos galiojančių teisės aktų pagrindu ir suderintos su Perkančiąja organizacija. </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pasirinkti generuojamų ataskaitų formatą (*.pdf, *.docx, *.xlsx).</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sugeneruoti dvi ataskaitas „Savivaldybių Valstybinių (valstybės perduotų savivaldybėms) visuomenės sveikatos priežiūros funkcijų vykdymo bazinių visuomenės sveikatos priežiūros paslaugų planai ir ataskaitos“ ( </w:t>
            </w:r>
            <w:hyperlink r:id="rId27">
              <w:r>
                <w:rPr>
                  <w:rStyle w:val="Hyperlink"/>
                  <w:rFonts w:cs="Times New Roman"/>
                  <w:szCs w:val="24"/>
                </w:rPr>
                <w:t>https://e-seimas.lrs.lt/rs/legalact/TAD/7b5b0592ca8411ed9b3c9397e1236c2a/</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visų vertinimo kriterijų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duomenims pateikti, grupuojant atskirose kortelėse pagal vertinimo kriterijus (HI lygis).</w:t>
            </w:r>
            <w:bookmarkStart w:id="78" w:name="_Hlk177966164"/>
            <w:bookmarkEnd w:id="78"/>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paslaugų vertinimo kriterijų duomenų pagrindu, suteikiant galimybę įvesti trūkstamus duomenis.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79" w:name="_Hlk177966507"/>
            <w:r>
              <w:rPr>
                <w:rFonts w:cs="Times New Roman"/>
                <w:szCs w:val="24"/>
              </w:rPr>
              <w:t>Ataskaitą turi būti galima generuoti vertinimo kriterijų sąraše. Jei sąrašas atfiltruotas, tai IT sprendimas turi eksportuoti tik atrinktus duomenis.</w:t>
            </w:r>
            <w:bookmarkEnd w:id="79"/>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sugeneruoti dvi ataskaitas „Sveikatos stiprinimo programos, skirtos širdies ir kraujagyslių ligų bei cukrinio diabeto profilaktikai, ataskaitos“ (</w:t>
            </w:r>
            <w:hyperlink r:id="rId28">
              <w:r>
                <w:rPr>
                  <w:rStyle w:val="Hyperlink"/>
                  <w:rFonts w:cs="Times New Roman"/>
                  <w:szCs w:val="24"/>
                </w:rPr>
                <w:t>https://e-seimas.lrs.lt/portal/legalAct/lt/ TAD/b574b900481b11e4ba2fc5e712e90cd4/asr</w:t>
              </w:r>
            </w:hyperlink>
            <w:r>
              <w:rPr>
                <w:rFonts w:cs="Times New Roman"/>
                <w:szCs w:val="24"/>
              </w:rPr>
              <w:t xml:space="preserve">, </w:t>
            </w:r>
            <w:hyperlink r:id="rId29">
              <w:r>
                <w:rPr>
                  <w:rStyle w:val="Hyperlink"/>
                  <w:rFonts w:cs="Times New Roman"/>
                  <w:szCs w:val="24"/>
                </w:rPr>
                <w:t>https://www.hi.lt/uploads/Sveikatos%20stiprinimo%20centras/ SKL%20ataskaitos/ SSP_SKL_CD_2023_duomenu _suvestine_pagal_savivaldybes.pdf</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visų analitinių požymių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Ataskaita turi būti generuojama </w:t>
            </w:r>
            <w:bookmarkStart w:id="80" w:name="_Hlk177972953"/>
            <w:r>
              <w:rPr>
                <w:rFonts w:cs="Times New Roman"/>
                <w:szCs w:val="24"/>
              </w:rPr>
              <w:t xml:space="preserve">paslaugos duomenų ir </w:t>
            </w:r>
            <w:bookmarkEnd w:id="80"/>
            <w:r>
              <w:rPr>
                <w:rFonts w:cs="Times New Roman"/>
                <w:szCs w:val="24"/>
              </w:rPr>
              <w:t>paslaugos gavėjų analitinių požymių duomenų pagrindu, suteikiant galimybę įvesti trūkstamus duomenis.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paslaugos gavėjų analitinių požymių sąraše. Jei sąrašas atfiltruotas, tai IT sprendimas turi eksportuoti tik atrinktus duomenis.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sugeneruoti dvi ataskaitas „Sveikatos stiprinimo programų ikimokyklinio ir mokyklinio amžiaus vaikų tėvams </w:t>
            </w:r>
            <w:r>
              <w:rPr>
                <w:rFonts w:cs="Times New Roman"/>
                <w:bCs/>
                <w:szCs w:val="24"/>
              </w:rPr>
              <w:t>„Neįtikėtini metai“</w:t>
            </w:r>
            <w:r>
              <w:rPr>
                <w:rFonts w:cs="Times New Roman"/>
                <w:szCs w:val="24"/>
              </w:rPr>
              <w:t xml:space="preserve"> ataskaitos“ (</w:t>
            </w:r>
            <w:hyperlink r:id="rId30">
              <w:r>
                <w:rPr>
                  <w:rStyle w:val="Hyperlink"/>
                  <w:rFonts w:cs="Times New Roman"/>
                  <w:szCs w:val="24"/>
                </w:rPr>
                <w:t>https://e-seimas.lrs.lt/portal/legalAct/lt/TAD/ a1d90172017c11eebc0bd16e3a4d3b97</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visiems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grupuojant pagal savivaldybes ir programą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sugeneruoti dvi ataskaitas „Socialinio recepto iniciatyvos vykdymo suvestinė ataskaita“ (</w:t>
            </w:r>
            <w:hyperlink r:id="rId31">
              <w:r>
                <w:rPr>
                  <w:rStyle w:val="Hyperlink"/>
                  <w:rFonts w:cs="Times New Roman"/>
                  <w:szCs w:val="24"/>
                </w:rPr>
                <w:t>https://e-seimas.lrs.lt/portal/legalAct/lt/ TAD/65d00fa18d3911edb55e9d42c1579bdf</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sugeneruoti dvi ataskaitas „Psichologinės gerovės ir </w:t>
            </w:r>
            <w:r>
              <w:rPr>
                <w:rFonts w:cs="Times New Roman"/>
                <w:bCs/>
                <w:szCs w:val="24"/>
              </w:rPr>
              <w:t>psichikos sveikatos</w:t>
            </w:r>
            <w:r>
              <w:rPr>
                <w:rFonts w:cs="Times New Roman"/>
                <w:szCs w:val="24"/>
              </w:rPr>
              <w:t xml:space="preserve"> stiprinimo paslaugų teikimo suvestinė ataskaita“ (</w:t>
            </w:r>
            <w:hyperlink r:id="rId32">
              <w:r>
                <w:rPr>
                  <w:rStyle w:val="Hyperlink"/>
                  <w:rFonts w:cs="Times New Roman"/>
                  <w:szCs w:val="24"/>
                </w:rPr>
                <w:t>https://e-seimas.lrs.lt/portal/legalAct/lt/TAD/ 979a1521d57c11ea8f4ce1816a470b26?jfwid=-yj5zr00nx</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visiems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sugeneruoti dvi ataskaitas „Mokyklų darbuotojų kompetencijos </w:t>
            </w:r>
            <w:r>
              <w:rPr>
                <w:rFonts w:cs="Times New Roman"/>
                <w:bCs/>
                <w:szCs w:val="24"/>
              </w:rPr>
              <w:t>psichikos sveikatos</w:t>
            </w:r>
            <w:r>
              <w:rPr>
                <w:rFonts w:cs="Times New Roman"/>
                <w:szCs w:val="24"/>
              </w:rPr>
              <w:t xml:space="preserve"> srityje didinimo suvestinė ataskaita“ (</w:t>
            </w:r>
            <w:hyperlink r:id="rId33">
              <w:r>
                <w:rPr>
                  <w:rStyle w:val="Hyperlink"/>
                  <w:rFonts w:cs="Times New Roman"/>
                  <w:szCs w:val="24"/>
                </w:rPr>
                <w:t>https://e-seimas.lrs.lt/portal/legalAct/lt/ TAD/0285e6606cde11e99684a7f33a9827ac/asr</w:t>
              </w:r>
            </w:hyperlink>
            <w:r>
              <w:rPr>
                <w:rFonts w:cs="Times New Roman"/>
                <w:szCs w:val="24"/>
              </w:rPr>
              <w:t xml:space="preserve"> ).</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visiems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sugeneruoti dvi ataskaitas „Bazinių </w:t>
            </w:r>
            <w:r>
              <w:rPr>
                <w:rFonts w:cs="Times New Roman"/>
                <w:bCs/>
                <w:szCs w:val="24"/>
              </w:rPr>
              <w:t xml:space="preserve">savižudybių </w:t>
            </w:r>
            <w:r>
              <w:rPr>
                <w:rFonts w:cs="Times New Roman"/>
                <w:szCs w:val="24"/>
              </w:rPr>
              <w:t>prevencijos mokymų vertinimo ataskaitos“ (</w:t>
            </w:r>
            <w:hyperlink r:id="rId34">
              <w:r>
                <w:rPr>
                  <w:rStyle w:val="Hyperlink"/>
                  <w:rFonts w:cs="Times New Roman"/>
                  <w:szCs w:val="24"/>
                </w:rPr>
                <w:t>https://e-seimas.lrs.lt/portal/legalAct/lt/TAD/f422f501129911ebbedbd456d2fb030d</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visiems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sugeneruoti dvi ataskaitas „</w:t>
            </w:r>
            <w:r>
              <w:rPr>
                <w:rFonts w:cs="Times New Roman"/>
                <w:bCs/>
                <w:szCs w:val="24"/>
              </w:rPr>
              <w:t xml:space="preserve">Savižudybių </w:t>
            </w:r>
            <w:r>
              <w:rPr>
                <w:rFonts w:cs="Times New Roman"/>
                <w:szCs w:val="24"/>
              </w:rPr>
              <w:t>prevencijos koordinavimo savivaldybėse metų veiklos ataskaita ir planas“ (</w:t>
            </w:r>
            <w:hyperlink r:id="rId35">
              <w:r>
                <w:rPr>
                  <w:rStyle w:val="Hyperlink"/>
                  <w:rFonts w:cs="Times New Roman"/>
                  <w:szCs w:val="24"/>
                </w:rPr>
                <w:t>https://e-seimas.lrs.lt/portal/legalAct/lt/ TAD/25689912b18611ee8172b53a675305ab</w:t>
              </w:r>
            </w:hyperlink>
            <w:r>
              <w:rPr>
                <w:rFonts w:cs="Times New Roman"/>
                <w:szCs w:val="24"/>
              </w:rPr>
              <w:t xml:space="preserve">, </w:t>
            </w:r>
            <w:hyperlink r:id="rId36">
              <w:r>
                <w:rPr>
                  <w:rStyle w:val="Hyperlink"/>
                  <w:rFonts w:cs="Times New Roman"/>
                  <w:szCs w:val="24"/>
                </w:rPr>
                <w:t>https://www.hi.lt/uploads/Products/product_389/ Saviudybi_prevencijos_koordinavimo_savivaldybse _TA_gairs_(2024)_.pdf</w:t>
              </w:r>
            </w:hyperlink>
            <w:r>
              <w:rPr>
                <w:rFonts w:cs="Times New Roman"/>
                <w:szCs w:val="24"/>
              </w:rPr>
              <w:t xml:space="preserve"> ).</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visiems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numatyta ir į pasiūlymo kaštus įskaičiuota galimybė pagal Perkančiosios organizacijos poreikius įgyvendinti dvi papildomas techninėje specifikacijoje neįvardintas ataskaitas, kurių reikalavimai būtų apibrėžiami įgyvendinant IT sprendimą.</w:t>
            </w:r>
          </w:p>
        </w:tc>
      </w:tr>
    </w:tbl>
    <w:p>
      <w:pPr>
        <w:pStyle w:val="Heading3"/>
        <w:numPr>
          <w:ilvl w:val="2"/>
          <w:numId w:val="58"/>
        </w:numPr>
        <w:rPr/>
      </w:pPr>
      <w:bookmarkStart w:id="81" w:name="_Toc192483636"/>
      <w:r>
        <w:rPr/>
        <w:t>Reikalavimai administravimui</w:t>
      </w:r>
      <w:bookmarkEnd w:id="81"/>
    </w:p>
    <w:p>
      <w:pPr>
        <w:pStyle w:val="Heading3"/>
        <w:numPr>
          <w:ilvl w:val="3"/>
          <w:numId w:val="58"/>
        </w:numPr>
        <w:rPr/>
      </w:pPr>
      <w:bookmarkStart w:id="82" w:name="_Toc192483637"/>
      <w:r>
        <w:rPr/>
        <w:t>Reikalavimai naudotojų ir jų teisių valdymui</w:t>
      </w:r>
      <w:bookmarkEnd w:id="82"/>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bookmarkStart w:id="83" w:name="_Hlk177460447"/>
            <w:bookmarkEnd w:id="83"/>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naudotojams prisijungti per el. valdžios vartus (VIISP).</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valdyti naudotojus: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Kurti ir keisti naudotojų duomenis bei kiekvienam iš jų priskirti vieną arba daugiau rolių.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Šalinti naudotojus.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Keisti naudotojų būseną (aktyvus / neaktyvus).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Naudotojams, kurie turi VSB administratoriaus, VSB darbuotojo, VSB paslaugų vykdytojo, paslaugų uždarytojo roles, turi būti privaloma priskirti vieną ar daugiau savivaldybių.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valdyti naudotojų roles: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Kurti ir keisti naudotojų roles bei priskirti joms teises.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Šalinti naudotojų roles.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sukonfigūruotos šios naudotojų rolės: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Administratorius. Rolei turi būti suteiktos šios teisės:</w:t>
            </w:r>
          </w:p>
          <w:p>
            <w:pPr>
              <w:pStyle w:val="ListParagraph"/>
              <w:numPr>
                <w:ilvl w:val="0"/>
                <w:numId w:val="8"/>
              </w:numPr>
              <w:jc w:val="both"/>
              <w:rPr>
                <w:rFonts w:cs="Times New Roman"/>
                <w:szCs w:val="24"/>
              </w:rPr>
            </w:pPr>
            <w:bookmarkStart w:id="84" w:name="_Hlk177627193"/>
            <w:r>
              <w:rPr>
                <w:rFonts w:cs="Times New Roman"/>
                <w:szCs w:val="24"/>
              </w:rPr>
              <w:t>Peržiūrėti, kurti, keisti ir šalinti naudotojų roles.</w:t>
            </w:r>
          </w:p>
          <w:p>
            <w:pPr>
              <w:pStyle w:val="ListParagraph"/>
              <w:numPr>
                <w:ilvl w:val="0"/>
                <w:numId w:val="8"/>
              </w:numPr>
              <w:jc w:val="both"/>
              <w:rPr>
                <w:rFonts w:cs="Times New Roman"/>
                <w:szCs w:val="24"/>
              </w:rPr>
            </w:pPr>
            <w:bookmarkStart w:id="85" w:name="_Hlk177627193"/>
            <w:r>
              <w:rPr>
                <w:rFonts w:cs="Times New Roman"/>
                <w:szCs w:val="24"/>
              </w:rPr>
              <w:t>Peržiūrėti, kurti, keisti ir šalinti naudotojus</w:t>
            </w:r>
            <w:bookmarkEnd w:id="85"/>
            <w:r>
              <w:rPr>
                <w:rFonts w:cs="Times New Roman"/>
                <w:szCs w:val="24"/>
              </w:rPr>
              <w:t>.</w:t>
            </w:r>
          </w:p>
          <w:p>
            <w:pPr>
              <w:pStyle w:val="ListParagraph"/>
              <w:numPr>
                <w:ilvl w:val="0"/>
                <w:numId w:val="8"/>
              </w:numPr>
              <w:jc w:val="both"/>
              <w:rPr>
                <w:rFonts w:cs="Times New Roman"/>
                <w:szCs w:val="24"/>
              </w:rPr>
            </w:pPr>
            <w:bookmarkStart w:id="86" w:name="_Hlk177631912"/>
            <w:r>
              <w:rPr>
                <w:rFonts w:cs="Times New Roman"/>
                <w:szCs w:val="24"/>
              </w:rPr>
              <w:t>Keisti naudotojų būseną (aktyvus / neaktyvus).</w:t>
            </w:r>
            <w:bookmarkEnd w:id="86"/>
          </w:p>
          <w:p>
            <w:pPr>
              <w:pStyle w:val="ListParagraph"/>
              <w:numPr>
                <w:ilvl w:val="0"/>
                <w:numId w:val="8"/>
              </w:numPr>
              <w:spacing w:before="40" w:after="160"/>
              <w:contextualSpacing/>
              <w:jc w:val="both"/>
              <w:rPr>
                <w:rFonts w:cs="Times New Roman"/>
                <w:szCs w:val="24"/>
              </w:rPr>
            </w:pPr>
            <w:r>
              <w:rPr>
                <w:rFonts w:cs="Times New Roman"/>
                <w:szCs w:val="24"/>
              </w:rPr>
              <w:t>Kurti, keisti ir šalinti žinynų reikšmių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HI darbuotojas. Rolei turi būti suteiktos šios teisės:</w:t>
            </w:r>
          </w:p>
          <w:p>
            <w:pPr>
              <w:pStyle w:val="ListParagraph"/>
              <w:numPr>
                <w:ilvl w:val="0"/>
                <w:numId w:val="9"/>
              </w:numPr>
              <w:jc w:val="both"/>
              <w:rPr>
                <w:rFonts w:cs="Times New Roman"/>
                <w:szCs w:val="24"/>
              </w:rPr>
            </w:pPr>
            <w:r>
              <w:rPr>
                <w:rFonts w:cs="Times New Roman"/>
                <w:szCs w:val="24"/>
              </w:rPr>
              <w:t>Peržiūrėti, kurti, keisti, šalinti ir archyvuoti bazines paslaugas.</w:t>
            </w:r>
          </w:p>
          <w:p>
            <w:pPr>
              <w:pStyle w:val="ListParagraph"/>
              <w:numPr>
                <w:ilvl w:val="0"/>
                <w:numId w:val="9"/>
              </w:numPr>
              <w:jc w:val="both"/>
              <w:rPr>
                <w:rFonts w:cs="Times New Roman"/>
                <w:szCs w:val="24"/>
              </w:rPr>
            </w:pPr>
            <w:r>
              <w:rPr>
                <w:rFonts w:cs="Times New Roman"/>
                <w:szCs w:val="24"/>
              </w:rPr>
              <w:t>Tvirtinti bazines paslaugas.</w:t>
            </w:r>
          </w:p>
          <w:p>
            <w:pPr>
              <w:pStyle w:val="ListParagraph"/>
              <w:numPr>
                <w:ilvl w:val="0"/>
                <w:numId w:val="9"/>
              </w:numPr>
              <w:jc w:val="both"/>
              <w:rPr>
                <w:rFonts w:cs="Times New Roman"/>
                <w:szCs w:val="24"/>
              </w:rPr>
            </w:pPr>
            <w:r>
              <w:rPr>
                <w:rFonts w:cs="Times New Roman"/>
                <w:szCs w:val="24"/>
              </w:rPr>
              <w:t>Atšaukti bazinių paslaugų patvirtinimą.</w:t>
            </w:r>
          </w:p>
          <w:p>
            <w:pPr>
              <w:pStyle w:val="ListParagraph"/>
              <w:numPr>
                <w:ilvl w:val="0"/>
                <w:numId w:val="9"/>
              </w:numPr>
              <w:jc w:val="both"/>
              <w:rPr>
                <w:rFonts w:cs="Times New Roman"/>
                <w:szCs w:val="24"/>
              </w:rPr>
            </w:pPr>
            <w:bookmarkStart w:id="87" w:name="_Hlk177801935"/>
            <w:r>
              <w:rPr>
                <w:rFonts w:cs="Times New Roman"/>
                <w:szCs w:val="24"/>
              </w:rPr>
              <w:t>Peržiūrėti paslaugas.</w:t>
            </w:r>
            <w:bookmarkEnd w:id="87"/>
          </w:p>
          <w:p>
            <w:pPr>
              <w:pStyle w:val="ListParagraph"/>
              <w:numPr>
                <w:ilvl w:val="0"/>
                <w:numId w:val="9"/>
              </w:numPr>
              <w:jc w:val="both"/>
              <w:rPr>
                <w:rFonts w:cs="Times New Roman"/>
                <w:szCs w:val="24"/>
              </w:rPr>
            </w:pPr>
            <w:r>
              <w:rPr>
                <w:rFonts w:cs="Times New Roman"/>
                <w:szCs w:val="24"/>
              </w:rPr>
              <w:t>Peržiūrėti paslaugų vertinimo kriterijus.</w:t>
            </w:r>
          </w:p>
          <w:p>
            <w:pPr>
              <w:pStyle w:val="ListParagraph"/>
              <w:numPr>
                <w:ilvl w:val="0"/>
                <w:numId w:val="9"/>
              </w:numPr>
              <w:jc w:val="both"/>
              <w:rPr>
                <w:rFonts w:cs="Times New Roman"/>
                <w:szCs w:val="24"/>
              </w:rPr>
            </w:pPr>
            <w:r>
              <w:rPr>
                <w:rFonts w:cs="Times New Roman"/>
                <w:szCs w:val="24"/>
              </w:rPr>
              <w:t>Peržiūrėti SRDI.</w:t>
            </w:r>
          </w:p>
          <w:p>
            <w:pPr>
              <w:pStyle w:val="ListParagraph"/>
              <w:numPr>
                <w:ilvl w:val="0"/>
                <w:numId w:val="9"/>
              </w:numPr>
              <w:jc w:val="both"/>
              <w:rPr>
                <w:rFonts w:cs="Times New Roman"/>
                <w:szCs w:val="24"/>
              </w:rPr>
            </w:pPr>
            <w:r>
              <w:rPr>
                <w:rFonts w:cs="Times New Roman"/>
                <w:szCs w:val="24"/>
              </w:rPr>
              <w:t>Peržiūrėti paslaugos gavėjų analitinius požymius.</w:t>
            </w:r>
          </w:p>
          <w:p>
            <w:pPr>
              <w:pStyle w:val="ListParagraph"/>
              <w:numPr>
                <w:ilvl w:val="0"/>
                <w:numId w:val="9"/>
              </w:numPr>
              <w:jc w:val="both"/>
              <w:rPr>
                <w:rFonts w:cs="Times New Roman"/>
                <w:szCs w:val="24"/>
              </w:rPr>
            </w:pPr>
            <w:r>
              <w:rPr>
                <w:rFonts w:cs="Times New Roman"/>
                <w:szCs w:val="24"/>
              </w:rPr>
              <w:t>Peržiūrėti paslaugos papildomos ataskaitos duomenų rinkinio duomenis.</w:t>
            </w:r>
          </w:p>
          <w:p>
            <w:pPr>
              <w:pStyle w:val="ListParagraph"/>
              <w:numPr>
                <w:ilvl w:val="0"/>
                <w:numId w:val="9"/>
              </w:numPr>
              <w:jc w:val="both"/>
              <w:rPr>
                <w:rFonts w:cs="Times New Roman"/>
                <w:szCs w:val="24"/>
              </w:rPr>
            </w:pPr>
            <w:r>
              <w:rPr>
                <w:rFonts w:cs="Times New Roman"/>
                <w:szCs w:val="24"/>
              </w:rPr>
              <w:t>Peržiūrėti ataskaitas.</w:t>
            </w:r>
          </w:p>
          <w:p>
            <w:pPr>
              <w:pStyle w:val="ListParagraph"/>
              <w:numPr>
                <w:ilvl w:val="0"/>
                <w:numId w:val="9"/>
              </w:numPr>
              <w:jc w:val="both"/>
              <w:rPr>
                <w:rFonts w:cs="Times New Roman"/>
                <w:szCs w:val="24"/>
              </w:rPr>
            </w:pPr>
            <w:r>
              <w:rPr>
                <w:rFonts w:cs="Times New Roman"/>
                <w:szCs w:val="24"/>
              </w:rPr>
              <w:t>Generuoti ataskaitas ataskaitų sąraše.</w:t>
            </w:r>
          </w:p>
          <w:p>
            <w:pPr>
              <w:pStyle w:val="ListParagraph"/>
              <w:numPr>
                <w:ilvl w:val="0"/>
                <w:numId w:val="9"/>
              </w:numPr>
              <w:jc w:val="both"/>
              <w:rPr>
                <w:rFonts w:cs="Times New Roman"/>
                <w:szCs w:val="24"/>
              </w:rPr>
            </w:pPr>
            <w:r>
              <w:rPr>
                <w:rFonts w:cs="Times New Roman"/>
                <w:szCs w:val="24"/>
              </w:rPr>
              <w:t>Peržiūrėti, kurti, keisti ir šalinti paskirstymo bazes.</w:t>
            </w:r>
          </w:p>
          <w:p>
            <w:pPr>
              <w:pStyle w:val="ListParagraph"/>
              <w:numPr>
                <w:ilvl w:val="0"/>
                <w:numId w:val="9"/>
              </w:numPr>
              <w:spacing w:before="40" w:after="160"/>
              <w:contextualSpacing/>
              <w:jc w:val="both"/>
              <w:rPr>
                <w:rFonts w:cs="Times New Roman"/>
                <w:szCs w:val="24"/>
              </w:rPr>
            </w:pPr>
            <w:r>
              <w:rPr>
                <w:rFonts w:cs="Times New Roman"/>
                <w:szCs w:val="24"/>
              </w:rPr>
              <w:t>Peržiūrėti, kurti, keisti ir šalinti paskirstymo normas.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Kriterijų derintojas. Rolei turi būti suteiktos šios teisės:</w:t>
            </w:r>
          </w:p>
          <w:p>
            <w:pPr>
              <w:pStyle w:val="ListParagraph"/>
              <w:numPr>
                <w:ilvl w:val="0"/>
                <w:numId w:val="13"/>
              </w:numPr>
              <w:jc w:val="both"/>
              <w:rPr>
                <w:rFonts w:cs="Times New Roman"/>
                <w:szCs w:val="24"/>
              </w:rPr>
            </w:pPr>
            <w:r>
              <w:rPr>
                <w:rFonts w:cs="Times New Roman"/>
                <w:szCs w:val="24"/>
              </w:rPr>
              <w:t xml:space="preserve">Peržiūrėti </w:t>
            </w:r>
            <w:bookmarkStart w:id="88" w:name="_Hlk177801044"/>
            <w:r>
              <w:rPr>
                <w:rFonts w:cs="Times New Roman"/>
                <w:szCs w:val="24"/>
              </w:rPr>
              <w:t>paslaugų vertinimo kriterijus</w:t>
            </w:r>
            <w:bookmarkEnd w:id="88"/>
            <w:r>
              <w:rPr>
                <w:rFonts w:cs="Times New Roman"/>
                <w:szCs w:val="24"/>
              </w:rPr>
              <w:t>.</w:t>
            </w:r>
          </w:p>
          <w:p>
            <w:pPr>
              <w:pStyle w:val="ListParagraph"/>
              <w:numPr>
                <w:ilvl w:val="0"/>
                <w:numId w:val="13"/>
              </w:numPr>
              <w:jc w:val="both"/>
              <w:rPr>
                <w:rFonts w:cs="Times New Roman"/>
                <w:szCs w:val="24"/>
              </w:rPr>
            </w:pPr>
            <w:r>
              <w:rPr>
                <w:rFonts w:cs="Times New Roman"/>
                <w:szCs w:val="24"/>
              </w:rPr>
              <w:t>Pažymėti paslaugų vertinimo kriterijus suderintais.</w:t>
            </w:r>
          </w:p>
          <w:p>
            <w:pPr>
              <w:pStyle w:val="ListParagraph"/>
              <w:numPr>
                <w:ilvl w:val="0"/>
                <w:numId w:val="13"/>
              </w:numPr>
              <w:spacing w:before="40" w:after="160"/>
              <w:contextualSpacing/>
              <w:jc w:val="both"/>
              <w:rPr>
                <w:rFonts w:cs="Times New Roman"/>
                <w:szCs w:val="24"/>
              </w:rPr>
            </w:pPr>
            <w:r>
              <w:rPr>
                <w:rFonts w:cs="Times New Roman"/>
                <w:szCs w:val="24"/>
              </w:rPr>
              <w:t>Atmesti paslaugų vertinimo kriterijus.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Kriterijų tvirtintojas. Rolei turi būti suteiktos šios teisės:</w:t>
            </w:r>
          </w:p>
          <w:p>
            <w:pPr>
              <w:pStyle w:val="ListParagraph"/>
              <w:numPr>
                <w:ilvl w:val="0"/>
                <w:numId w:val="14"/>
              </w:numPr>
              <w:jc w:val="both"/>
              <w:rPr>
                <w:rFonts w:cs="Times New Roman"/>
                <w:szCs w:val="24"/>
              </w:rPr>
            </w:pPr>
            <w:r>
              <w:rPr>
                <w:rFonts w:cs="Times New Roman"/>
                <w:szCs w:val="24"/>
              </w:rPr>
              <w:t>Peržiūrėti paslaugų vertinimo kriterijus.</w:t>
            </w:r>
          </w:p>
          <w:p>
            <w:pPr>
              <w:pStyle w:val="ListParagraph"/>
              <w:numPr>
                <w:ilvl w:val="0"/>
                <w:numId w:val="14"/>
              </w:numPr>
              <w:jc w:val="both"/>
              <w:rPr>
                <w:rFonts w:cs="Times New Roman"/>
                <w:szCs w:val="24"/>
              </w:rPr>
            </w:pPr>
            <w:r>
              <w:rPr>
                <w:rFonts w:cs="Times New Roman"/>
                <w:szCs w:val="24"/>
              </w:rPr>
              <w:t>Tvirtinti paslaugų vertinimo kriterijus.</w:t>
            </w:r>
          </w:p>
          <w:p>
            <w:pPr>
              <w:pStyle w:val="ListParagraph"/>
              <w:numPr>
                <w:ilvl w:val="0"/>
                <w:numId w:val="14"/>
              </w:numPr>
              <w:spacing w:before="40" w:after="160"/>
              <w:contextualSpacing/>
              <w:jc w:val="both"/>
              <w:rPr>
                <w:rFonts w:cs="Times New Roman"/>
                <w:szCs w:val="24"/>
              </w:rPr>
            </w:pPr>
            <w:r>
              <w:rPr>
                <w:rFonts w:cs="Times New Roman"/>
                <w:szCs w:val="24"/>
              </w:rPr>
              <w:t>Atmesti paslaugų vertinimo kriterijus.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VSB administratorius. Rolei turi būti suteiktos šios teisės:</w:t>
            </w:r>
          </w:p>
          <w:p>
            <w:pPr>
              <w:pStyle w:val="ListParagraph"/>
              <w:numPr>
                <w:ilvl w:val="0"/>
                <w:numId w:val="10"/>
              </w:numPr>
              <w:jc w:val="both"/>
              <w:rPr>
                <w:rFonts w:cs="Times New Roman"/>
                <w:szCs w:val="24"/>
              </w:rPr>
            </w:pPr>
            <w:r>
              <w:rPr>
                <w:rFonts w:cs="Times New Roman"/>
                <w:szCs w:val="24"/>
              </w:rPr>
              <w:t>Peržiūrėti, kurti, keisti ir šalinti VSB administratoriui priskirtų savivaldybių naudotojus, kurių rolės: VSB darbuotojas, VSB paslaugos vykdytojas, Paslaugų uždarytojas.</w:t>
            </w:r>
          </w:p>
          <w:p>
            <w:pPr>
              <w:pStyle w:val="Normal"/>
              <w:spacing w:before="40" w:after="160"/>
              <w:jc w:val="both"/>
              <w:rPr>
                <w:rFonts w:cs="Times New Roman"/>
                <w:szCs w:val="24"/>
              </w:rPr>
            </w:pPr>
            <w:r>
              <w:rPr>
                <w:rFonts w:cs="Times New Roman"/>
                <w:szCs w:val="24"/>
              </w:rPr>
              <w:t>Jei VSB administratoriui priskirtos kelios savivaldybės, tai prisijungus prie IT sprendimo, jam turi būti privaloma nurodyti savivaldybę, su kurios duomenimis jis atliks veiksmus.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VSB darbuotojas. </w:t>
            </w:r>
            <w:bookmarkStart w:id="89" w:name="_Hlk177629885"/>
            <w:r>
              <w:rPr>
                <w:rFonts w:cs="Times New Roman"/>
                <w:szCs w:val="24"/>
              </w:rPr>
              <w:t>Rolei turi būti suteiktos šios teisės:</w:t>
            </w:r>
            <w:bookmarkEnd w:id="89"/>
          </w:p>
          <w:p>
            <w:pPr>
              <w:pStyle w:val="ListParagraph"/>
              <w:numPr>
                <w:ilvl w:val="0"/>
                <w:numId w:val="11"/>
              </w:numPr>
              <w:jc w:val="both"/>
              <w:rPr>
                <w:rFonts w:cs="Times New Roman"/>
                <w:szCs w:val="24"/>
              </w:rPr>
            </w:pPr>
            <w:bookmarkStart w:id="90" w:name="_Hlk178256933"/>
            <w:r>
              <w:rPr>
                <w:rFonts w:cs="Times New Roman"/>
                <w:szCs w:val="24"/>
              </w:rPr>
              <w:t>Peržiūrėti bazines paslaugas.</w:t>
            </w:r>
          </w:p>
          <w:p>
            <w:pPr>
              <w:pStyle w:val="ListParagraph"/>
              <w:numPr>
                <w:ilvl w:val="0"/>
                <w:numId w:val="11"/>
              </w:numPr>
              <w:jc w:val="both"/>
              <w:rPr>
                <w:rFonts w:cs="Times New Roman"/>
                <w:szCs w:val="24"/>
              </w:rPr>
            </w:pPr>
            <w:r>
              <w:rPr>
                <w:rFonts w:cs="Times New Roman"/>
                <w:szCs w:val="24"/>
              </w:rPr>
              <w:t>Peržiūrėti, kurti, keisti, šalinti ir archyvuoti naudotojui priskirtų savivaldybių paslaugas.</w:t>
            </w:r>
          </w:p>
          <w:p>
            <w:pPr>
              <w:pStyle w:val="ListParagraph"/>
              <w:numPr>
                <w:ilvl w:val="0"/>
                <w:numId w:val="11"/>
              </w:numPr>
              <w:jc w:val="both"/>
              <w:rPr>
                <w:rFonts w:cs="Times New Roman"/>
                <w:szCs w:val="24"/>
              </w:rPr>
            </w:pPr>
            <w:bookmarkStart w:id="91" w:name="_Hlk178082003"/>
            <w:r>
              <w:rPr>
                <w:rFonts w:cs="Times New Roman"/>
                <w:szCs w:val="24"/>
              </w:rPr>
              <w:t xml:space="preserve">Peržiūrėti </w:t>
            </w:r>
            <w:bookmarkStart w:id="92" w:name="_Hlk178068315"/>
            <w:r>
              <w:rPr>
                <w:rFonts w:cs="Times New Roman"/>
                <w:szCs w:val="24"/>
              </w:rPr>
              <w:t xml:space="preserve">ir pildyti naudotojui priskirtų savivaldybių </w:t>
            </w:r>
            <w:bookmarkEnd w:id="92"/>
            <w:r>
              <w:rPr>
                <w:rFonts w:cs="Times New Roman"/>
                <w:szCs w:val="24"/>
              </w:rPr>
              <w:t>paslaugų vertinimo kriterijų duomenis.</w:t>
            </w:r>
            <w:bookmarkEnd w:id="91"/>
          </w:p>
          <w:p>
            <w:pPr>
              <w:pStyle w:val="ListParagraph"/>
              <w:numPr>
                <w:ilvl w:val="0"/>
                <w:numId w:val="11"/>
              </w:numPr>
              <w:jc w:val="both"/>
              <w:rPr>
                <w:rFonts w:cs="Times New Roman"/>
                <w:szCs w:val="24"/>
              </w:rPr>
            </w:pPr>
            <w:r>
              <w:rPr>
                <w:rFonts w:cs="Times New Roman"/>
                <w:szCs w:val="24"/>
              </w:rPr>
              <w:t>Pateikti paslaugų vertinimo kriterijus patvirtinimui.</w:t>
            </w:r>
          </w:p>
          <w:p>
            <w:pPr>
              <w:pStyle w:val="ListParagraph"/>
              <w:numPr>
                <w:ilvl w:val="0"/>
                <w:numId w:val="11"/>
              </w:numPr>
              <w:jc w:val="both"/>
              <w:rPr>
                <w:rFonts w:cs="Times New Roman"/>
                <w:szCs w:val="24"/>
              </w:rPr>
            </w:pPr>
            <w:r>
              <w:rPr>
                <w:rFonts w:cs="Times New Roman"/>
                <w:szCs w:val="24"/>
              </w:rPr>
              <w:t>Peržiūrėti, kurti, keisti ir šalinti naudotojui priskirtų savivaldybių paslaugų SRDI.</w:t>
            </w:r>
          </w:p>
          <w:p>
            <w:pPr>
              <w:pStyle w:val="ListParagraph"/>
              <w:numPr>
                <w:ilvl w:val="0"/>
                <w:numId w:val="11"/>
              </w:numPr>
              <w:jc w:val="both"/>
              <w:rPr>
                <w:rFonts w:cs="Times New Roman"/>
                <w:szCs w:val="24"/>
              </w:rPr>
            </w:pPr>
            <w:r>
              <w:rPr>
                <w:rFonts w:cs="Times New Roman"/>
                <w:szCs w:val="24"/>
              </w:rPr>
              <w:t>Peržiūrėti ir pildyti paslaugos gavėjų analitinius požymius.</w:t>
            </w:r>
          </w:p>
          <w:p>
            <w:pPr>
              <w:pStyle w:val="ListParagraph"/>
              <w:numPr>
                <w:ilvl w:val="0"/>
                <w:numId w:val="11"/>
              </w:numPr>
              <w:jc w:val="both"/>
              <w:rPr>
                <w:rFonts w:cs="Times New Roman"/>
                <w:szCs w:val="24"/>
              </w:rPr>
            </w:pPr>
            <w:r>
              <w:rPr>
                <w:rFonts w:cs="Times New Roman"/>
                <w:szCs w:val="24"/>
              </w:rPr>
              <w:t>Peržiūrėti ir pildyti paslaugos papildomos ataskaitos duomenų rinkinio duomenis.</w:t>
            </w:r>
          </w:p>
          <w:p>
            <w:pPr>
              <w:pStyle w:val="ListParagraph"/>
              <w:numPr>
                <w:ilvl w:val="0"/>
                <w:numId w:val="11"/>
              </w:numPr>
              <w:jc w:val="both"/>
              <w:rPr>
                <w:rFonts w:cs="Times New Roman"/>
                <w:szCs w:val="24"/>
              </w:rPr>
            </w:pPr>
            <w:r>
              <w:rPr>
                <w:rFonts w:cs="Times New Roman"/>
                <w:szCs w:val="24"/>
              </w:rPr>
              <w:t>Peržiūrėti ataskaitas.</w:t>
            </w:r>
          </w:p>
          <w:p>
            <w:pPr>
              <w:pStyle w:val="ListParagraph"/>
              <w:numPr>
                <w:ilvl w:val="0"/>
                <w:numId w:val="11"/>
              </w:numPr>
              <w:jc w:val="both"/>
              <w:rPr>
                <w:rFonts w:cs="Times New Roman"/>
                <w:szCs w:val="24"/>
              </w:rPr>
            </w:pPr>
            <w:r>
              <w:rPr>
                <w:rFonts w:cs="Times New Roman"/>
                <w:szCs w:val="24"/>
              </w:rPr>
              <w:t>Peržiūrėti, kurti, keisti ir šalinti naudotojui priskirtų savivaldybių programų sąmatų duomenis.</w:t>
            </w:r>
          </w:p>
          <w:p>
            <w:pPr>
              <w:pStyle w:val="ListParagraph"/>
              <w:numPr>
                <w:ilvl w:val="0"/>
                <w:numId w:val="11"/>
              </w:numPr>
              <w:jc w:val="both"/>
              <w:rPr>
                <w:rFonts w:cs="Times New Roman"/>
                <w:szCs w:val="24"/>
              </w:rPr>
            </w:pPr>
            <w:r>
              <w:rPr>
                <w:rFonts w:cs="Times New Roman"/>
                <w:szCs w:val="24"/>
              </w:rPr>
              <w:t>Peržiūrėti, kurti, keisti ir šalinti naudotojui priskirtų savivaldybių darbo užmokesčio sąmatų duomenis.</w:t>
            </w:r>
          </w:p>
          <w:p>
            <w:pPr>
              <w:pStyle w:val="ListParagraph"/>
              <w:numPr>
                <w:ilvl w:val="0"/>
                <w:numId w:val="11"/>
              </w:numPr>
              <w:jc w:val="both"/>
              <w:rPr>
                <w:rFonts w:cs="Times New Roman"/>
                <w:szCs w:val="24"/>
              </w:rPr>
            </w:pPr>
            <w:r>
              <w:rPr>
                <w:rFonts w:cs="Times New Roman"/>
                <w:szCs w:val="24"/>
              </w:rPr>
              <w:t>Peržiūrėti, kurti, keisti ir šalinti naudotojui priskirtų savivaldybių sąmatų vykdymo ataskaitų duomenis.</w:t>
            </w:r>
          </w:p>
          <w:p>
            <w:pPr>
              <w:pStyle w:val="ListParagraph"/>
              <w:numPr>
                <w:ilvl w:val="0"/>
                <w:numId w:val="11"/>
              </w:numPr>
              <w:jc w:val="both"/>
              <w:rPr>
                <w:rFonts w:cs="Times New Roman"/>
                <w:szCs w:val="24"/>
              </w:rPr>
            </w:pPr>
            <w:r>
              <w:rPr>
                <w:rFonts w:cs="Times New Roman"/>
                <w:szCs w:val="24"/>
              </w:rPr>
              <w:t>Peržiūrėti, kurti, keisti ir šalinti naudotojui priskirtų savivaldybių darbo užmokesčio sąmatų vykdymo ataskaitų duomenis.</w:t>
            </w:r>
          </w:p>
          <w:p>
            <w:pPr>
              <w:pStyle w:val="Normal"/>
              <w:spacing w:before="40" w:after="160"/>
              <w:jc w:val="both"/>
              <w:rPr>
                <w:rFonts w:cs="Times New Roman"/>
                <w:szCs w:val="24"/>
              </w:rPr>
            </w:pPr>
            <w:bookmarkStart w:id="93" w:name="_Hlk178256933"/>
            <w:r>
              <w:rPr>
                <w:rFonts w:cs="Times New Roman"/>
                <w:szCs w:val="24"/>
              </w:rPr>
              <w:t>Jei VSB darbuotojui priskirtos kelios savivaldybės, tai prisijungus prie IT sprendimo, jam turi būti privaloma nurodyti savivaldybę, su kurios duomenimis jis atliks veiksmus.</w:t>
            </w:r>
            <w:bookmarkEnd w:id="93"/>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VSB paslaugos vykdytojas. Rolei turi būti suteiktos šios teisės:</w:t>
            </w:r>
          </w:p>
          <w:p>
            <w:pPr>
              <w:pStyle w:val="ListParagraph"/>
              <w:numPr>
                <w:ilvl w:val="0"/>
                <w:numId w:val="35"/>
              </w:numPr>
              <w:jc w:val="both"/>
              <w:rPr>
                <w:rFonts w:cs="Times New Roman"/>
                <w:szCs w:val="24"/>
              </w:rPr>
            </w:pPr>
            <w:r>
              <w:rPr>
                <w:rFonts w:cs="Times New Roman"/>
                <w:szCs w:val="24"/>
              </w:rPr>
              <w:t>Peržiūrėti bazines paslaugas.</w:t>
            </w:r>
          </w:p>
          <w:p>
            <w:pPr>
              <w:pStyle w:val="ListParagraph"/>
              <w:numPr>
                <w:ilvl w:val="0"/>
                <w:numId w:val="35"/>
              </w:numPr>
              <w:jc w:val="both"/>
              <w:rPr>
                <w:rFonts w:cs="Times New Roman"/>
                <w:szCs w:val="24"/>
              </w:rPr>
            </w:pPr>
            <w:r>
              <w:rPr>
                <w:rFonts w:cs="Times New Roman"/>
                <w:szCs w:val="24"/>
              </w:rPr>
              <w:t>Peržiūrėti naudotojui priskirtų savivaldybių paslaugas.</w:t>
            </w:r>
          </w:p>
          <w:p>
            <w:pPr>
              <w:pStyle w:val="ListParagraph"/>
              <w:numPr>
                <w:ilvl w:val="0"/>
                <w:numId w:val="35"/>
              </w:numPr>
              <w:jc w:val="both"/>
              <w:rPr>
                <w:rFonts w:cs="Times New Roman"/>
                <w:szCs w:val="24"/>
              </w:rPr>
            </w:pPr>
            <w:r>
              <w:rPr>
                <w:rFonts w:cs="Times New Roman"/>
                <w:szCs w:val="24"/>
              </w:rPr>
              <w:t>Peržiūrėti ir pildyti naudotojui priskirtų savivaldybių paslaugų vertinimo kriterijų duomenis.</w:t>
            </w:r>
          </w:p>
          <w:p>
            <w:pPr>
              <w:pStyle w:val="ListParagraph"/>
              <w:numPr>
                <w:ilvl w:val="0"/>
                <w:numId w:val="35"/>
              </w:numPr>
              <w:jc w:val="both"/>
              <w:rPr>
                <w:rFonts w:cs="Times New Roman"/>
                <w:szCs w:val="24"/>
              </w:rPr>
            </w:pPr>
            <w:r>
              <w:rPr>
                <w:rFonts w:cs="Times New Roman"/>
                <w:szCs w:val="24"/>
              </w:rPr>
              <w:t>Pateikti paslaugų vertinimo kriterijus patvirtinimui.</w:t>
            </w:r>
          </w:p>
          <w:p>
            <w:pPr>
              <w:pStyle w:val="ListParagraph"/>
              <w:numPr>
                <w:ilvl w:val="0"/>
                <w:numId w:val="35"/>
              </w:numPr>
              <w:jc w:val="both"/>
              <w:rPr>
                <w:rFonts w:cs="Times New Roman"/>
                <w:szCs w:val="24"/>
              </w:rPr>
            </w:pPr>
            <w:r>
              <w:rPr>
                <w:rFonts w:cs="Times New Roman"/>
                <w:szCs w:val="24"/>
              </w:rPr>
              <w:t>Peržiūrėti, kurti, keisti ir šalinti naudotojui priskirtų savivaldybių paslaugų SRDI.</w:t>
            </w:r>
          </w:p>
          <w:p>
            <w:pPr>
              <w:pStyle w:val="ListParagraph"/>
              <w:numPr>
                <w:ilvl w:val="0"/>
                <w:numId w:val="35"/>
              </w:numPr>
              <w:jc w:val="both"/>
              <w:rPr>
                <w:rFonts w:cs="Times New Roman"/>
                <w:szCs w:val="24"/>
              </w:rPr>
            </w:pPr>
            <w:r>
              <w:rPr>
                <w:rFonts w:cs="Times New Roman"/>
                <w:szCs w:val="24"/>
              </w:rPr>
              <w:t>Peržiūrėti ir pildyti paslaugos gavėjų analitinius požymius.</w:t>
            </w:r>
          </w:p>
          <w:p>
            <w:pPr>
              <w:pStyle w:val="ListParagraph"/>
              <w:numPr>
                <w:ilvl w:val="0"/>
                <w:numId w:val="35"/>
              </w:numPr>
              <w:jc w:val="both"/>
              <w:rPr>
                <w:rFonts w:cs="Times New Roman"/>
                <w:szCs w:val="24"/>
              </w:rPr>
            </w:pPr>
            <w:r>
              <w:rPr>
                <w:rFonts w:cs="Times New Roman"/>
                <w:szCs w:val="24"/>
              </w:rPr>
              <w:t>Peržiūrėti ir pildyti paslaugos papildomos ataskaitos duomenų rinkinio duomenis.</w:t>
            </w:r>
          </w:p>
          <w:p>
            <w:pPr>
              <w:pStyle w:val="ListParagraph"/>
              <w:numPr>
                <w:ilvl w:val="0"/>
                <w:numId w:val="35"/>
              </w:numPr>
              <w:jc w:val="both"/>
              <w:rPr>
                <w:rFonts w:cs="Times New Roman"/>
                <w:szCs w:val="24"/>
              </w:rPr>
            </w:pPr>
            <w:r>
              <w:rPr>
                <w:rFonts w:cs="Times New Roman"/>
                <w:szCs w:val="24"/>
              </w:rPr>
              <w:t>Peržiūrėti ataskaitas.</w:t>
            </w:r>
          </w:p>
          <w:p>
            <w:pPr>
              <w:pStyle w:val="Normal"/>
              <w:spacing w:before="40" w:after="160"/>
              <w:jc w:val="both"/>
              <w:rPr>
                <w:rFonts w:cs="Times New Roman"/>
                <w:szCs w:val="24"/>
              </w:rPr>
            </w:pPr>
            <w:r>
              <w:rPr>
                <w:rFonts w:cs="Times New Roman"/>
                <w:szCs w:val="24"/>
              </w:rPr>
              <w:t>Jei VSB paslaugos vykdytojui priskirtos kelios savivaldybės, tai prisijungus prie IT sprendimo, jam turi būti privaloma nurodyti savivaldybę, su kurios duomenimis jis atliks veiksmus.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Paslaugų uždarytojas. Rolei turi būti suteiktos šios teisės:</w:t>
            </w:r>
          </w:p>
          <w:p>
            <w:pPr>
              <w:pStyle w:val="ListParagraph"/>
              <w:numPr>
                <w:ilvl w:val="0"/>
                <w:numId w:val="15"/>
              </w:numPr>
              <w:jc w:val="both"/>
              <w:rPr>
                <w:rFonts w:cs="Times New Roman"/>
                <w:szCs w:val="24"/>
              </w:rPr>
            </w:pPr>
            <w:r>
              <w:rPr>
                <w:rFonts w:cs="Times New Roman"/>
                <w:szCs w:val="24"/>
              </w:rPr>
              <w:t>Peržiūrėti naudotojui priskirtų savivaldybių paslaugas.</w:t>
            </w:r>
          </w:p>
          <w:p>
            <w:pPr>
              <w:pStyle w:val="ListParagraph"/>
              <w:numPr>
                <w:ilvl w:val="0"/>
                <w:numId w:val="15"/>
              </w:numPr>
              <w:jc w:val="both"/>
              <w:rPr>
                <w:rFonts w:cs="Times New Roman"/>
                <w:szCs w:val="24"/>
              </w:rPr>
            </w:pPr>
            <w:r>
              <w:rPr>
                <w:rFonts w:cs="Times New Roman"/>
                <w:szCs w:val="24"/>
              </w:rPr>
              <w:t>Pažymėti paslaugas suteiktomis.</w:t>
            </w:r>
          </w:p>
          <w:p>
            <w:pPr>
              <w:pStyle w:val="ListParagraph"/>
              <w:numPr>
                <w:ilvl w:val="0"/>
                <w:numId w:val="15"/>
              </w:numPr>
              <w:jc w:val="both"/>
              <w:rPr>
                <w:rFonts w:cs="Times New Roman"/>
                <w:szCs w:val="24"/>
              </w:rPr>
            </w:pPr>
            <w:r>
              <w:rPr>
                <w:rFonts w:cs="Times New Roman"/>
                <w:szCs w:val="24"/>
              </w:rPr>
              <w:t>Atšaukti paslaugų pažymėjimą suteiktomis.</w:t>
            </w:r>
          </w:p>
          <w:p>
            <w:pPr>
              <w:pStyle w:val="Normal"/>
              <w:spacing w:before="40" w:after="160"/>
              <w:jc w:val="both"/>
              <w:rPr>
                <w:rFonts w:cs="Times New Roman"/>
                <w:szCs w:val="24"/>
              </w:rPr>
            </w:pPr>
            <w:r>
              <w:rPr>
                <w:rFonts w:cs="Times New Roman"/>
                <w:szCs w:val="24"/>
              </w:rPr>
              <w:t>Jei Paslaugų uždarytojui priskirtos kelios savivaldybės, tai prisijungus prie IT sprendimo, jam turi būti privaloma nurodyti savivaldybę, su kurios duomenimis jis atliks veiksmus.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SAM darbuotojas. Rolei turi būti suteiktos šios teisės:</w:t>
            </w:r>
          </w:p>
          <w:p>
            <w:pPr>
              <w:pStyle w:val="ListParagraph"/>
              <w:numPr>
                <w:ilvl w:val="0"/>
                <w:numId w:val="12"/>
              </w:numPr>
              <w:jc w:val="both"/>
              <w:rPr>
                <w:rFonts w:cs="Times New Roman"/>
                <w:szCs w:val="24"/>
              </w:rPr>
            </w:pPr>
            <w:r>
              <w:rPr>
                <w:rFonts w:cs="Times New Roman"/>
                <w:szCs w:val="24"/>
              </w:rPr>
              <w:t>Peržiūrėti paskirstymo bazes.</w:t>
            </w:r>
          </w:p>
          <w:p>
            <w:pPr>
              <w:pStyle w:val="ListParagraph"/>
              <w:numPr>
                <w:ilvl w:val="0"/>
                <w:numId w:val="12"/>
              </w:numPr>
              <w:jc w:val="both"/>
              <w:rPr>
                <w:rFonts w:cs="Times New Roman"/>
                <w:szCs w:val="24"/>
              </w:rPr>
            </w:pPr>
            <w:r>
              <w:rPr>
                <w:rFonts w:cs="Times New Roman"/>
                <w:szCs w:val="24"/>
              </w:rPr>
              <w:t>Peržiūrėti paskirstymo normas.</w:t>
            </w:r>
          </w:p>
          <w:p>
            <w:pPr>
              <w:pStyle w:val="ListParagraph"/>
              <w:numPr>
                <w:ilvl w:val="0"/>
                <w:numId w:val="12"/>
              </w:numPr>
              <w:jc w:val="both"/>
              <w:rPr>
                <w:rFonts w:cs="Times New Roman"/>
                <w:szCs w:val="24"/>
              </w:rPr>
            </w:pPr>
            <w:r>
              <w:rPr>
                <w:rFonts w:cs="Times New Roman"/>
                <w:szCs w:val="24"/>
              </w:rPr>
              <w:t>Peržiūrėti, kurti, keisti ir šalinti dotacijų paskirstymus.</w:t>
            </w:r>
          </w:p>
          <w:p>
            <w:pPr>
              <w:pStyle w:val="ListParagraph"/>
              <w:numPr>
                <w:ilvl w:val="0"/>
                <w:numId w:val="12"/>
              </w:numPr>
              <w:jc w:val="both"/>
              <w:rPr>
                <w:rFonts w:cs="Times New Roman"/>
                <w:szCs w:val="24"/>
              </w:rPr>
            </w:pPr>
            <w:r>
              <w:rPr>
                <w:rFonts w:cs="Times New Roman"/>
                <w:szCs w:val="24"/>
              </w:rPr>
              <w:t>Peržiūrėti programų sąmatų duomenis.</w:t>
            </w:r>
          </w:p>
          <w:p>
            <w:pPr>
              <w:pStyle w:val="ListParagraph"/>
              <w:numPr>
                <w:ilvl w:val="0"/>
                <w:numId w:val="12"/>
              </w:numPr>
              <w:jc w:val="both"/>
              <w:rPr>
                <w:rFonts w:cs="Times New Roman"/>
                <w:szCs w:val="24"/>
              </w:rPr>
            </w:pPr>
            <w:r>
              <w:rPr>
                <w:rFonts w:cs="Times New Roman"/>
                <w:szCs w:val="24"/>
              </w:rPr>
              <w:t>Peržiūrėti darbo užmokesčio sąmatų duomenis.</w:t>
            </w:r>
          </w:p>
          <w:p>
            <w:pPr>
              <w:pStyle w:val="ListParagraph"/>
              <w:numPr>
                <w:ilvl w:val="0"/>
                <w:numId w:val="12"/>
              </w:numPr>
              <w:jc w:val="both"/>
              <w:rPr>
                <w:rFonts w:cs="Times New Roman"/>
                <w:szCs w:val="24"/>
              </w:rPr>
            </w:pPr>
            <w:r>
              <w:rPr>
                <w:rFonts w:cs="Times New Roman"/>
                <w:szCs w:val="24"/>
              </w:rPr>
              <w:t>Peržiūrėti sąmatų vykdymo ataskaitų duomenis.</w:t>
            </w:r>
          </w:p>
          <w:p>
            <w:pPr>
              <w:pStyle w:val="ListParagraph"/>
              <w:numPr>
                <w:ilvl w:val="0"/>
                <w:numId w:val="12"/>
              </w:numPr>
              <w:spacing w:before="40" w:after="160"/>
              <w:contextualSpacing/>
              <w:jc w:val="both"/>
              <w:rPr>
                <w:rFonts w:cs="Times New Roman"/>
                <w:szCs w:val="24"/>
              </w:rPr>
            </w:pPr>
            <w:r>
              <w:rPr>
                <w:rFonts w:cs="Times New Roman"/>
                <w:szCs w:val="24"/>
              </w:rPr>
              <w:t>Peržiūrėti darbo užmokesčio sąmatų vykdymo ataskaitų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Neregistruoti naudotojai turi galėti pasiekti tik viešą IT sprendime skelbiamą turinį, aktualijas, naujienas, išskyrus galimybę peržiūrėti Paslaugos vertinimo kriterijų sąrašą (</w:t>
            </w:r>
            <w:r>
              <w:rPr>
                <w:rFonts w:cs="Times New Roman"/>
                <w:szCs w:val="24"/>
              </w:rPr>
              <w:fldChar w:fldCharType="begin"/>
            </w:r>
            <w:r>
              <w:rPr>
                <w:szCs w:val="24"/>
                <w:rFonts w:cs="Times New Roman"/>
              </w:rPr>
              <w:instrText xml:space="preserve"> REF _Ref178597739 \r \h </w:instrText>
            </w:r>
            <w:r>
              <w:rPr>
                <w:szCs w:val="24"/>
                <w:rFonts w:cs="Times New Roman"/>
              </w:rPr>
              <w:fldChar w:fldCharType="separate"/>
            </w:r>
            <w:r>
              <w:rPr>
                <w:szCs w:val="24"/>
                <w:rFonts w:cs="Times New Roman"/>
              </w:rPr>
              <w:t>FR-38</w:t>
            </w:r>
            <w:r>
              <w:rPr>
                <w:szCs w:val="24"/>
                <w:rFonts w:cs="Times New Roman"/>
              </w:rPr>
              <w:fldChar w:fldCharType="end"/>
            </w:r>
            <w:r>
              <w:rPr>
                <w:rFonts w:cs="Times New Roman"/>
                <w:szCs w:val="24"/>
              </w:rPr>
              <w:t>).</w:t>
            </w:r>
          </w:p>
        </w:tc>
      </w:tr>
    </w:tbl>
    <w:p>
      <w:pPr>
        <w:pStyle w:val="Heading3"/>
        <w:numPr>
          <w:ilvl w:val="3"/>
          <w:numId w:val="58"/>
        </w:numPr>
        <w:rPr/>
      </w:pPr>
      <w:bookmarkStart w:id="94" w:name="_Hlk177460447"/>
      <w:bookmarkStart w:id="95" w:name="_Toc192483638"/>
      <w:bookmarkEnd w:id="94"/>
      <w:r>
        <w:rPr/>
        <w:t>Reikalavimai žinynų tvarkymui</w:t>
      </w:r>
      <w:bookmarkEnd w:id="95"/>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įgyvendinti šie žinynai: Sritys, Visuomenės sveikatos paslaugų grupės, Savivaldybės, Tikslinės grupės, Bazinių paslaugų rūšys, Paslaugų vertinimo kriterijai, Paslaugos gavėjų analitiniai požymiai, Analitinių požymių duomenys, </w:t>
            </w:r>
            <w:bookmarkStart w:id="96" w:name="_Hlk177890703"/>
            <w:r>
              <w:rPr>
                <w:rFonts w:cs="Times New Roman"/>
                <w:szCs w:val="24"/>
              </w:rPr>
              <w:t>Papildomų ataskaitų duomenys</w:t>
            </w:r>
            <w:bookmarkEnd w:id="96"/>
            <w:r>
              <w:rPr>
                <w:rFonts w:cs="Times New Roman"/>
                <w:szCs w:val="24"/>
              </w:rPr>
              <w:t>, Paskirstymo bazės tipas, Išlaidų ekonominės klasifikacijos straipsniai ir kiti su Perkančiąja organizacija suderinti žinynai (esant poreikiui).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žinynams nurodyti su jais susijusių naudotojo sąsajos laukų pavadinimus.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kurti ir keisti žinynų reikšmes. Kuriamų žinynų reikšmių skaičius neturi būti ribojamas.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kiekvienai žinynų reikšmei nustatyti galiojimo laikotarpį.</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žinynų reikšmes, kurios neturi susijusių duomenų.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Visų žinynų reikšmėms turi būti privaloma nurodyti reikšmės pavadinimą.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Visuomenės sveikatos paslaugų grupės žinyno reikšmei turi būti privaloma nurodyti susijusią sričių žinyno reikšmę.</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Savivaldybių žinyno reikšmei turi būti privaloma nurodyti savivaldybės kodą ir duomenų mainams reikalingus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nustatyti tikslinių grupių žinyno reikšmių hierarchinę struktūrą. Hierarchijos lygių skaičius neturi būti ribojamas.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Paslaugų vertinimo kriterijų žinyno reikšmei turi būti privaloma nurodyti apskaičiavimo būdą.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gavėjų analitinių požymių žinyno reikšmei turi būti privaloma nurodyti naudojamus analitinių požymių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Papildomų ataskaitų duomenų žinyno reikšmė turi nurodyti papildomų ataskaitų duomenų pildymo formą, kuri gali būti priskirta bazinėms paslaugoms.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Išlaidų ekonominės klasifikacijos straipsnių žinyno reikšmei turi būti privaloma nurodyti kodą.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nustatyti išlaidų ekonominės klasifikacijos straipsnių žinyno reikšmių hierarchinę struktūrą. Hierarchijos lygių skaičius neturi būti ribojamas.</w:t>
            </w:r>
          </w:p>
        </w:tc>
      </w:tr>
    </w:tbl>
    <w:p>
      <w:pPr>
        <w:pStyle w:val="Heading2"/>
        <w:numPr>
          <w:ilvl w:val="1"/>
          <w:numId w:val="58"/>
        </w:numPr>
        <w:rPr>
          <w:b/>
        </w:rPr>
      </w:pPr>
      <w:bookmarkStart w:id="97" w:name="_Toc192483639"/>
      <w:r>
        <w:rPr>
          <w:b/>
        </w:rPr>
        <w:t>Nefunkciniai reikalavimai</w:t>
      </w:r>
      <w:bookmarkEnd w:id="97"/>
    </w:p>
    <w:p>
      <w:pPr>
        <w:pStyle w:val="Heading3"/>
        <w:numPr>
          <w:ilvl w:val="2"/>
          <w:numId w:val="58"/>
        </w:numPr>
        <w:rPr/>
      </w:pPr>
      <w:bookmarkStart w:id="98" w:name="_Toc192483640"/>
      <w:r>
        <w:rPr/>
        <w:t>Saugumo ir slaptumo (konfidencialumo) reikalavimai</w:t>
      </w:r>
      <w:bookmarkEnd w:id="98"/>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3"/>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eastAsia="Times New Roman" w:cs="Times New Roman"/>
              </w:rPr>
              <w:t>IT sprendimo kūrimas ir priežiūra, turi atitikti nustatytus valstybės IS kūrimo, plėtros, techninės priežiūros, informacijos saugos reikalavimus.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3"/>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Tiekėjas sukūręs sprendimą turi atlikti informacijos saugumo rizikos patikrą  ir pateikti informacijos saugumo rizikos analizės rezultatų ataskaitą.</w:t>
            </w:r>
          </w:p>
          <w:p>
            <w:pPr>
              <w:pStyle w:val="Normal"/>
              <w:jc w:val="both"/>
              <w:rPr>
                <w:rFonts w:eastAsia="Times New Roman" w:cs="Times New Roman"/>
                <w:szCs w:val="24"/>
              </w:rPr>
            </w:pPr>
            <w:r>
              <w:rPr>
                <w:rFonts w:eastAsia="Times New Roman" w:cs="Times New Roman"/>
                <w:szCs w:val="24"/>
              </w:rPr>
              <w:t xml:space="preserve">Rizikos vertinimo metu turi būti: </w:t>
            </w:r>
          </w:p>
          <w:p>
            <w:pPr>
              <w:pStyle w:val="ListParagraph"/>
              <w:numPr>
                <w:ilvl w:val="0"/>
                <w:numId w:val="12"/>
              </w:numPr>
              <w:jc w:val="both"/>
              <w:rPr>
                <w:rFonts w:eastAsia="Times New Roman" w:cs="Times New Roman"/>
                <w:szCs w:val="24"/>
              </w:rPr>
            </w:pPr>
            <w:r>
              <w:rPr>
                <w:rFonts w:cs="Times New Roman"/>
                <w:szCs w:val="24"/>
              </w:rPr>
              <w:t>nustatytos grėsmės ir pažeidžiamumai, galintys turėti įtakos sukurto IT spendimo informacijos saugumui (įskaitant kibernetinį saugumą);</w:t>
            </w:r>
          </w:p>
          <w:p>
            <w:pPr>
              <w:pStyle w:val="ListParagraph"/>
              <w:numPr>
                <w:ilvl w:val="0"/>
                <w:numId w:val="12"/>
              </w:numPr>
              <w:jc w:val="both"/>
              <w:rPr>
                <w:rFonts w:cs="Times New Roman"/>
                <w:szCs w:val="24"/>
              </w:rPr>
            </w:pPr>
            <w:r>
              <w:rPr>
                <w:rFonts w:cs="Times New Roman"/>
                <w:szCs w:val="24"/>
              </w:rPr>
              <w:t>atliktas grėsmių ir pažeidžiamumų įvertinimas;</w:t>
            </w:r>
          </w:p>
          <w:p>
            <w:pPr>
              <w:pStyle w:val="ListParagraph"/>
              <w:numPr>
                <w:ilvl w:val="0"/>
                <w:numId w:val="12"/>
              </w:numPr>
              <w:jc w:val="both"/>
              <w:rPr>
                <w:rFonts w:cs="Times New Roman"/>
                <w:szCs w:val="24"/>
              </w:rPr>
            </w:pPr>
            <w:r>
              <w:rPr>
                <w:rFonts w:cs="Times New Roman"/>
                <w:szCs w:val="24"/>
              </w:rPr>
              <w:t>įvertintos grėsmių tikimybės ir jų poveikis (pasekmės);</w:t>
            </w:r>
          </w:p>
          <w:p>
            <w:pPr>
              <w:pStyle w:val="ListParagraph"/>
              <w:numPr>
                <w:ilvl w:val="0"/>
                <w:numId w:val="12"/>
              </w:numPr>
              <w:jc w:val="both"/>
              <w:rPr>
                <w:rFonts w:cs="Times New Roman"/>
                <w:szCs w:val="24"/>
              </w:rPr>
            </w:pPr>
            <w:r>
              <w:rPr>
                <w:rFonts w:cs="Times New Roman"/>
                <w:szCs w:val="24"/>
              </w:rPr>
              <w:t>nustatytas rizikos lygis;</w:t>
            </w:r>
          </w:p>
          <w:p>
            <w:pPr>
              <w:pStyle w:val="ListParagraph"/>
              <w:numPr>
                <w:ilvl w:val="0"/>
                <w:numId w:val="12"/>
              </w:numPr>
              <w:jc w:val="both"/>
              <w:rPr>
                <w:rFonts w:cs="Times New Roman"/>
                <w:szCs w:val="24"/>
              </w:rPr>
            </w:pPr>
            <w:r>
              <w:rPr>
                <w:rFonts w:cs="Times New Roman"/>
                <w:szCs w:val="24"/>
              </w:rPr>
              <w:t>įvertintos rizikos ir parinktos rizikos valdymo priemonės.</w:t>
            </w:r>
          </w:p>
          <w:p>
            <w:pPr>
              <w:pStyle w:val="Normal"/>
              <w:jc w:val="both"/>
              <w:rPr>
                <w:rFonts w:eastAsia="Times New Roman" w:cs="Times New Roman"/>
              </w:rPr>
            </w:pPr>
            <w:r>
              <w:rPr>
                <w:rFonts w:eastAsia="Times New Roman" w:cs="Times New Roman"/>
              </w:rPr>
              <w:t>Rizikų vertinimo ataskaitoje turi būti aprašyta:</w:t>
            </w:r>
          </w:p>
          <w:p>
            <w:pPr>
              <w:pStyle w:val="ListParagraph"/>
              <w:numPr>
                <w:ilvl w:val="0"/>
                <w:numId w:val="12"/>
              </w:numPr>
              <w:jc w:val="both"/>
              <w:rPr>
                <w:rFonts w:cs="Times New Roman"/>
                <w:szCs w:val="24"/>
              </w:rPr>
            </w:pPr>
            <w:r>
              <w:rPr>
                <w:rFonts w:cs="Times New Roman"/>
                <w:szCs w:val="24"/>
              </w:rPr>
              <w:t>rizikos vertinimo apimtis (objektas);</w:t>
            </w:r>
          </w:p>
          <w:p>
            <w:pPr>
              <w:pStyle w:val="ListParagraph"/>
              <w:numPr>
                <w:ilvl w:val="0"/>
                <w:numId w:val="12"/>
              </w:numPr>
              <w:jc w:val="both"/>
              <w:rPr>
                <w:rFonts w:cs="Times New Roman"/>
                <w:szCs w:val="24"/>
              </w:rPr>
            </w:pPr>
            <w:r>
              <w:rPr>
                <w:rFonts w:cs="Times New Roman"/>
                <w:szCs w:val="24"/>
              </w:rPr>
              <w:t>nurodyta metodika, kuria vadovaujantis buvo atliktas informacijos saugumo rizikos vertinimas;</w:t>
            </w:r>
          </w:p>
          <w:p>
            <w:pPr>
              <w:pStyle w:val="ListParagraph"/>
              <w:numPr>
                <w:ilvl w:val="0"/>
                <w:numId w:val="12"/>
              </w:numPr>
              <w:jc w:val="both"/>
              <w:rPr>
                <w:rFonts w:cs="Times New Roman"/>
                <w:szCs w:val="24"/>
              </w:rPr>
            </w:pPr>
            <w:r>
              <w:rPr>
                <w:rFonts w:cs="Times New Roman"/>
                <w:szCs w:val="24"/>
              </w:rPr>
              <w:t>grėsmės ir pažeidžiamumai bei jų įvertinimas;</w:t>
            </w:r>
          </w:p>
          <w:p>
            <w:pPr>
              <w:pStyle w:val="ListParagraph"/>
              <w:numPr>
                <w:ilvl w:val="0"/>
                <w:numId w:val="12"/>
              </w:numPr>
              <w:jc w:val="both"/>
              <w:rPr>
                <w:rFonts w:cs="Times New Roman"/>
                <w:szCs w:val="24"/>
              </w:rPr>
            </w:pPr>
            <w:r>
              <w:rPr>
                <w:rFonts w:cs="Times New Roman"/>
                <w:szCs w:val="24"/>
              </w:rPr>
              <w:t>grėsmių tikimybės (turi būti išdėstytos prioriteto tvarka pagal svarbą, kuri nustatoma atsižvelgiant į atliktą rizikos vertinimą);</w:t>
            </w:r>
          </w:p>
          <w:p>
            <w:pPr>
              <w:pStyle w:val="ListParagraph"/>
              <w:numPr>
                <w:ilvl w:val="0"/>
                <w:numId w:val="12"/>
              </w:numPr>
              <w:jc w:val="both"/>
              <w:rPr>
                <w:rFonts w:cs="Times New Roman"/>
                <w:szCs w:val="24"/>
              </w:rPr>
            </w:pPr>
            <w:r>
              <w:rPr>
                <w:rFonts w:cs="Times New Roman"/>
                <w:szCs w:val="24"/>
              </w:rPr>
              <w:t>įvertintas grėsmių poveikis (pasekmės);</w:t>
            </w:r>
          </w:p>
          <w:p>
            <w:pPr>
              <w:pStyle w:val="ListParagraph"/>
              <w:numPr>
                <w:ilvl w:val="0"/>
                <w:numId w:val="12"/>
              </w:numPr>
              <w:jc w:val="both"/>
              <w:rPr>
                <w:rFonts w:cs="Times New Roman"/>
                <w:szCs w:val="24"/>
              </w:rPr>
            </w:pPr>
            <w:r>
              <w:rPr>
                <w:rFonts w:cs="Times New Roman"/>
                <w:szCs w:val="24"/>
              </w:rPr>
              <w:t>rizikų nustatymas (pateikiama detali rizikų vertinimo lentelė);</w:t>
            </w:r>
          </w:p>
          <w:p>
            <w:pPr>
              <w:pStyle w:val="ListParagraph"/>
              <w:numPr>
                <w:ilvl w:val="0"/>
                <w:numId w:val="12"/>
              </w:numPr>
              <w:jc w:val="both"/>
              <w:rPr>
                <w:rFonts w:cs="Times New Roman"/>
                <w:szCs w:val="24"/>
              </w:rPr>
            </w:pPr>
            <w:r>
              <w:rPr>
                <w:rFonts w:cs="Times New Roman"/>
                <w:szCs w:val="24"/>
              </w:rPr>
              <w:t>priimtinos ir nepriimtinos rizikos sąrašas;</w:t>
            </w:r>
          </w:p>
          <w:p>
            <w:pPr>
              <w:pStyle w:val="ListParagraph"/>
              <w:numPr>
                <w:ilvl w:val="0"/>
                <w:numId w:val="12"/>
              </w:numPr>
              <w:jc w:val="both"/>
              <w:rPr>
                <w:rFonts w:cs="Times New Roman"/>
                <w:szCs w:val="24"/>
              </w:rPr>
            </w:pPr>
            <w:r>
              <w:rPr>
                <w:rFonts w:cs="Times New Roman"/>
                <w:szCs w:val="24"/>
              </w:rPr>
              <w:t>liekamosios rizikos sąrašas;</w:t>
            </w:r>
          </w:p>
          <w:p>
            <w:pPr>
              <w:pStyle w:val="ListParagraph"/>
              <w:numPr>
                <w:ilvl w:val="0"/>
                <w:numId w:val="12"/>
              </w:numPr>
              <w:spacing w:before="40" w:after="160"/>
              <w:contextualSpacing/>
              <w:jc w:val="both"/>
              <w:rPr>
                <w:rFonts w:cs="Times New Roman"/>
                <w:szCs w:val="24"/>
              </w:rPr>
            </w:pPr>
            <w:r>
              <w:rPr>
                <w:rFonts w:cs="Times New Roman"/>
                <w:szCs w:val="24"/>
              </w:rPr>
              <w:t>rizikos valdymo priemonės, pašalinančios riziką arba sumažinančios riziką iki priimtino lygio.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3"/>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highlight w:val="yellow"/>
              </w:rPr>
            </w:pPr>
            <w:r>
              <w:rPr>
                <w:rFonts w:eastAsia="Times New Roman" w:cs="Times New Roman"/>
                <w:szCs w:val="24"/>
              </w:rPr>
              <w:t>Tiekėjui teikiama informacija tik tokios apimties, kuri būtina paslaugai atlikti. Tiekėjas turi imtis visų teisinių, techninių ir organizacinių priemonių gautai informacijai apsaugoti.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3"/>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kern w:val="0"/>
                <w:szCs w:val="24"/>
                <w:lang w:eastAsia="en-US"/>
              </w:rPr>
            </w:pPr>
            <w:r>
              <w:rPr>
                <w:rFonts w:eastAsia="Times New Roman" w:cs="Times New Roman"/>
                <w:kern w:val="0"/>
                <w:szCs w:val="24"/>
                <w:lang w:eastAsia="en-US"/>
              </w:rPr>
              <w:t>Kiekvienas naudotojas turi būti unikaliai identifikuojamas. Naudotojų kūrimas ir autorizavimas turi apimti:</w:t>
            </w:r>
          </w:p>
          <w:p>
            <w:pPr>
              <w:pStyle w:val="ListParagraph"/>
              <w:numPr>
                <w:ilvl w:val="0"/>
                <w:numId w:val="12"/>
              </w:numPr>
              <w:jc w:val="both"/>
              <w:rPr>
                <w:rFonts w:cs="Times New Roman"/>
                <w:szCs w:val="24"/>
              </w:rPr>
            </w:pPr>
            <w:r>
              <w:rPr>
                <w:rFonts w:eastAsia="Times New Roman" w:cs="Times New Roman"/>
                <w:kern w:val="0"/>
                <w:szCs w:val="24"/>
                <w:lang w:eastAsia="en-US"/>
              </w:rPr>
              <w:t xml:space="preserve">vidinių naudotojų </w:t>
            </w:r>
            <w:r>
              <w:rPr>
                <w:rFonts w:cs="Times New Roman"/>
                <w:szCs w:val="24"/>
              </w:rPr>
              <w:t>kūrimą</w:t>
            </w:r>
            <w:r>
              <w:rPr>
                <w:rFonts w:eastAsia="Times New Roman" w:cs="Times New Roman"/>
                <w:kern w:val="0"/>
                <w:szCs w:val="24"/>
                <w:lang w:eastAsia="en-US"/>
              </w:rPr>
              <w:t>;</w:t>
            </w:r>
          </w:p>
          <w:p>
            <w:pPr>
              <w:pStyle w:val="ListParagraph"/>
              <w:numPr>
                <w:ilvl w:val="0"/>
                <w:numId w:val="12"/>
              </w:numPr>
              <w:spacing w:before="40" w:after="160"/>
              <w:contextualSpacing/>
              <w:jc w:val="both"/>
              <w:rPr>
                <w:rFonts w:cs="Times New Roman"/>
                <w:szCs w:val="24"/>
              </w:rPr>
            </w:pPr>
            <w:r>
              <w:rPr>
                <w:rFonts w:eastAsia="Times New Roman" w:cs="Times New Roman"/>
                <w:kern w:val="0"/>
                <w:szCs w:val="24"/>
                <w:lang w:eastAsia="en-US"/>
              </w:rPr>
              <w:t>naudotojų teisių reikalingų konkrečioms funkcijoms bei duomenų tvarkymui nustatymą.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3"/>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eastAsia="Times New Roman" w:cs="Times New Roman"/>
                <w:szCs w:val="24"/>
              </w:rPr>
              <w:t>Sistema turi fiksuoti duomenis apie naudotojų vykdomus veiksmus, nurodant naudotojo identifikatorių ir įvykio ar vykdyto veiksmo laiką. Visi audituojami duomenys turi būti suderinti su Perkančiąja organizacija projektavimo etape. Žurnalinių įrašų duomenys turi būti saugomi ne toje pačioje duomenų bazėje, kurioje yra žurnalizuojami patys veiksmai, arba turi būti galimybė duomenis automatiškai perkelti į kitą duomenų bazę. Šie duomenys turi būti pašalinti po termino nustatyto pagrindinio Sistemos administratoriaus.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3"/>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Sistemos greitaveika (neatsižvelgiant į naudotojo darbo vietos ribojus ir tinklo parametrus) turi būti ne mažesnė nei:</w:t>
            </w:r>
          </w:p>
          <w:p>
            <w:pPr>
              <w:pStyle w:val="ListParagraph"/>
              <w:numPr>
                <w:ilvl w:val="0"/>
                <w:numId w:val="12"/>
              </w:numPr>
              <w:jc w:val="both"/>
              <w:rPr>
                <w:rFonts w:cs="Times New Roman"/>
                <w:szCs w:val="24"/>
              </w:rPr>
            </w:pPr>
            <w:r>
              <w:rPr>
                <w:rFonts w:cs="Times New Roman"/>
                <w:szCs w:val="24"/>
              </w:rPr>
              <w:t>Detalaus lango (su visais norimais objektais) atidarymas turi trukti ne ilgiau nei 2 sekundes;</w:t>
            </w:r>
          </w:p>
          <w:p>
            <w:pPr>
              <w:pStyle w:val="ListParagraph"/>
              <w:numPr>
                <w:ilvl w:val="0"/>
                <w:numId w:val="12"/>
              </w:numPr>
              <w:jc w:val="both"/>
              <w:rPr>
                <w:rFonts w:cs="Times New Roman"/>
                <w:szCs w:val="24"/>
              </w:rPr>
            </w:pPr>
            <w:r>
              <w:rPr>
                <w:rFonts w:cs="Times New Roman"/>
                <w:szCs w:val="24"/>
              </w:rPr>
              <w:t xml:space="preserve">Duomenų išsaugojimo operacija po keitimo turi trukti ne ilgiau nei 1 sekundę; </w:t>
            </w:r>
          </w:p>
          <w:p>
            <w:pPr>
              <w:pStyle w:val="ListParagraph"/>
              <w:numPr>
                <w:ilvl w:val="0"/>
                <w:numId w:val="12"/>
              </w:numPr>
              <w:jc w:val="both"/>
              <w:rPr>
                <w:rFonts w:cs="Times New Roman"/>
                <w:szCs w:val="24"/>
              </w:rPr>
            </w:pPr>
            <w:r>
              <w:rPr>
                <w:rFonts w:cs="Times New Roman"/>
                <w:szCs w:val="24"/>
              </w:rPr>
              <w:t>Navigacija tarp skirtingų Sistemos naudotojo sąsajos langų (tiek naujo lango atidarymas, tiek lango pakeitimas) turi trukti ne ilgiau kaip 2 sekundes;</w:t>
            </w:r>
          </w:p>
          <w:p>
            <w:pPr>
              <w:pStyle w:val="ListParagraph"/>
              <w:numPr>
                <w:ilvl w:val="0"/>
                <w:numId w:val="12"/>
              </w:numPr>
              <w:spacing w:before="40" w:after="160"/>
              <w:contextualSpacing/>
              <w:jc w:val="both"/>
              <w:rPr>
                <w:rFonts w:cs="Times New Roman"/>
                <w:szCs w:val="24"/>
              </w:rPr>
            </w:pPr>
            <w:r>
              <w:rPr>
                <w:rFonts w:eastAsia="Times New Roman" w:cs="Times New Roman"/>
                <w:szCs w:val="24"/>
              </w:rPr>
              <w:t>Sąrašo reikšmių pateikimas (konkretaus žinyno reikšmių) turi trukti ne ilgiau nei 1 sekundę.</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3"/>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IT sprendime turi būti numatyta apsauga nuo kenkėjiško kodo įkėlimo į aplikaciją (pvz., apribota galimybė įkelti rinkmenas su plėtiniais .com, .exe, .bat ir pan.).</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3"/>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t>IT sprendimas ar atskiros jo dalys turi būti diegiamos tik visiškai jas išbandžius testavimo aplinkoje ir įsitikinus, kad diegiama programinė įranga yra be kenksmingo programinio kodo, neautorizuotos prieigos galimybių ir (ar) kitų pažeidžiamumų.</w:t>
            </w:r>
          </w:p>
        </w:tc>
      </w:tr>
    </w:tbl>
    <w:p>
      <w:pPr>
        <w:pStyle w:val="Heading3"/>
        <w:numPr>
          <w:ilvl w:val="2"/>
          <w:numId w:val="58"/>
        </w:numPr>
        <w:rPr/>
      </w:pPr>
      <w:bookmarkStart w:id="99" w:name="_Toc192483641"/>
      <w:r>
        <w:rPr/>
        <w:t>Ergonominiai reikalavimai</w:t>
      </w:r>
      <w:bookmarkEnd w:id="99"/>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Naudotojo sąsaja turi būti pateikiama lietuvių kalba.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Atvaizduojant kalendorių, jame numatytos nedarbo dienos turi atitikti Lietuvoje aktualias nedarbo dienas. </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Datos atvaizdavimas turi būti realizuotas Lietuvoje aktualiu formatu MMMM-MM-DD.</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Naudotojo sąsaja turi būti realizuota remiantis Web sprendimo (angl. </w:t>
            </w:r>
            <w:r>
              <w:rPr>
                <w:rFonts w:eastAsia="Times New Roman" w:cs="Times New Roman"/>
                <w:i/>
                <w:szCs w:val="24"/>
              </w:rPr>
              <w:t>Web based</w:t>
            </w:r>
            <w:r>
              <w:rPr>
                <w:rFonts w:eastAsia="Times New Roman" w:cs="Times New Roman"/>
                <w:szCs w:val="24"/>
              </w:rPr>
              <w:t>) principais ir prieinama standartinėse interneto naršyklėse (suderinta su Microsoft Edge, Mozilla Firefox, Google Chrome, Safari ir lygiaverčių naršyklių naujausiomis versijomis).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Naudotojo sąsaja turi būti tinkamai atvaizduojama įvairios raiškos ekranuose, t. y. turi būti realizuojama taikant prisitaikančio dizaino (angl. </w:t>
            </w:r>
            <w:r>
              <w:rPr>
                <w:rFonts w:eastAsia="Times New Roman" w:cs="Times New Roman"/>
                <w:i/>
                <w:szCs w:val="24"/>
              </w:rPr>
              <w:t>Responsive design</w:t>
            </w:r>
            <w:r>
              <w:rPr>
                <w:rFonts w:eastAsia="Times New Roman" w:cs="Times New Roman"/>
                <w:szCs w:val="24"/>
              </w:rPr>
              <w:t>) principus.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highlight w:val="yellow"/>
              </w:rPr>
            </w:pPr>
            <w:r>
              <w:rPr>
                <w:rFonts w:eastAsia="Times New Roman" w:cs="Times New Roman"/>
                <w:szCs w:val="24"/>
              </w:rPr>
              <w:t>Naudotojo sąsaja turi būti pateikiama pilnai (neprarandant IT sprendimo teikiamo funkcionalumo) tiek mobiliesiems įrenginiams skirtose, tiek standartinėse naršyklėse.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Sistemos naudotojo sąsaja turi būti nuosekli visuose kuriamuose funkciniuose komponentuose.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Sistemoje neturi būti puslapių, kuriuose negalima naudoti naudotojo įprastos naršyklės navigacijos įrankių ir parinkčių (angl. </w:t>
            </w:r>
            <w:r>
              <w:rPr>
                <w:rFonts w:eastAsia="Times New Roman" w:cs="Times New Roman"/>
                <w:i/>
                <w:szCs w:val="24"/>
              </w:rPr>
              <w:t>Navigation options</w:t>
            </w:r>
            <w:r>
              <w:rPr>
                <w:rFonts w:eastAsia="Times New Roman" w:cs="Times New Roman"/>
                <w:szCs w:val="24"/>
              </w:rPr>
              <w:t>). Pvz., neturi būti puslapių, kurie deaktyvuoja naršyklės mygtuką „Atgal“.</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IT sprendimas turi užtikrinti situacijų, kurias sukėlė neteisingi naudotojo veiksmai, valdymą. Naudotojui atlikus nekorektiškus veiksmus arba įkėlus neteisingus duomenis, naudotojui turi būti rodomi atitinkami klaidų pranešimai. Klaidų pranešimai turi pateikti pakankamai informacijos tolimesniems naudotojo veiksmams.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Naudotojo sąsajos kūrimo procesas turi būti vykdomas vadovaujantis metodika ir gerąją praktika: Viešųjų ir administracinių elektroninių paslaugų patogumo naudotojams Informacinės plėtros komiteto skelbiamais metodiniais dokumentais: „E. paslaugų tinkamumo naudotojams metodika" ir „Tinkamumo problemų sprendimo gairės“, LST EN ISO 9241 serijos standartais: „Žmogaus ir sistemos sąveikos ergonomika. 110 dalis. Dialogo principai(LST EN ISO 9241-110:2020)“; „Žmogaus ir sistemos sąveikos ergonomika. 210 dalis. į žmogų orientuotas sąveikiųjų sistemų projektavimas (LST EN ISO ISO 9241-210:2019)“.</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Kuriant naudotojo sąsają, turi būti vadovaujamasi Neįgaliesiems pritaikytų interneto tinklalapių kūrimo ir testavimo metodinės rekomendacijomis, patvirtintomis Informacinės visuomenės plėtros komiteto prie Lietuvos Respublikos susisiekimo ministerijos direktoriaus 2004 m. kovo 31 d. įsakymu Nr. T-40 „Dėl Neįgaliesiems pritaikytų valstybės ir savivaldybių institucijų ir įstaigų interneto svetainių kūrimo, testavimo ir įvertinimo metodines rekomendacijų patvirtinimo“ (2013 m. gegužės 23 d. įsakymo Nr. T-72 redakcija). Neįgaliesiems skirta naudotojo sąsaja turi atitikti Pasaulinio saityno konsorciumo (angl. </w:t>
            </w:r>
            <w:r>
              <w:rPr>
                <w:rFonts w:eastAsia="Times New Roman" w:cs="Times New Roman"/>
                <w:i/>
                <w:szCs w:val="24"/>
              </w:rPr>
              <w:t>World Wide Web Consortium</w:t>
            </w:r>
            <w:r>
              <w:rPr>
                <w:rFonts w:eastAsia="Times New Roman" w:cs="Times New Roman"/>
                <w:szCs w:val="24"/>
              </w:rPr>
              <w:t>) parengtus saityno turinio pritaikymo neįgaliesiems reikalavimus: Web Content Accessibility Guidelines, WCAG 2.1 ne žemesniu nei AA lygiu.</w:t>
            </w:r>
          </w:p>
        </w:tc>
      </w:tr>
    </w:tbl>
    <w:p>
      <w:pPr>
        <w:pStyle w:val="Heading3"/>
        <w:numPr>
          <w:ilvl w:val="2"/>
          <w:numId w:val="58"/>
        </w:numPr>
        <w:rPr/>
      </w:pPr>
      <w:bookmarkStart w:id="100" w:name="_Toc192483642"/>
      <w:r>
        <w:rPr/>
        <w:t>Atitikimo tarptautiniams ir geros praktikos standartams reikalavimai</w:t>
      </w:r>
      <w:bookmarkEnd w:id="100"/>
    </w:p>
    <w:p>
      <w:pPr>
        <w:pStyle w:val="Normal"/>
        <w:jc w:val="both"/>
        <w:rPr/>
      </w:pPr>
      <w:r>
        <w:rPr/>
        <w:t>Kuriant naujus funkcionalumus turi remtis tokiais teisės aktais ir gerosios praktikos standartais: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rPr>
              <w:t>Teisės aktai:</w:t>
            </w:r>
          </w:p>
          <w:p>
            <w:pPr>
              <w:pStyle w:val="ListParagraph"/>
              <w:numPr>
                <w:ilvl w:val="0"/>
                <w:numId w:val="12"/>
              </w:numPr>
              <w:jc w:val="both"/>
              <w:rPr>
                <w:rFonts w:eastAsia="Times New Roman" w:cs="Times New Roman"/>
              </w:rPr>
            </w:pPr>
            <w:r>
              <w:rPr>
                <w:rFonts w:eastAsia="Times New Roman" w:cs="Times New Roman"/>
              </w:rPr>
              <w:t>Reglamentu (ES) 2016/679;</w:t>
            </w:r>
          </w:p>
          <w:p>
            <w:pPr>
              <w:pStyle w:val="ListParagraph"/>
              <w:numPr>
                <w:ilvl w:val="0"/>
                <w:numId w:val="12"/>
              </w:numPr>
              <w:jc w:val="both"/>
              <w:rPr>
                <w:rFonts w:eastAsia="Times New Roman" w:cs="Times New Roman"/>
              </w:rPr>
            </w:pPr>
            <w:r>
              <w:rPr>
                <w:rFonts w:eastAsia="Times New Roman" w:cs="Times New Roman"/>
              </w:rPr>
              <w:t>Lietuvos Respublikos kibernetinio saugumo įstatymas;</w:t>
            </w:r>
          </w:p>
          <w:p>
            <w:pPr>
              <w:pStyle w:val="ListParagraph"/>
              <w:numPr>
                <w:ilvl w:val="0"/>
                <w:numId w:val="12"/>
              </w:numPr>
              <w:jc w:val="both"/>
              <w:rPr>
                <w:rFonts w:cs="Times New Roman"/>
              </w:rPr>
            </w:pPr>
            <w:r>
              <w:rPr>
                <w:rFonts w:cs="Times New Roman"/>
              </w:rPr>
              <w:t>Organizacinių ir techninių kibernetinio saugumo reikalavimų, taikomų kibernetinio saugumo subjektams, aprašas, patvirtintas Lietuvos Respublikos Vyriausybės 2018 m. rugpjūčio 5 d. nutarimu Nr. 818 „Dėl Lietuvos Respublikos kibernetinio saugumo įstatymo įgyvendinimo“.</w:t>
            </w:r>
            <w:r>
              <w:rPr>
                <w:rFonts w:eastAsia="Times New Roman" w:cs="Times New Roman"/>
              </w:rPr>
              <w:t xml:space="preserve"> Bendrųjų elektroninės informacijos saugos reikalavimų aprašas, </w:t>
            </w:r>
            <w:r>
              <w:rPr>
                <w:rFonts w:cs="Times New Roman"/>
              </w:rPr>
              <w:t>patvirtintas Lietuvos Respublikos Vyriausybės 2013 m. liepos 24 d. nutarimu Nr. 716 „Dėl Bendrųjų elektroninės informacijos saugos reikalavimų aprašo ir Saugos dokumentų turinio gairių aprašo patvirtinimo“;</w:t>
            </w:r>
          </w:p>
          <w:p>
            <w:pPr>
              <w:pStyle w:val="ListParagraph"/>
              <w:numPr>
                <w:ilvl w:val="0"/>
                <w:numId w:val="12"/>
              </w:numPr>
              <w:jc w:val="both"/>
              <w:rPr/>
            </w:pPr>
            <w:r>
              <w:rPr>
                <w:rFonts w:eastAsia="Times New Roman" w:cs="Times New Roman"/>
                <w:szCs w:val="24"/>
                <w:lang w:val="lt-LT"/>
              </w:rPr>
              <w:t xml:space="preserve">Visuomenės sveikatos stiprinimo paslaugų valdymo tobulinimo poreikiams gerinti informacinių technologijų sprendimo duomenų saugos nuostatai, patvirtinti Higienos instituto direktoriaus įsakymu </w:t>
            </w:r>
            <w:r>
              <w:rPr/>
              <w:t>„Dėl Visuomenės sveikatos stiprinimo paslaugų valdymo tobulinimo poreikiams gerinti informacinių technologijų sprendimo atnaujinimo, Visuomenės sveikatos stiprinimo paslaugų valdymo tobulinimo poreikiams gerinti informacinės sistemos nuostatų ir Visuomenės sveikatos stiprinimo paslaugų valdymo tobulinimo poreikiams gerinti informacinės sistemos duomenų saugos nuostatų patvirtinimo“;</w:t>
            </w:r>
          </w:p>
          <w:p>
            <w:pPr>
              <w:pStyle w:val="ListParagraph"/>
              <w:jc w:val="both"/>
              <w:rPr>
                <w:rFonts w:eastAsia="Times New Roman" w:cs="Times New Roman"/>
              </w:rPr>
            </w:pPr>
            <w:r>
              <w:rPr>
                <w:rFonts w:eastAsia="Times New Roman" w:cs="Times New Roman"/>
                <w:szCs w:val="24"/>
                <w:lang w:val="lt-LT"/>
              </w:rPr>
              <w:t xml:space="preserve">Visuomenės sveikatos stiprinimo paslaugų valdymo tobulinimo poreikiams gerinti informacinių technologijų sprendimo saugaus elektroninės informacijos tvarkymo taisyklės ir Visuomenės sveikatos stiprinimo paslaugų valdymo tobulinimo poreikiams gerinti informacinių technologijų sprendimo naudotojų administravimo taisyklės, patvirtintos Higienos instituto direktoriaus 2023 m. lapkričio 10 d. įsakymu Nr. V-131 </w:t>
            </w:r>
            <w:r>
              <w:rPr>
                <w:rFonts w:cs="Times New Roman"/>
              </w:rPr>
              <w:t xml:space="preserve">„Dėl </w:t>
            </w:r>
            <w:r>
              <w:rPr>
                <w:rFonts w:eastAsia="Times New Roman" w:cs="Times New Roman"/>
                <w:szCs w:val="24"/>
                <w:lang w:val="lt-LT"/>
              </w:rPr>
              <w:t>Visuomenės sveikatos stiprinimo paslaugų valdymo tobulinimo poreikiams gerinti informacinių technologijų sprendimo  saugaus elektroninės informacijos tvarkymo taisyklių, Visuomenės sveikatos stiprinimo paslaugų valdymo tobulinimo poreikiams gerinti informacinių technologijų sprendimo veiklos tęstinumo valdymo plano, Visuomenės sveikatos stiprinimo paslaugų valdymo tobulinimo poreikiams gerinti informacinių technologijų sprendimo naudotojų administravimo taisyklių patvirtinimo</w:t>
            </w:r>
            <w:r>
              <w:rPr>
                <w:rFonts w:cs="Times New Roman"/>
              </w:rPr>
              <w:t>“.</w:t>
            </w:r>
          </w:p>
          <w:p>
            <w:pPr>
              <w:pStyle w:val="ListParagraph"/>
              <w:spacing w:before="40" w:after="160"/>
              <w:contextualSpacing/>
              <w:jc w:val="both"/>
              <w:rPr>
                <w:rFonts w:eastAsia="Times New Roman" w:cs="Times New Roman"/>
              </w:rPr>
            </w:pPr>
            <w:r>
              <w:rPr>
                <w:rFonts w:eastAsia="Times New Roman" w:cs="Times New Roman"/>
              </w:rPr>
              <w:t xml:space="preserve">Diegėjas turi užtikrinti, kad teikiamos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ir kituose išvardintuose teisės aktuose nurodytus reikalavimus. Teikiant Paslaugas bus vadovaujamasi saugaus projektavimo ir kodavimo (angl. </w:t>
            </w:r>
            <w:r>
              <w:rPr>
                <w:rFonts w:eastAsia="Times New Roman" w:cs="Times New Roman"/>
                <w:i/>
                <w:iCs/>
              </w:rPr>
              <w:t>Secure Coding</w:t>
            </w:r>
            <w:r>
              <w:rPr>
                <w:rFonts w:eastAsia="Times New Roman" w:cs="Times New Roman"/>
              </w:rPr>
              <w:t xml:space="preserve">) praktika ir metodais (The Open Web Application Security Project (OWASP) Secure Coding Practices, programinės įrangos saugos užtikrinimo standartu (angl. </w:t>
            </w:r>
            <w:r>
              <w:rPr>
                <w:rFonts w:eastAsia="Times New Roman" w:cs="Times New Roman"/>
                <w:i/>
                <w:iCs/>
              </w:rPr>
              <w:t>Application Security Verification Standard</w:t>
            </w:r>
            <w:r>
              <w:rPr>
                <w:rFonts w:eastAsia="Times New Roman" w:cs="Times New Roman"/>
              </w:rPr>
              <w:t>) ar lygiaverčius), o atliekant patikrinimus (testavimus) bus remiamasi Open Web Application Security Project (OWASP) Testing Guide v4, Penetration Testing Execution Standard (PTES), Open Source Security Testing Methodology Manual (OSSTMM), Information Systems Security Assessment Framework (ISSAF), SANS, NIST SP 800-30 ar lygiavertėmis saugumo patikrinimo metodikomis, siekiant užtikrinti, kad Paslaugų rezultatai neturėtų saugumo spragų.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Sukurta programinė įranga turi atitikti tarptautinius saugumo standartus LST ISO/IEC 27002, LST ISO/IEC 27001 ar lygiaverčius standartus.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Naudotojo sąsaja bus kuriama laikantis LST EN ISO 9241 standartų šeimos ergonomikos reikalavimų ir rekomendacijų.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ind w:right="113"/>
              <w:jc w:val="both"/>
              <w:rPr>
                <w:rFonts w:ascii="Times New Roman" w:hAnsi="Times New Roman" w:eastAsia="Times New Roman" w:cs="Times New Roman"/>
                <w:sz w:val="24"/>
                <w:szCs w:val="24"/>
                <w:lang w:val="lt-LT"/>
              </w:rPr>
            </w:pPr>
            <w:r>
              <w:rPr>
                <w:rFonts w:eastAsia="Times New Roman" w:cs="Times New Roman" w:ascii="Times New Roman" w:hAnsi="Times New Roman"/>
                <w:sz w:val="24"/>
                <w:szCs w:val="24"/>
                <w:lang w:val="lt-LT"/>
              </w:rPr>
              <w:t>Taikomi analizės ir projektavimo standartai:</w:t>
            </w:r>
          </w:p>
          <w:p>
            <w:pPr>
              <w:pStyle w:val="ListParagraph"/>
              <w:numPr>
                <w:ilvl w:val="0"/>
                <w:numId w:val="12"/>
              </w:numPr>
              <w:spacing w:before="40" w:after="160"/>
              <w:contextualSpacing/>
              <w:jc w:val="both"/>
              <w:rPr/>
            </w:pPr>
            <w:r>
              <w:rPr>
                <w:rFonts w:eastAsia="Times New Roman" w:cs="Times New Roman"/>
                <w:szCs w:val="24"/>
              </w:rPr>
              <w:t xml:space="preserve">Diegėjo rengiamuose IT sprendimo analizės ir projektavimo dokumentuose, veiklos procesų schemų, modelių, duomenų bazių schemų, programinių komponentų sąsajų schemų ir kitų esybių sąsajų schemų projektavimui bus naudojama ne žemesnė kaip 2.0 UML standarto (angl. </w:t>
            </w:r>
            <w:r>
              <w:rPr>
                <w:rFonts w:eastAsia="Times New Roman" w:cs="Times New Roman"/>
                <w:i/>
                <w:szCs w:val="24"/>
              </w:rPr>
              <w:t>Unified Modeling Language</w:t>
            </w:r>
            <w:r>
              <w:rPr>
                <w:rFonts w:eastAsia="Times New Roman" w:cs="Times New Roman"/>
                <w:szCs w:val="24"/>
              </w:rPr>
              <w:t>) versija.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ind w:right="113"/>
              <w:jc w:val="both"/>
              <w:rPr>
                <w:rFonts w:ascii="Times New Roman" w:hAnsi="Times New Roman" w:eastAsia="Times New Roman" w:cs="Times New Roman"/>
                <w:sz w:val="24"/>
                <w:szCs w:val="24"/>
                <w:lang w:val="lt-LT"/>
              </w:rPr>
            </w:pPr>
            <w:r>
              <w:rPr>
                <w:rFonts w:eastAsia="Times New Roman" w:cs="Times New Roman" w:ascii="Times New Roman" w:hAnsi="Times New Roman"/>
                <w:sz w:val="24"/>
                <w:szCs w:val="24"/>
                <w:lang w:val="lt-LT"/>
              </w:rPr>
              <w:t>IT sprendimo puslapių formavimui taikytini standartai:</w:t>
            </w:r>
          </w:p>
          <w:p>
            <w:pPr>
              <w:pStyle w:val="ListParagraph"/>
              <w:numPr>
                <w:ilvl w:val="0"/>
                <w:numId w:val="12"/>
              </w:numPr>
              <w:jc w:val="both"/>
              <w:rPr>
                <w:rFonts w:eastAsia="Times New Roman" w:cs="Times New Roman"/>
                <w:szCs w:val="24"/>
              </w:rPr>
            </w:pPr>
            <w:r>
              <w:rPr>
                <w:rFonts w:eastAsia="Times New Roman" w:cs="Times New Roman"/>
                <w:szCs w:val="24"/>
              </w:rPr>
              <w:t xml:space="preserve">Bus naudojama ne žemesnė kaip HTML5 (angl. </w:t>
            </w:r>
            <w:r>
              <w:rPr>
                <w:rFonts w:eastAsia="Times New Roman" w:cs="Times New Roman"/>
                <w:i/>
                <w:szCs w:val="24"/>
              </w:rPr>
              <w:t>Hypertext Markup Language</w:t>
            </w:r>
            <w:r>
              <w:rPr>
                <w:rFonts w:eastAsia="Times New Roman" w:cs="Times New Roman"/>
                <w:szCs w:val="24"/>
              </w:rPr>
              <w:t>) versija.</w:t>
            </w:r>
          </w:p>
          <w:p>
            <w:pPr>
              <w:pStyle w:val="ListParagraph"/>
              <w:numPr>
                <w:ilvl w:val="0"/>
                <w:numId w:val="12"/>
              </w:numPr>
              <w:spacing w:before="40" w:after="160"/>
              <w:contextualSpacing/>
              <w:jc w:val="both"/>
              <w:rPr/>
            </w:pPr>
            <w:r>
              <w:rPr>
                <w:rFonts w:eastAsia="Times New Roman" w:cs="Times New Roman"/>
                <w:szCs w:val="24"/>
              </w:rPr>
              <w:t xml:space="preserve">Bus naudojama ne žemesnė kaip 3 lygio CSS3 (angl. </w:t>
            </w:r>
            <w:r>
              <w:rPr>
                <w:rFonts w:eastAsia="Times New Roman" w:cs="Times New Roman"/>
                <w:i/>
                <w:szCs w:val="24"/>
              </w:rPr>
              <w:t>Cascading Style Sheets Language</w:t>
            </w:r>
            <w:r>
              <w:rPr>
                <w:rFonts w:eastAsia="Times New Roman" w:cs="Times New Roman"/>
                <w:szCs w:val="24"/>
              </w:rPr>
              <w:t>).</w:t>
            </w:r>
          </w:p>
        </w:tc>
      </w:tr>
    </w:tbl>
    <w:p>
      <w:pPr>
        <w:pStyle w:val="Heading3"/>
        <w:numPr>
          <w:ilvl w:val="2"/>
          <w:numId w:val="58"/>
        </w:numPr>
        <w:rPr/>
      </w:pPr>
      <w:bookmarkStart w:id="101" w:name="_Toc192483643"/>
      <w:r>
        <w:rPr/>
        <w:t>Reikalavimai techninėms priemonėms, veikimo charakteristikoms, papildomai programinei įrangai, realizavimo technologijoms</w:t>
      </w:r>
      <w:bookmarkEnd w:id="101"/>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IT sprendimas turi būti technologiškai funkcionalus pagal principą „24 valandos per dieną, 7 dienos per savaitę, 365 dienos per metus“. Turi būti užtikrintas informacinės sistemos prieinamumas ne mažiau kaip 99 proc. laiko visą parą.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IT sprendime turi būti išlaikomas ne mažesnis kaip pagal trijų lygių programų architektūros modelis (duomenų bazės, lygis, aplikacijų lygis, naudotojo sąsajos lygis).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Aplikacijų lygis turi būti realizuotas tarnybinėse stotyse. Naudotojo kompiuteriui turi tekti tik grafinio atvaizdavimo uždavinys. Vaizdavimo lygmuo turi sąveikauti su veiklos logikos lygmeniu naudojantis API pranešimais.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IT sprendime tvarkomų duomenų įrašų skaičius neturi būti ribojamas programinės įrangos atžvilgiu.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Bendrų žinynų duomenys IT sprendime turi būti įvedami vieną kartą, t. y., negali būti dubliuojami nei vieno žinyno duomenys.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cs="Times New Roman"/>
                <w:color w:themeColor="text1" w:val="000000"/>
                <w:szCs w:val="24"/>
              </w:rPr>
              <w:t xml:space="preserve">IT sprendime neturi būti įkoduotų (angl. </w:t>
            </w:r>
            <w:r>
              <w:rPr>
                <w:rFonts w:cs="Times New Roman"/>
                <w:i/>
                <w:iCs/>
                <w:color w:themeColor="text1" w:val="000000"/>
                <w:szCs w:val="24"/>
              </w:rPr>
              <w:t>Hard Coded</w:t>
            </w:r>
            <w:r>
              <w:rPr>
                <w:rFonts w:cs="Times New Roman"/>
                <w:color w:themeColor="text1" w:val="000000"/>
                <w:szCs w:val="24"/>
              </w:rPr>
              <w:t>) duomenų.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cs="Times New Roman"/>
                <w:color w:themeColor="text1" w:val="000000"/>
                <w:szCs w:val="24"/>
              </w:rPr>
              <w:t>IT sprendimo aplinkos (vystymo, testavimo ir darbinė aplinkos) turi būti atskiros viena nuo kitos.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cs="Times New Roman"/>
                <w:color w:themeColor="text1" w:val="000000"/>
                <w:szCs w:val="24"/>
              </w:rPr>
              <w:t>IT sprendimo architektūriniai komponentai turi būti stabilūs ir plačiai naudojami praktikoje. Tiekėjas negali siūlyti naudoti programinių komponentų versijų, kurios yra testavimo stadijoje, pažymėti „beta“ ar kitais tai pažyminčiais būdais.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Jeigu Tiekėjas siūlo naudoti atviro kodo komponentus, jie turi būti ne kartą pritaikyti veikiančiose sistemose, turėti aktyvią bendruomenę, būti sukurti laikantis standartų ir turėti aktyvų vystymą bei priežiūrą, diegėjas privalo užtikrinti tokių komponentų palaikymą sutartu laikotarpiu.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Sukurtos programinės įrangos išeities tekstai Perkančiajai organizacijai turi būti perduoti kompiliavimui paruoštų rinkmenų paketų forma USB (ar kitoje su Perkančiąja organizacija suderintoje) laikmenoje, nurodant standartines kompiliavimo priemones ir kompiliavimo eigą. Nuorodų į interneto puslapius, iš kurių galima parsisiųsti kompiliavimo kodo elementus, gali būti pateikiamos, tačiau vieno tokių nuorodų pateikimas nėra laikomas šio reikalavimo įgyvendinimu.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IT sprendimo programinės įrangos išeities tekstai turi būti su išsamiais komentarais ir atitikti gerąsias programinio kodo formatavimo, kintamųjų bei funkcijų įvardinimo praktikas įskaitant, tačiau neapsiribojant praktika, kai pagal pavadinimą galima suprasti programinio kodo elemento paskirtį ir praktiką, kai kodo formatavimas leidžia suprasti kodo struktūrą.</w:t>
            </w:r>
          </w:p>
        </w:tc>
      </w:tr>
    </w:tbl>
    <w:p>
      <w:pPr>
        <w:pStyle w:val="Heading3"/>
        <w:numPr>
          <w:ilvl w:val="2"/>
          <w:numId w:val="58"/>
        </w:numPr>
        <w:rPr/>
      </w:pPr>
      <w:bookmarkStart w:id="102" w:name="_Toc192483644"/>
      <w:r>
        <w:rPr/>
        <w:t>Reikalavimai licencinei programinei įrangai</w:t>
      </w:r>
      <w:bookmarkEnd w:id="102"/>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Licencinės programinės įrangos licencijavimo tvarka turi būti nuolatinio galiojimo (be jokių galiojimo apribojimų laike) bei gali būti ribojama tik naudotojų skaičiumi, o ne techninės įrangos parametrais, konkurentinėmis sesijomis ar kitais būdais. Licencijų naudojimas turi būti suderintas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Siūlant licencinę programinę įrangą, jos įsigijimo ir ne mažiau kaip 3 metų (skaičiuojant nuo testavimo etapo pabaigos) gamintojo užtikrinto palaikymo kaina turi būti įskaičiuota į pasiūlymo kainą.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Diegėjas turi garantuoti nuostolių atlyginimą Perkančiajai organizacijai dėl bet kokių reikalavimų, kylančių dėl autorių teisių, patentų, licencijų ar prekių (paslaugų) ženklų naudojimo, susijusio su sukurtos programinės įrangos naudojimu, išskyrus atvejus, kai toks pažeidimas atsiranda dėl Perkančiosios organizacijos kaltės.</w:t>
            </w:r>
          </w:p>
        </w:tc>
      </w:tr>
    </w:tbl>
    <w:p>
      <w:pPr>
        <w:pStyle w:val="Normal"/>
        <w:rPr/>
      </w:pPr>
      <w:r>
        <w:rPr/>
      </w:r>
    </w:p>
    <w:p>
      <w:pPr>
        <w:pStyle w:val="Heading3"/>
        <w:numPr>
          <w:ilvl w:val="2"/>
          <w:numId w:val="58"/>
        </w:numPr>
        <w:rPr/>
      </w:pPr>
      <w:bookmarkStart w:id="103" w:name="_Toc192483645"/>
      <w:r>
        <w:rPr/>
        <w:t>Reikalavimai techninei dokumentacijai</w:t>
      </w:r>
      <w:bookmarkEnd w:id="103"/>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Visa Tiekėjo rengiama dokumentacija turi būti parengta lietuvių kalba, vadovaujantis bendrinės lietuvių kalbos taisyklėmis (išskyrus techninius dokumentus, kuriuose dalis informacijos gali būti pateikiama anglų kalba).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 xml:space="preserve">Dokumentų galutinės versijos turi būti pateiktos formatu: redagavimui tinkamu elektroniniu (.doc, .docx, .pdf arba kitu su Perkančiąja organizacija suderintu formatu) formatu. </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Visa parengta dokumentacija turi atitikti informatikos inžinerijos gerąją praktiką: turi būti numeruoti dokumentų skyriai ir poskyriai, pateikta informacija ir duomenys gali būti lengvai randami ir unikaliai identifikuojami, rengiamos diagramos turi atitikti pasirinktos notacijos reikalavimus ir būti aprašytos tekstu.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color w:themeColor="text1" w:themeTint="a6" w:val="000000"/>
                <w:szCs w:val="24"/>
                <w:lang w:eastAsia="ar-SA"/>
              </w:rPr>
              <w:t>Sutarties vykdymo metu Tiekėjas prieš pradėdamas rengti sutarties vykdymo rezultatus (dokumentus) preliminarų jų turinį ir formą turi suderinti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cs="Times New Roman"/>
                <w:szCs w:val="24"/>
              </w:rPr>
              <w:t>Derinimui skirtos dokumentų versijos turi būti pateikiamos el. formatu el. paštu ar kitomis su Perkančiąja organizacija suderintomis el. ryšio priemonėmis.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Rezultatai pateikiami peržiūrai, vertinami ir derinami vadovaujantis tokiomis bendromis taisyklėmis:</w:t>
            </w:r>
          </w:p>
          <w:p>
            <w:pPr>
              <w:pStyle w:val="ListParagraph"/>
              <w:numPr>
                <w:ilvl w:val="0"/>
                <w:numId w:val="12"/>
              </w:numPr>
              <w:jc w:val="both"/>
              <w:rPr>
                <w:rFonts w:cs="Times New Roman"/>
                <w:szCs w:val="24"/>
              </w:rPr>
            </w:pPr>
            <w:r>
              <w:rPr>
                <w:rFonts w:cs="Times New Roman"/>
                <w:szCs w:val="24"/>
              </w:rPr>
              <w:t>pateiktos derinimui rezultatų formos ir turinio suderinimas turi būti atliktas per 3 darbo dienas nuo rezultatų pateikimo, nebent būtų susitarta dėl kitokio rezultatų derinimo termino;</w:t>
            </w:r>
          </w:p>
          <w:p>
            <w:pPr>
              <w:pStyle w:val="ListParagraph"/>
              <w:numPr>
                <w:ilvl w:val="0"/>
                <w:numId w:val="12"/>
              </w:numPr>
              <w:jc w:val="both"/>
              <w:rPr>
                <w:rFonts w:cs="Times New Roman"/>
                <w:szCs w:val="24"/>
              </w:rPr>
            </w:pPr>
            <w:r>
              <w:rPr>
                <w:rFonts w:cs="Times New Roman"/>
                <w:szCs w:val="24"/>
              </w:rPr>
              <w:t>dokumentas iki 100 psl. apimties turi būti peržiūrimas ir pastabos pateikiamos ne daugiau kaip per 5 d. d., didesnės apimties dokumentai turi būti peržiūrimi ne daugiau kaip per 10 d. d. Šalių sutarimu gali būti suderinami ir kiti dokumentų peržiūros ir derinimo terminai;</w:t>
            </w:r>
          </w:p>
          <w:p>
            <w:pPr>
              <w:pStyle w:val="ListParagraph"/>
              <w:numPr>
                <w:ilvl w:val="0"/>
                <w:numId w:val="12"/>
              </w:numPr>
              <w:jc w:val="both"/>
              <w:rPr>
                <w:rFonts w:cs="Times New Roman"/>
                <w:szCs w:val="24"/>
              </w:rPr>
            </w:pPr>
            <w:r>
              <w:rPr>
                <w:rFonts w:cs="Times New Roman"/>
                <w:szCs w:val="24"/>
              </w:rPr>
              <w:t>derinamo dokumento peržiūros ir pastabų teikimo terminas pradedamas skaičiuoti kitą dieną nuo dokumento gavimo Perkančiojoje organizacijoje;</w:t>
            </w:r>
          </w:p>
          <w:p>
            <w:pPr>
              <w:pStyle w:val="ListParagraph"/>
              <w:numPr>
                <w:ilvl w:val="0"/>
                <w:numId w:val="12"/>
              </w:numPr>
              <w:jc w:val="both"/>
              <w:rPr>
                <w:rFonts w:cs="Times New Roman"/>
                <w:szCs w:val="24"/>
              </w:rPr>
            </w:pPr>
            <w:r>
              <w:rPr>
                <w:rFonts w:cs="Times New Roman"/>
                <w:szCs w:val="24"/>
              </w:rPr>
              <w:t>atliekant pakartotinę rezultato peržiūrą, teikiamos pastabos ir komentarai dėl anksčiau pateiktų pastabų ir komentarų, t. y. tikrinama, ar tinkamai atsižvelgta į pastabas ir komentarus, ir teikiamos pastabos tik tai daliai į kurią neatsižvelgta. Atliekant pakartotinę peržiūrą turi būti įvertinta ir tai, kokią įtaką pataisymai daro dokumento turinio vientisumui, ar neiššaukia prieštaravimų su dokumente fiksuotomis nuostatomis;</w:t>
            </w:r>
          </w:p>
          <w:p>
            <w:pPr>
              <w:pStyle w:val="ListParagraph"/>
              <w:numPr>
                <w:ilvl w:val="0"/>
                <w:numId w:val="12"/>
              </w:numPr>
              <w:jc w:val="both"/>
              <w:rPr>
                <w:rFonts w:cs="Times New Roman"/>
                <w:szCs w:val="24"/>
              </w:rPr>
            </w:pPr>
            <w:r>
              <w:rPr>
                <w:rFonts w:cs="Times New Roman"/>
                <w:szCs w:val="24"/>
              </w:rPr>
              <w:t>teikiamos pastabos ir komentarai turi būti nedviprasmiški ir konkretūs nurodantys konkretų neatitikimą ir jo pataisymo būdą;</w:t>
            </w:r>
          </w:p>
          <w:p>
            <w:pPr>
              <w:pStyle w:val="ListParagraph"/>
              <w:numPr>
                <w:ilvl w:val="0"/>
                <w:numId w:val="12"/>
              </w:numPr>
              <w:spacing w:before="40" w:after="160"/>
              <w:contextualSpacing/>
              <w:jc w:val="both"/>
              <w:rPr/>
            </w:pPr>
            <w:r>
              <w:rPr>
                <w:rFonts w:cs="Times New Roman"/>
                <w:szCs w:val="24"/>
              </w:rPr>
              <w:t>po dokumentų pataisymo turi būti vykdomas pakartotinis dokumentų derinimas vadovaujantis tomis pačiomis nuostatomis kaip ir pirminio derinimo metu.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Turi būti parengta ir pateikta ši dokumentacija:</w:t>
            </w:r>
          </w:p>
          <w:p>
            <w:pPr>
              <w:pStyle w:val="ListParagraph"/>
              <w:numPr>
                <w:ilvl w:val="0"/>
                <w:numId w:val="12"/>
              </w:numPr>
              <w:jc w:val="both"/>
              <w:rPr>
                <w:rFonts w:cs="Times New Roman"/>
                <w:szCs w:val="24"/>
              </w:rPr>
            </w:pPr>
            <w:r>
              <w:rPr>
                <w:rFonts w:cs="Times New Roman"/>
                <w:szCs w:val="24"/>
              </w:rPr>
              <w:t>Sutarties vykdymo reglamentas, kuriame turi būti nurodyti Projekto tikslai, etapų apimtys ir rezultatai, darbų atlikimo grafikas, komunikavimo principai, papildomų paslaugų, pakeitimų dėl nenumatytų reikalavimų užsakymo ir įgyvendinimo procedūra, tarpinių ir galutinių rezultatų priėmimo kriterijai ir visa kita Projekto vykdymui ir pokyčių valdymui aktuali informacija.</w:t>
            </w:r>
          </w:p>
          <w:p>
            <w:pPr>
              <w:pStyle w:val="ListParagraph"/>
              <w:numPr>
                <w:ilvl w:val="0"/>
                <w:numId w:val="12"/>
              </w:numPr>
              <w:jc w:val="both"/>
              <w:rPr>
                <w:rFonts w:cs="Times New Roman"/>
                <w:szCs w:val="24"/>
              </w:rPr>
            </w:pPr>
            <w:r>
              <w:rPr>
                <w:rFonts w:cs="Times New Roman"/>
                <w:szCs w:val="24"/>
              </w:rPr>
              <w:t xml:space="preserve">Detalios analizės ataskaita, kurioje turi būti išanalizuoti ir detalizuoti funkciniai ir nefunkciniai Techninės specifikacijos reikalavimai bei kiti Perkančiosios organizacijos išsakyti poreikiai, parengti panaudos atvejai (angl. </w:t>
            </w:r>
            <w:r>
              <w:rPr>
                <w:rFonts w:cs="Times New Roman"/>
                <w:i/>
                <w:szCs w:val="24"/>
              </w:rPr>
              <w:t>use case</w:t>
            </w:r>
            <w:r>
              <w:rPr>
                <w:rFonts w:cs="Times New Roman"/>
                <w:szCs w:val="24"/>
              </w:rPr>
              <w:t xml:space="preserve">), kurie pateikiami panaudos atvejų diagramomis pagal UML (angl. </w:t>
            </w:r>
            <w:r>
              <w:rPr>
                <w:rFonts w:cs="Times New Roman"/>
                <w:i/>
                <w:szCs w:val="24"/>
              </w:rPr>
              <w:t>Unified Modeling Language</w:t>
            </w:r>
            <w:r>
              <w:rPr>
                <w:rFonts w:cs="Times New Roman"/>
                <w:szCs w:val="24"/>
              </w:rPr>
              <w:t>) notaciją ir detalizuojami aprašant kiekvieno naudojimo atvejo vykdymo žingsnius (pagrindinę eigą, alternatyvią eigą, išimtinę eigą) ir kitus apribojimus. Sudėtingesni panaudos atvejai ar jų grupės turi būti detalizuojami naudojant procesų modeliavimo diagramas (UML, BPMN (</w:t>
            </w:r>
            <w:r>
              <w:rPr>
                <w:rFonts w:cs="Times New Roman"/>
                <w:i/>
                <w:szCs w:val="24"/>
              </w:rPr>
              <w:t>Business Process Model and Notation</w:t>
            </w:r>
            <w:r>
              <w:rPr>
                <w:rFonts w:cs="Times New Roman"/>
                <w:szCs w:val="24"/>
              </w:rPr>
              <w:t xml:space="preserve">) ar lygiavertes diagramas). Turi būti pateikti pastarųjų diagramų struktūrizuoti aprašai. </w:t>
            </w:r>
          </w:p>
          <w:p>
            <w:pPr>
              <w:pStyle w:val="ListParagraph"/>
              <w:numPr>
                <w:ilvl w:val="0"/>
                <w:numId w:val="12"/>
              </w:numPr>
              <w:jc w:val="both"/>
              <w:rPr>
                <w:rFonts w:cs="Times New Roman"/>
                <w:szCs w:val="24"/>
              </w:rPr>
            </w:pPr>
            <w:r>
              <w:rPr>
                <w:rFonts w:cs="Times New Roman"/>
                <w:szCs w:val="24"/>
              </w:rPr>
              <w:t xml:space="preserve">Detalūs projektavimo dokumentai, kuriuose turi būti pateikta detalios analizės ataskaitose aprašytų reikalavimų realizacija. Realizacija turi būti pateikta aprašant panaudos atvejus (angl. </w:t>
            </w:r>
            <w:r>
              <w:rPr>
                <w:rFonts w:cs="Times New Roman"/>
                <w:i/>
                <w:szCs w:val="24"/>
              </w:rPr>
              <w:t>use case</w:t>
            </w:r>
            <w:r>
              <w:rPr>
                <w:rFonts w:cs="Times New Roman"/>
                <w:szCs w:val="24"/>
              </w:rPr>
              <w:t>) arba parengta kitu su Perkančiąja organizacija suderintu būdu. Dokumentai turi apimti (įskaitant, bet neapsiribojant):</w:t>
            </w:r>
          </w:p>
          <w:p>
            <w:pPr>
              <w:pStyle w:val="ListParagraph"/>
              <w:numPr>
                <w:ilvl w:val="1"/>
                <w:numId w:val="44"/>
              </w:numPr>
              <w:ind w:hanging="360" w:left="1440" w:right="113"/>
              <w:jc w:val="both"/>
              <w:rPr>
                <w:rFonts w:cs="Times New Roman"/>
                <w:szCs w:val="24"/>
              </w:rPr>
            </w:pPr>
            <w:r>
              <w:rPr>
                <w:rFonts w:cs="Times New Roman"/>
                <w:szCs w:val="24"/>
              </w:rPr>
              <w:t xml:space="preserve">Detalizuotų reikalavimų realizavimo aprašymą (pateikiant detalias nuorodas į Sistemos funkcijas, kurių pagalba bus įvykdoma vienokia ar kitokia funkcija ar veiksmas, Sistemos ekraninis vaizdas, taikomos taisyklės ar apribojimai bei kita susijusi informacija). Iš pateiktos informacijos turi būti aišku, kaip bus realizuojamas kiekvienas kuriamai programinei įrangai keliamas reikalavimas ir galutinis sprendimas; </w:t>
            </w:r>
          </w:p>
          <w:p>
            <w:pPr>
              <w:pStyle w:val="ListParagraph"/>
              <w:numPr>
                <w:ilvl w:val="1"/>
                <w:numId w:val="44"/>
              </w:numPr>
              <w:ind w:hanging="360" w:left="1440" w:right="113"/>
              <w:jc w:val="both"/>
              <w:rPr>
                <w:rFonts w:cs="Times New Roman"/>
                <w:szCs w:val="24"/>
              </w:rPr>
            </w:pPr>
            <w:r>
              <w:rPr>
                <w:rFonts w:cs="Times New Roman"/>
                <w:szCs w:val="24"/>
              </w:rPr>
              <w:t>Detalizuotas Sistemos logines schemas, susiejant visus kuriamus panaudos atvejus su konkrečiais moduliais ar komponentais;</w:t>
            </w:r>
          </w:p>
          <w:p>
            <w:pPr>
              <w:pStyle w:val="ListParagraph"/>
              <w:numPr>
                <w:ilvl w:val="1"/>
                <w:numId w:val="44"/>
              </w:numPr>
              <w:ind w:hanging="360" w:left="1440" w:right="113"/>
              <w:jc w:val="both"/>
              <w:rPr>
                <w:rFonts w:cs="Times New Roman"/>
                <w:szCs w:val="24"/>
              </w:rPr>
            </w:pPr>
            <w:r>
              <w:rPr>
                <w:rFonts w:cs="Times New Roman"/>
                <w:szCs w:val="24"/>
              </w:rPr>
              <w:t xml:space="preserve">Parametrų aprašymus. Turi būti pateiktas konfigūracijos parametrų, nustatančių Sistemos veikimą pagal realius veiklos procesus bei užtikrinančių atitiktį visiems jai keliamiems reikalavimams, aprašymas; </w:t>
            </w:r>
          </w:p>
          <w:p>
            <w:pPr>
              <w:pStyle w:val="ListParagraph"/>
              <w:numPr>
                <w:ilvl w:val="1"/>
                <w:numId w:val="44"/>
              </w:numPr>
              <w:ind w:hanging="360" w:left="1440" w:right="113"/>
              <w:jc w:val="both"/>
              <w:rPr>
                <w:rFonts w:cs="Times New Roman"/>
                <w:szCs w:val="24"/>
              </w:rPr>
            </w:pPr>
            <w:r>
              <w:rPr>
                <w:rFonts w:cs="Times New Roman"/>
                <w:szCs w:val="24"/>
              </w:rPr>
              <w:t xml:space="preserve">Duomenų bazės struktūros ir modelio aprašymą; </w:t>
            </w:r>
          </w:p>
          <w:p>
            <w:pPr>
              <w:pStyle w:val="ListParagraph"/>
              <w:numPr>
                <w:ilvl w:val="1"/>
                <w:numId w:val="44"/>
              </w:numPr>
              <w:ind w:hanging="360" w:left="1440" w:right="113"/>
              <w:jc w:val="both"/>
              <w:rPr>
                <w:rFonts w:cs="Times New Roman"/>
                <w:szCs w:val="24"/>
              </w:rPr>
            </w:pPr>
            <w:r>
              <w:rPr>
                <w:rFonts w:cs="Times New Roman"/>
                <w:szCs w:val="24"/>
              </w:rPr>
              <w:t xml:space="preserve">Sąsajų tarp sistemų (angl. </w:t>
            </w:r>
            <w:r>
              <w:rPr>
                <w:rFonts w:cs="Times New Roman"/>
                <w:i/>
                <w:szCs w:val="24"/>
              </w:rPr>
              <w:t>interface</w:t>
            </w:r>
            <w:r>
              <w:rPr>
                <w:rFonts w:cs="Times New Roman"/>
                <w:szCs w:val="24"/>
              </w:rPr>
              <w:t>) ir jų valdymo bei funkcinių sričių aprašymus.</w:t>
            </w:r>
          </w:p>
          <w:p>
            <w:pPr>
              <w:pStyle w:val="ListParagraph"/>
              <w:numPr>
                <w:ilvl w:val="0"/>
                <w:numId w:val="12"/>
              </w:numPr>
              <w:jc w:val="both"/>
              <w:rPr>
                <w:rFonts w:cs="Times New Roman"/>
                <w:szCs w:val="24"/>
              </w:rPr>
            </w:pPr>
            <w:r>
              <w:rPr>
                <w:rFonts w:cs="Times New Roman"/>
                <w:szCs w:val="24"/>
              </w:rPr>
              <w:t>Konstravimo etapo metu turės būti parengta programinės įrangos konstravimo ataskaita, kurioje turės būti pateikiama:</w:t>
            </w:r>
          </w:p>
          <w:p>
            <w:pPr>
              <w:pStyle w:val="ListParagraph"/>
              <w:numPr>
                <w:ilvl w:val="1"/>
                <w:numId w:val="44"/>
              </w:numPr>
              <w:ind w:hanging="360" w:left="1440" w:right="113"/>
              <w:jc w:val="both"/>
              <w:rPr>
                <w:rFonts w:cs="Times New Roman"/>
                <w:szCs w:val="24"/>
              </w:rPr>
            </w:pPr>
            <w:r>
              <w:rPr>
                <w:rFonts w:cs="Times New Roman"/>
                <w:szCs w:val="24"/>
              </w:rPr>
              <w:t>Realizuotų sprendimų apibendrinantis aprašymas;</w:t>
            </w:r>
          </w:p>
          <w:p>
            <w:pPr>
              <w:pStyle w:val="ListParagraph"/>
              <w:numPr>
                <w:ilvl w:val="1"/>
                <w:numId w:val="44"/>
              </w:numPr>
              <w:ind w:hanging="360" w:left="1440" w:right="113"/>
              <w:jc w:val="both"/>
              <w:rPr>
                <w:rFonts w:cs="Times New Roman"/>
                <w:szCs w:val="24"/>
              </w:rPr>
            </w:pPr>
            <w:r>
              <w:rPr>
                <w:rFonts w:cs="Times New Roman"/>
                <w:szCs w:val="24"/>
              </w:rPr>
              <w:t>Realizuotų reikalavimų ir procesų aprašymas,</w:t>
            </w:r>
          </w:p>
          <w:p>
            <w:pPr>
              <w:pStyle w:val="ListParagraph"/>
              <w:numPr>
                <w:ilvl w:val="1"/>
                <w:numId w:val="44"/>
              </w:numPr>
              <w:ind w:hanging="360" w:left="1440" w:right="113"/>
              <w:jc w:val="both"/>
              <w:rPr>
                <w:rFonts w:cs="Times New Roman"/>
                <w:szCs w:val="24"/>
              </w:rPr>
            </w:pPr>
            <w:r>
              <w:rPr>
                <w:rFonts w:cs="Times New Roman"/>
                <w:szCs w:val="24"/>
              </w:rPr>
              <w:t>Techninės realizacijos aprašymas (apimantis reikalavimų techniniam sprendimui detalizaciją);</w:t>
            </w:r>
          </w:p>
          <w:p>
            <w:pPr>
              <w:pStyle w:val="ListParagraph"/>
              <w:numPr>
                <w:ilvl w:val="1"/>
                <w:numId w:val="44"/>
              </w:numPr>
              <w:ind w:hanging="360" w:left="1440" w:right="113"/>
              <w:jc w:val="both"/>
              <w:rPr>
                <w:rFonts w:cs="Times New Roman"/>
                <w:szCs w:val="24"/>
              </w:rPr>
            </w:pPr>
            <w:r>
              <w:rPr>
                <w:rFonts w:cs="Times New Roman"/>
                <w:szCs w:val="24"/>
              </w:rPr>
              <w:t>Vidinio testavimo rezultatų aprašymas;</w:t>
            </w:r>
          </w:p>
          <w:p>
            <w:pPr>
              <w:pStyle w:val="ListParagraph"/>
              <w:numPr>
                <w:ilvl w:val="1"/>
                <w:numId w:val="44"/>
              </w:numPr>
              <w:ind w:hanging="360" w:left="1440" w:right="113"/>
              <w:jc w:val="both"/>
              <w:rPr>
                <w:rFonts w:cs="Times New Roman"/>
                <w:szCs w:val="24"/>
              </w:rPr>
            </w:pPr>
            <w:r>
              <w:rPr>
                <w:rFonts w:cs="Times New Roman"/>
                <w:szCs w:val="24"/>
              </w:rPr>
              <w:t>Kita aktuali informacija.</w:t>
            </w:r>
          </w:p>
          <w:p>
            <w:pPr>
              <w:pStyle w:val="ListParagraph"/>
              <w:numPr>
                <w:ilvl w:val="0"/>
                <w:numId w:val="12"/>
              </w:numPr>
              <w:jc w:val="both"/>
              <w:rPr>
                <w:rFonts w:cs="Times New Roman"/>
                <w:szCs w:val="24"/>
              </w:rPr>
            </w:pPr>
            <w:r>
              <w:rPr>
                <w:rFonts w:cs="Times New Roman"/>
                <w:szCs w:val="24"/>
              </w:rPr>
              <w:t>Testavimo dokumentacija, apimanti šiuos dokumentus:</w:t>
            </w:r>
          </w:p>
          <w:p>
            <w:pPr>
              <w:pStyle w:val="ListParagraph"/>
              <w:numPr>
                <w:ilvl w:val="1"/>
                <w:numId w:val="44"/>
              </w:numPr>
              <w:ind w:hanging="360" w:left="1440" w:right="113"/>
              <w:jc w:val="both"/>
              <w:rPr>
                <w:rFonts w:cs="Times New Roman"/>
                <w:szCs w:val="24"/>
              </w:rPr>
            </w:pPr>
            <w:r>
              <w:rPr>
                <w:rFonts w:cs="Times New Roman"/>
                <w:szCs w:val="24"/>
              </w:rPr>
              <w:t>Testavimo planas ir metodika;</w:t>
            </w:r>
          </w:p>
          <w:p>
            <w:pPr>
              <w:pStyle w:val="ListParagraph"/>
              <w:numPr>
                <w:ilvl w:val="1"/>
                <w:numId w:val="44"/>
              </w:numPr>
              <w:ind w:hanging="360" w:left="1440" w:right="113"/>
              <w:jc w:val="both"/>
              <w:rPr>
                <w:rFonts w:cs="Times New Roman"/>
                <w:szCs w:val="24"/>
              </w:rPr>
            </w:pPr>
            <w:r>
              <w:rPr>
                <w:rFonts w:cs="Times New Roman"/>
                <w:szCs w:val="24"/>
              </w:rPr>
              <w:t>Testavimo scenarijai;</w:t>
            </w:r>
          </w:p>
          <w:p>
            <w:pPr>
              <w:pStyle w:val="ListParagraph"/>
              <w:numPr>
                <w:ilvl w:val="1"/>
                <w:numId w:val="44"/>
              </w:numPr>
              <w:ind w:hanging="360" w:left="1440" w:right="113"/>
              <w:jc w:val="both"/>
              <w:rPr>
                <w:rFonts w:cs="Times New Roman"/>
                <w:szCs w:val="24"/>
              </w:rPr>
            </w:pPr>
            <w:r>
              <w:rPr>
                <w:rFonts w:cs="Times New Roman"/>
                <w:szCs w:val="24"/>
              </w:rPr>
              <w:t>Testavimo ir pakartotinio testavimo ataskaitos.</w:t>
            </w:r>
          </w:p>
          <w:p>
            <w:pPr>
              <w:pStyle w:val="ListParagraph"/>
              <w:numPr>
                <w:ilvl w:val="0"/>
                <w:numId w:val="12"/>
              </w:numPr>
              <w:jc w:val="both"/>
              <w:rPr>
                <w:rFonts w:cs="Times New Roman"/>
                <w:szCs w:val="24"/>
              </w:rPr>
            </w:pPr>
            <w:r>
              <w:rPr>
                <w:rFonts w:cs="Times New Roman"/>
                <w:szCs w:val="24"/>
              </w:rPr>
              <w:t>Mokymų dokumentacija, apimanti mokymų planą, administratorių ir naudotojų vadovus, pagalbos vadovus (tik el. formatu) ir mokymų medžiagą.</w:t>
            </w:r>
          </w:p>
          <w:p>
            <w:pPr>
              <w:pStyle w:val="ListParagraph"/>
              <w:numPr>
                <w:ilvl w:val="0"/>
                <w:numId w:val="12"/>
              </w:numPr>
              <w:jc w:val="both"/>
              <w:rPr>
                <w:rFonts w:cs="Times New Roman"/>
                <w:szCs w:val="24"/>
              </w:rPr>
            </w:pPr>
            <w:r>
              <w:rPr>
                <w:rFonts w:cs="Times New Roman"/>
                <w:szCs w:val="24"/>
              </w:rPr>
              <w:t>Diegimo planas ir diegimo ataskaita.</w:t>
            </w:r>
          </w:p>
          <w:p>
            <w:pPr>
              <w:pStyle w:val="ListParagraph"/>
              <w:numPr>
                <w:ilvl w:val="0"/>
                <w:numId w:val="12"/>
              </w:numPr>
              <w:jc w:val="both"/>
              <w:rPr>
                <w:rFonts w:cs="Times New Roman"/>
                <w:szCs w:val="24"/>
              </w:rPr>
            </w:pPr>
            <w:r>
              <w:rPr>
                <w:rFonts w:cs="Times New Roman"/>
                <w:szCs w:val="24"/>
              </w:rPr>
              <w:t>Bandomosios eksploatacijos planas ir ataskaita.</w:t>
            </w:r>
          </w:p>
          <w:p>
            <w:pPr>
              <w:pStyle w:val="ListParagraph"/>
              <w:numPr>
                <w:ilvl w:val="0"/>
                <w:numId w:val="12"/>
              </w:numPr>
              <w:spacing w:before="40" w:after="160"/>
              <w:contextualSpacing/>
              <w:jc w:val="both"/>
              <w:rPr/>
            </w:pPr>
            <w:r>
              <w:rPr>
                <w:rFonts w:cs="Times New Roman"/>
                <w:szCs w:val="24"/>
              </w:rPr>
              <w:t>Garantinio aptarnavimo reglamentas.</w:t>
            </w:r>
          </w:p>
        </w:tc>
      </w:tr>
    </w:tbl>
    <w:p>
      <w:pPr>
        <w:pStyle w:val="Heading3"/>
        <w:numPr>
          <w:ilvl w:val="2"/>
          <w:numId w:val="58"/>
        </w:numPr>
        <w:rPr/>
      </w:pPr>
      <w:bookmarkStart w:id="104" w:name="_Toc192483646"/>
      <w:r>
        <w:rPr/>
        <w:t>Reikalavimai naudotojų mokymams</w:t>
      </w:r>
      <w:bookmarkEnd w:id="104"/>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Iki mokymų etapo pradžios Tiekėjas turi parengti mokymų planą, kuriame turi būti pateikiama:</w:t>
            </w:r>
          </w:p>
          <w:p>
            <w:pPr>
              <w:pStyle w:val="ListParagraph"/>
              <w:numPr>
                <w:ilvl w:val="0"/>
                <w:numId w:val="12"/>
              </w:numPr>
              <w:jc w:val="both"/>
              <w:rPr>
                <w:rFonts w:cs="Times New Roman"/>
                <w:szCs w:val="24"/>
              </w:rPr>
            </w:pPr>
            <w:r>
              <w:rPr>
                <w:rFonts w:cs="Times New Roman"/>
                <w:szCs w:val="24"/>
              </w:rPr>
              <w:t>Mokymų tvarkaraštis, aprašantis kada ir kaip bus atliekami mokymai;</w:t>
            </w:r>
          </w:p>
          <w:p>
            <w:pPr>
              <w:pStyle w:val="ListParagraph"/>
              <w:numPr>
                <w:ilvl w:val="0"/>
                <w:numId w:val="12"/>
              </w:numPr>
              <w:jc w:val="both"/>
              <w:rPr>
                <w:rFonts w:cs="Times New Roman"/>
                <w:szCs w:val="24"/>
              </w:rPr>
            </w:pPr>
            <w:r>
              <w:rPr>
                <w:rFonts w:cs="Times New Roman"/>
                <w:szCs w:val="24"/>
              </w:rPr>
              <w:t>Mokymų programa (temos ir jų aprašymas);</w:t>
            </w:r>
          </w:p>
          <w:p>
            <w:pPr>
              <w:pStyle w:val="ListParagraph"/>
              <w:numPr>
                <w:ilvl w:val="0"/>
                <w:numId w:val="12"/>
              </w:numPr>
              <w:spacing w:before="40" w:after="160"/>
              <w:contextualSpacing/>
              <w:jc w:val="both"/>
              <w:rPr/>
            </w:pPr>
            <w:r>
              <w:rPr>
                <w:rFonts w:cs="Times New Roman"/>
                <w:szCs w:val="24"/>
              </w:rPr>
              <w:t>Įrankiai, medžiaga (informacija) ir praktinės mokymo kurso darbų užduotys, kurios bus naudojamos mokymų įgyvendinimo metu.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rPr>
            </w:pPr>
            <w:r>
              <w:rPr>
                <w:rFonts w:eastAsia="Times New Roman" w:cs="Times New Roman"/>
              </w:rPr>
              <w:t>Tiekėjas, mokymų plane nustatyta tvarka, turi įvykdyti mokymus (vieno užsiėmimo metu dalyvauti turi ne daugiau kaip 20 naudotojų (Perkančiosios organizacijos darbuotojų, SAM darbuotojų, VSB darbuotojų, Perkančiosios organizacijos administratorių)).</w:t>
            </w:r>
          </w:p>
          <w:p>
            <w:pPr>
              <w:pStyle w:val="Normal"/>
              <w:spacing w:before="40" w:after="160"/>
              <w:jc w:val="both"/>
              <w:rPr>
                <w:rFonts w:eastAsia="Times New Roman" w:cs="Times New Roman"/>
              </w:rPr>
            </w:pPr>
            <w:r>
              <w:rPr>
                <w:rFonts w:eastAsia="Times New Roman" w:cs="Times New Roman"/>
              </w:rPr>
              <w:t>Viso turi būti apmokyta iki 120 naudotojų suskirstant juos į grupes atitinkančias mokymo temą.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Mokymai turi būti vykdomi nuotoliniu būdu (nebent su Perkančiąja organizacija yra suderinama kitaip).</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Mokymai turi būti įrašomi, įrašai pateikiami Perkančiajai organizacijai.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Mokymai turi būti vedami lietuvių kalba.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Mokymai turi būti vykdomi Perkančiosios organizacijos darbo valandomis.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3"/>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Tiekėjas turi užregistruoti visus mokymuose dalyvavusius asmenis ir pateikti mokymų dalyvių sąrašą Perkančiajai organizacijai.</w:t>
            </w:r>
          </w:p>
        </w:tc>
      </w:tr>
    </w:tbl>
    <w:p>
      <w:pPr>
        <w:pStyle w:val="CentrBoldm"/>
        <w:tabs>
          <w:tab w:val="clear" w:pos="720"/>
          <w:tab w:val="left" w:pos="1701" w:leader="none"/>
          <w:tab w:val="left" w:pos="2250" w:leader="none"/>
        </w:tabs>
        <w:ind w:left="5040"/>
        <w:jc w:val="left"/>
        <w:rPr>
          <w:rFonts w:ascii="Times New Roman" w:hAnsi="Times New Roman"/>
          <w:b w:val="false"/>
        </w:rPr>
      </w:pPr>
      <w:r>
        <w:rPr>
          <w:rFonts w:ascii="Times New Roman" w:hAnsi="Times New Roman"/>
          <w:b w:val="fals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numPr>
          <w:ilvl w:val="0"/>
          <w:numId w:val="58"/>
        </w:numPr>
        <w:rPr>
          <w:b/>
          <w:bCs/>
        </w:rPr>
      </w:pPr>
      <w:bookmarkStart w:id="105" w:name="_Toc192483647"/>
      <w:r>
        <w:rPr>
          <w:b/>
          <w:bCs/>
        </w:rPr>
        <w:t>Teisinės ir organizacinės sąlygos</w:t>
      </w:r>
      <w:bookmarkEnd w:id="105"/>
    </w:p>
    <w:p>
      <w:pPr>
        <w:pStyle w:val="Normal"/>
        <w:rPr/>
      </w:pPr>
      <w:r>
        <w:rPr/>
      </w:r>
    </w:p>
    <w:p>
      <w:pPr>
        <w:pStyle w:val="Normal"/>
        <w:rPr>
          <w:szCs w:val="24"/>
        </w:rPr>
      </w:pPr>
      <w:r>
        <w:rPr>
          <w:szCs w:val="24"/>
        </w:rPr>
        <w:t>Kuriant IT sprendimą turi būti vadovaujamasi šiais teisės aktais bei IT sprendimas turi atitikti šiuose teisės aktuose keliamus reikalavimus:</w:t>
      </w:r>
    </w:p>
    <w:p>
      <w:pPr>
        <w:pStyle w:val="ListParagraph"/>
        <w:numPr>
          <w:ilvl w:val="1"/>
          <w:numId w:val="58"/>
        </w:numPr>
        <w:shd w:val="clear" w:color="auto" w:fill="FFFFFF" w:themeFill="background1"/>
        <w:jc w:val="both"/>
        <w:rPr>
          <w:rFonts w:cs="" w:asciiTheme="majorBidi" w:cstheme="majorBidi" w:hAnsiTheme="majorBidi"/>
          <w:color w:themeColor="text1" w:themeTint="a6" w:val="000000"/>
        </w:rPr>
      </w:pPr>
      <w:r>
        <w:rPr>
          <w:rFonts w:cs="" w:asciiTheme="majorBidi" w:cstheme="majorBidi" w:hAnsiTheme="majorBidi"/>
          <w:color w:themeColor="text1" w:val="000000"/>
        </w:rPr>
        <w:t>2016 m. balandžio 27 d. Europos Parlamento ir Tarybos reglamentu (ES) 2016/679 dėl fizinių asmenų apsaugos tvarkant asmens duomenis ir dėl laisvo tokių duomenų judėjimo ir kuriuo panaikinama Direktyva 95/46/EB (Bendrasis duomenų apsaugos reglamentas);</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valstybės informacinių išteklių valdymo įstatymu;</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švietimo įstatymu;</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visuomenės sveikatos priežiūros įstatymu;</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visuomenės sveikatos stebėsenos (monitoringo) įstatymu;</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kibernetinio saugumo įstatymu;</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asmens duomenų teisinės apsaugos įstatymu;</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teisės gauti informaciją ir duomenų pakartotinio naudojimo įstatymu;</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Vyriausybės 2023 m. liepos 19 d. nutarimu Nr. 576 „Dėl Valstybės informacinių išteklių svarbos vertinimo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Vyriausybės 2013 m. vasario 27 d. nutarimu Nr. 180 „Dėl Valstybės informacinių sistemų steigimo, kūrimo, modernizavimo ir likvidavimo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Vyriausybės 2013 m. liepos 24 d. nutarimu Nr. 716 „Dėl Bendrųjų elektroninės informacijos saugos reikalavimų aprašo ir Saugos dokumentų turinio gairių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Vyriausybės 2018 m. rugpjūčio 13 d. nutarimu Nr. 818 „Dėl Lietuvos Respublikos kibernetinio saugumo įstatymo įgyvendinimo“;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2014 m. lapkričio 10 d. įsakymu Nr. V-1154 „Dėl Valstybės biudžeto specialios tikslinės dotacijos, skiriamos savivaldybių biudžetams Sveikatos apsaugos ministerijos kuruojamoms valstybinėms (valstybės perduotoms savivaldybėms) visuomenės sveikatos priežiūros funkcijoms vykdyti, planavimo, paskirstymo, naudojimo ir atsiskaitymo už ją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2013 m. spalio 11 d. įsakymu Nr. V-932 „Dėl Specialios tikslinės dotacijos, skirtos valstybinėms (valstybės perduotoms savivaldybėms) visuomenės sveikatos priežiūros funkcijoms vykdyti, poreikio apskaičiavimo  metodikos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ir Lietuvos Respublikos švietimo ir mokslo ministro 2005 m. gruodžio 30 d. įsakymu Nr. V-1035/ISAK-2680 „Dėl sveikatos priežiūros mokykloje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2011 m. lapkričio 11 d. įsakymu V-964 „Dėl Vaikų maitinimo organizavimo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2014 m. rugsėjo 22 d. įsakymu Nr. V-979 „Dėl sveikatos stiprinimo programos, skirtos širdies ir kraujagyslių ligų bei cukrinio diabeto profilaktikai, organizavimo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2023 m. sausio 5 d. įsakymu Nr. V-18 „Dėl socialinio recepto iniciatyvos vykdymo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2022 m. balandžio 21 d. įsakymu Nr. V-796 „Dėl sveikatos stiprinimo programų ikimokyklinio ir mokyklinio amžiaus vaikų tėvams „Neįtikėtini metai“ organizavimo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2019 m. balandžio 30 d. įsakymu Nr. V-523 „Dėl mokyklų darbuotojų kompetencijos psichikos sveikatos srityje didinimo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2020 m. liepos 31 d. įsakymu Nr. V-1733 „Dėl psichologinės gerovės ir psichikos sveikatos stiprinimo paslaugų teikimo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2020 m. spalio 19 d. įsakymu Nr. V-2298 „Dėl savižudybių prevencijos mokymų instruktorių veiklos ir bazinių savižudybių prevencijos mokymų organizavimo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2024 m. sausio 12 d. įsakymu Nr. V-32 „Dėl Savižudybių prevencijos koordinavimo savivaldybėse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Lietuvos Respublikos sveikatos apsaugos ministro 2019 m. gegužės 17 d. įsakymu Nr. V-590 „Dėl darbuotojų kompetencijos psichikos sveikatos srityje didinimo tvarkos aprašo patvirtinimo“;</w:t>
      </w:r>
    </w:p>
    <w:p>
      <w:pPr>
        <w:pStyle w:val="ListParagraph"/>
        <w:numPr>
          <w:ilvl w:val="1"/>
          <w:numId w:val="58"/>
        </w:numPr>
        <w:shd w:val="clear" w:color="auto" w:fill="FFFFFF"/>
        <w:jc w:val="both"/>
        <w:rPr>
          <w:rFonts w:cs="" w:asciiTheme="majorBidi" w:cstheme="majorBidi" w:hAnsiTheme="majorBidi"/>
          <w:color w:themeColor="text1" w:themeTint="a6" w:val="000000"/>
          <w:szCs w:val="24"/>
        </w:rPr>
      </w:pPr>
      <w:r>
        <w:rPr>
          <w:rFonts w:cs="" w:asciiTheme="majorBidi" w:cstheme="majorBidi" w:hAnsiTheme="majorBidi"/>
          <w:color w:themeColor="text1" w:themeTint="a6" w:val="000000"/>
          <w:szCs w:val="24"/>
        </w:rPr>
        <w:t>Valstybės skaitmeninių sprendimų agentūros direktoriaus 2013 m. kovo 25 d. įsakymu Nr. T-36 „Dėl Duomenų teikimo formatų ir standartų rekomendacijų patvirtinimo“;</w:t>
      </w:r>
    </w:p>
    <w:p>
      <w:pPr>
        <w:pStyle w:val="ListParagraph"/>
        <w:numPr>
          <w:ilvl w:val="1"/>
          <w:numId w:val="58"/>
        </w:numPr>
        <w:shd w:val="clear" w:color="auto" w:fill="FFFFFF" w:themeFill="background1"/>
        <w:jc w:val="both"/>
        <w:rPr>
          <w:rFonts w:cs="" w:asciiTheme="majorBidi" w:cstheme="majorBidi" w:hAnsiTheme="majorBidi"/>
          <w:color w:themeColor="text1" w:themeTint="a6" w:val="000000"/>
        </w:rPr>
      </w:pPr>
      <w:r>
        <w:rPr>
          <w:rFonts w:cs="" w:asciiTheme="majorBidi" w:cstheme="majorBidi" w:hAnsiTheme="majorBidi"/>
          <w:color w:themeColor="text1" w:val="000000"/>
        </w:rPr>
        <w:t>Lietuvos Respublikos sveikatos apsaugos ministro 2018 m. sausio 23 d. įsakymu Nr. 70 „Dėl rekomenduojamų visuomenės sveikatos specialistų pareigybių steigimo savivaldybėse“;</w:t>
      </w:r>
    </w:p>
    <w:p>
      <w:pPr>
        <w:pStyle w:val="ListParagraph"/>
        <w:numPr>
          <w:ilvl w:val="1"/>
          <w:numId w:val="58"/>
        </w:numPr>
        <w:shd w:val="clear" w:color="auto" w:fill="FFFFFF" w:themeFill="background1"/>
        <w:jc w:val="both"/>
        <w:rPr/>
      </w:pPr>
      <w:r>
        <w:rPr/>
        <w:t>Higienos instituto direktoriaus įsakymo projektu „Dėl Visuomenės sveikatos stiprinimo paslaugų valdymo tobulinimo poreikiams gerinti informacinių technologijų sprendimo atnaujinimo, Visuomenės sveikatos stiprinimo paslaugų valdymo tobulinimo poreikiams gerinti informacinės sistemos nuostatų ir Visuomenės sveikatos stiprinimo paslaugų valdymo tobulinimo poreikiams gerinti informacinės sistemos duomenų saugos nuostatų patvirtinimo“;</w:t>
      </w:r>
    </w:p>
    <w:p>
      <w:pPr>
        <w:pStyle w:val="ListParagraph"/>
        <w:numPr>
          <w:ilvl w:val="1"/>
          <w:numId w:val="58"/>
        </w:numPr>
        <w:shd w:val="clear" w:color="auto" w:fill="FFFFFF" w:themeFill="background1"/>
        <w:jc w:val="both"/>
        <w:rPr>
          <w:rFonts w:cs="" w:asciiTheme="majorBidi" w:cstheme="majorBidi" w:hAnsiTheme="majorBidi"/>
          <w:color w:themeColor="text1" w:themeTint="a6" w:val="000000"/>
        </w:rPr>
      </w:pPr>
      <w:r>
        <w:rPr>
          <w:rFonts w:eastAsia="Times New Roman" w:cs="Times New Roman"/>
          <w:szCs w:val="24"/>
          <w:lang w:val="lt-LT"/>
        </w:rPr>
        <w:t xml:space="preserve">Higienos instituto direktoriaus 2023 m. lapkričio 10 d. įsakymu Nr. V-131 </w:t>
      </w:r>
      <w:r>
        <w:rPr>
          <w:rFonts w:cs="Times New Roman"/>
        </w:rPr>
        <w:t xml:space="preserve">„Dėl </w:t>
      </w:r>
      <w:r>
        <w:rPr>
          <w:rFonts w:eastAsia="Times New Roman" w:cs="Times New Roman"/>
          <w:szCs w:val="24"/>
          <w:lang w:val="lt-LT"/>
        </w:rPr>
        <w:t>Visuomenės sveikatos stiprinimo paslaugų valdymo tobulinimo poreikiams gerinti informacinių technologijų sprendimo  saugaus elektroninės informacijos tvarkymo taisyklių, Visuomenės sveikatos stiprinimo paslaugų valdymo tobulinimo poreikiams gerinti informacinių technologijų sprendimo veiklos tęstinumo valdymo plano, Visuomenės sveikatos stiprinimo paslaugų valdymo tobulinimo poreikiams gerinti informacinių technologijų sprendimo naudotojų administravimo taisyklių patvirtinimo</w:t>
      </w:r>
      <w:r>
        <w:rPr>
          <w:rFonts w:cs="Times New Roman"/>
        </w:rPr>
        <w:t>“</w:t>
      </w:r>
      <w:r>
        <w:rPr>
          <w:rFonts w:cs="" w:asciiTheme="majorBidi" w:cstheme="majorBidi" w:hAnsiTheme="majorBidi"/>
          <w:color w:themeColor="text1" w:val="000000"/>
        </w:rPr>
        <w:t>.</w:t>
      </w:r>
    </w:p>
    <w:p>
      <w:pPr>
        <w:pStyle w:val="ListParagraph"/>
        <w:numPr>
          <w:ilvl w:val="1"/>
          <w:numId w:val="58"/>
        </w:numPr>
        <w:jc w:val="both"/>
        <w:rPr>
          <w:szCs w:val="24"/>
        </w:rPr>
      </w:pPr>
      <w:r>
        <w:rPr>
          <w:szCs w:val="24"/>
        </w:rPr>
        <w:t xml:space="preserve">Lietuvos Respublikos sveikatos apsaugos ministro 2018 m. rugsėjo 7 d. įsakymu </w:t>
      </w:r>
    </w:p>
    <w:p>
      <w:pPr>
        <w:pStyle w:val="ListParagraph"/>
        <w:numPr>
          <w:ilvl w:val="1"/>
          <w:numId w:val="58"/>
        </w:numPr>
        <w:jc w:val="both"/>
        <w:rPr>
          <w:szCs w:val="24"/>
        </w:rPr>
      </w:pPr>
      <w:r>
        <w:rPr>
          <w:szCs w:val="24"/>
        </w:rPr>
        <w:t>Nr. V-989 „Dėl Priklausomybės konsultavimo paslaugų rizikingai ir žalingai alkoholį vartojantiems asmenims teikimo tvarkos aprašo patvirtinimo“;</w:t>
      </w:r>
    </w:p>
    <w:p>
      <w:pPr>
        <w:pStyle w:val="ListParagraph"/>
        <w:numPr>
          <w:ilvl w:val="1"/>
          <w:numId w:val="58"/>
        </w:numPr>
        <w:jc w:val="both"/>
        <w:rPr>
          <w:szCs w:val="24"/>
        </w:rPr>
      </w:pPr>
      <w:r>
        <w:rPr>
          <w:szCs w:val="24"/>
        </w:rPr>
        <w:t>Lietuvos Respublikos sveikatos apsaugos ministro ir Lietuvos Respublikos švietimo, mokslo ir sporto ministro 2018 m. sausio 18 d. įsakymu Nr. V-60/V-39 „Dėl Ankstyvosios intervencijos programos vykdymo tvarkos aprašo patvirtinimo“;</w:t>
      </w:r>
    </w:p>
    <w:p>
      <w:pPr>
        <w:pStyle w:val="ListParagraph"/>
        <w:numPr>
          <w:ilvl w:val="1"/>
          <w:numId w:val="58"/>
        </w:numPr>
        <w:jc w:val="both"/>
        <w:rPr>
          <w:szCs w:val="24"/>
        </w:rPr>
      </w:pPr>
      <w:r>
        <w:rPr>
          <w:szCs w:val="24"/>
        </w:rPr>
        <w:t xml:space="preserve">Lietuvos Respublikos sveikatos apsaugos ministro 2020 m. spalio 22 d. įsakymu </w:t>
      </w:r>
    </w:p>
    <w:p>
      <w:pPr>
        <w:pStyle w:val="ListParagraph"/>
        <w:numPr>
          <w:ilvl w:val="1"/>
          <w:numId w:val="58"/>
        </w:numPr>
        <w:jc w:val="both"/>
        <w:rPr>
          <w:szCs w:val="24"/>
        </w:rPr>
      </w:pPr>
      <w:r>
        <w:rPr>
          <w:szCs w:val="24"/>
        </w:rPr>
        <w:t>Nr. V-2330 „Dėl Sveikos mitybos ir sveikatinamojo fizinio aktyvumo skatinimo tvarkos aprašo patvirtinimo“;</w:t>
      </w:r>
    </w:p>
    <w:p>
      <w:pPr>
        <w:pStyle w:val="ListParagraph"/>
        <w:numPr>
          <w:ilvl w:val="1"/>
          <w:numId w:val="58"/>
        </w:numPr>
        <w:jc w:val="both"/>
        <w:rPr>
          <w:szCs w:val="24"/>
        </w:rPr>
      </w:pPr>
      <w:r>
        <w:rPr>
          <w:szCs w:val="24"/>
        </w:rPr>
        <w:t>Lietuvos Respublikos sveikatos apsaugos ministro ir Lietuvos Respublikos švietimo, mokslo ir sporto ministro 2019 m. gegužės 31 d. įsakymu Nr. V-651/V-665 „Dėl mokyklų pripažinimo Sveikatą stiprinančiomis mokyklomis ir Aktyviomis mokyklomis tvarkos aprašo patvirtinimo“;</w:t>
      </w:r>
    </w:p>
    <w:p>
      <w:pPr>
        <w:pStyle w:val="ListParagraph"/>
        <w:numPr>
          <w:ilvl w:val="1"/>
          <w:numId w:val="58"/>
        </w:numPr>
        <w:jc w:val="both"/>
        <w:rPr>
          <w:szCs w:val="24"/>
        </w:rPr>
      </w:pPr>
      <w:r>
        <w:rPr>
          <w:szCs w:val="24"/>
        </w:rPr>
        <w:t xml:space="preserve">Lietuvos Respublikos sveikatos apsaugos ministro 2014 m. sausio 22 d. įsakymu </w:t>
      </w:r>
    </w:p>
    <w:p>
      <w:pPr>
        <w:pStyle w:val="ListParagraph"/>
        <w:numPr>
          <w:ilvl w:val="1"/>
          <w:numId w:val="58"/>
        </w:numPr>
        <w:jc w:val="both"/>
        <w:rPr>
          <w:szCs w:val="24"/>
        </w:rPr>
      </w:pPr>
      <w:r>
        <w:rPr>
          <w:szCs w:val="24"/>
        </w:rPr>
        <w:t>Nr. V-50 „Dėl maisto produktų ženklinimo simboliu „Rakto skylutė“;</w:t>
      </w:r>
    </w:p>
    <w:p>
      <w:pPr>
        <w:pStyle w:val="ListParagraph"/>
        <w:numPr>
          <w:ilvl w:val="1"/>
          <w:numId w:val="58"/>
        </w:numPr>
        <w:jc w:val="both"/>
        <w:rPr>
          <w:szCs w:val="24"/>
        </w:rPr>
      </w:pPr>
      <w:r>
        <w:rPr>
          <w:szCs w:val="24"/>
        </w:rPr>
        <w:t xml:space="preserve">Lietuvos Respublikos sveikatos apsaugos ministro 2021 m. sausio 22 d. įsakymu </w:t>
      </w:r>
    </w:p>
    <w:p>
      <w:pPr>
        <w:pStyle w:val="ListParagraph"/>
        <w:numPr>
          <w:ilvl w:val="1"/>
          <w:numId w:val="58"/>
        </w:numPr>
        <w:jc w:val="both"/>
        <w:rPr>
          <w:szCs w:val="24"/>
        </w:rPr>
      </w:pPr>
      <w:r>
        <w:rPr>
          <w:szCs w:val="24"/>
        </w:rPr>
        <w:t>Nr. V-119 „Dėl Sveikatinamojo fizinio aktyvumo skatinimo mokymų, skirtų vyresnio amžiaus asmenims, vykdymo savivaldybių visuomenės sveikatos biuruose, tvarkos aprašo patvirtinimo“;</w:t>
      </w:r>
    </w:p>
    <w:p>
      <w:pPr>
        <w:pStyle w:val="ListParagraph"/>
        <w:numPr>
          <w:ilvl w:val="1"/>
          <w:numId w:val="58"/>
        </w:numPr>
        <w:jc w:val="both"/>
        <w:rPr>
          <w:szCs w:val="24"/>
        </w:rPr>
      </w:pPr>
      <w:r>
        <w:rPr>
          <w:szCs w:val="24"/>
        </w:rPr>
        <w:t>Nuostatais;</w:t>
      </w:r>
    </w:p>
    <w:p>
      <w:pPr>
        <w:pStyle w:val="ListParagraph"/>
        <w:numPr>
          <w:ilvl w:val="1"/>
          <w:numId w:val="58"/>
        </w:numPr>
        <w:jc w:val="both"/>
        <w:rPr>
          <w:szCs w:val="24"/>
        </w:rPr>
      </w:pPr>
      <w:r>
        <w:rPr>
          <w:szCs w:val="24"/>
        </w:rPr>
        <w:t>kitais teisės aktais, reglamentuojančiais valstybės informacinių sistemų veiklą ir visuomenės sveikatos priežiūros paslaugų teikimą.</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Heading1"/>
        <w:numPr>
          <w:ilvl w:val="0"/>
          <w:numId w:val="58"/>
        </w:numPr>
        <w:rPr>
          <w:b/>
        </w:rPr>
      </w:pPr>
      <w:bookmarkStart w:id="106" w:name="_Toc192483648"/>
      <w:r>
        <w:rPr>
          <w:b/>
        </w:rPr>
        <w:t>IT sprendimo kūrimo (tobulinimo) valdymas</w:t>
      </w:r>
      <w:bookmarkEnd w:id="106"/>
    </w:p>
    <w:p>
      <w:pPr>
        <w:pStyle w:val="Heading2"/>
        <w:numPr>
          <w:ilvl w:val="1"/>
          <w:numId w:val="58"/>
        </w:numPr>
        <w:rPr>
          <w:b/>
        </w:rPr>
      </w:pPr>
      <w:bookmarkStart w:id="107" w:name="_Toc192483649"/>
      <w:r>
        <w:rPr>
          <w:b/>
        </w:rPr>
        <w:t>IT sprendimo kūrimo (tobulinimo) vykdymo tvarka</w:t>
      </w:r>
      <w:bookmarkEnd w:id="107"/>
    </w:p>
    <w:p>
      <w:pPr>
        <w:pStyle w:val="Normal"/>
        <w:rPr/>
      </w:pPr>
      <w:r>
        <w:rPr/>
      </w:r>
    </w:p>
    <w:p>
      <w:pPr>
        <w:pStyle w:val="Normal"/>
        <w:jc w:val="both"/>
        <w:rPr/>
      </w:pPr>
      <w:r>
        <w:rPr/>
        <w:t>Atsižvelgiant į IT sprendimo specifiką ir apimtį bei siekiant sėkmingo Projekto tikslų įgyvendinimo bus taikoma tokia projekto vykdymo organizacinė struktūra, kuri leistų operatyviai derinti ir priimti sprendimus, susijusius su projekto valdymu ir užtikrintų jų kokybę.</w:t>
      </w:r>
    </w:p>
    <w:p>
      <w:pPr>
        <w:pStyle w:val="Normal"/>
        <w:rPr/>
      </w:pPr>
      <w:r>
        <w:rPr/>
        <w:t>Projekto įgyvendinimo struktūrą sudaro:</w:t>
      </w:r>
    </w:p>
    <w:p>
      <w:pPr>
        <w:pStyle w:val="Normal"/>
        <w:rPr/>
      </w:pPr>
      <w:r>
        <w:rPr/>
        <w:t>Projekto priežiūros komisija (toliau – PPK);</w:t>
      </w:r>
    </w:p>
    <w:p>
      <w:pPr>
        <w:pStyle w:val="Normal"/>
        <w:rPr/>
      </w:pPr>
      <w:r>
        <w:rPr/>
        <w:t>Projekto darbo grupė (administravimo ir valdymo grupė);</w:t>
      </w:r>
    </w:p>
    <w:p>
      <w:pPr>
        <w:pStyle w:val="Normal"/>
        <w:rPr/>
      </w:pPr>
      <w:r>
        <w:rPr/>
        <w:t>Paslaugų teikėjo projekto darbo grupė;</w:t>
      </w:r>
    </w:p>
    <w:p>
      <w:pPr>
        <w:pStyle w:val="Normal"/>
        <w:rPr/>
      </w:pPr>
      <w:r>
        <w:rPr/>
        <w:t>Suinteresuotos šalys.</w:t>
      </w:r>
    </w:p>
    <w:p>
      <w:pPr>
        <w:pStyle w:val="Normal"/>
        <w:rPr/>
      </w:pPr>
      <w:r>
        <w:rPr/>
        <w:t>Projekto valdymo organizacinė struktūra pavaizduota toliau esančiame paveiksle.</w:t>
      </w:r>
    </w:p>
    <w:p>
      <w:pPr>
        <w:pStyle w:val="Normal"/>
        <w:rPr>
          <w:highlight w:val="red"/>
        </w:rPr>
      </w:pPr>
      <w:r>
        <w:rPr/>
        <w:drawing>
          <wp:inline distT="0" distB="0" distL="0" distR="0">
            <wp:extent cx="4643755" cy="2601595"/>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37"/>
                    <a:stretch>
                      <a:fillRect/>
                    </a:stretch>
                  </pic:blipFill>
                  <pic:spPr bwMode="auto">
                    <a:xfrm>
                      <a:off x="0" y="0"/>
                      <a:ext cx="4643755" cy="2601595"/>
                    </a:xfrm>
                    <a:prstGeom prst="rect">
                      <a:avLst/>
                    </a:prstGeom>
                  </pic:spPr>
                </pic:pic>
              </a:graphicData>
            </a:graphic>
          </wp:inline>
        </w:drawing>
      </w:r>
    </w:p>
    <w:p>
      <w:pPr>
        <w:pStyle w:val="Normal"/>
        <w:rPr/>
      </w:pPr>
      <w:r>
        <w:rPr/>
        <w:fldChar w:fldCharType="begin"/>
      </w:r>
      <w:r>
        <w:rPr/>
        <w:instrText xml:space="preserve"> SEQ Pav \* ARABIC </w:instrText>
      </w:r>
      <w:r>
        <w:rPr/>
        <w:fldChar w:fldCharType="separate"/>
      </w:r>
      <w:r>
        <w:rPr/>
        <w:t>13</w:t>
      </w:r>
      <w:r>
        <w:rPr/>
        <w:fldChar w:fldCharType="end"/>
      </w:r>
      <w:r>
        <w:rPr/>
        <w:t xml:space="preserve"> </w:t>
      </w:r>
      <w:r>
        <w:rPr/>
        <w:t>pav. Projekto valdymo organizacinė struktūra.</w:t>
      </w:r>
    </w:p>
    <w:p>
      <w:pPr>
        <w:pStyle w:val="Normal"/>
        <w:jc w:val="both"/>
        <w:rPr>
          <w:i/>
          <w:i/>
        </w:rPr>
      </w:pPr>
      <w:r>
        <w:rPr/>
        <w:fldChar w:fldCharType="begin"/>
      </w:r>
      <w:r>
        <w:rPr/>
        <w:instrText xml:space="preserve"> SEQ Lentelė \* ARABIC </w:instrText>
      </w:r>
      <w:r>
        <w:rPr/>
        <w:fldChar w:fldCharType="separate"/>
      </w:r>
      <w:r>
        <w:rPr/>
        <w:t>15</w:t>
      </w:r>
      <w:r>
        <w:rPr/>
        <w:fldChar w:fldCharType="end"/>
      </w:r>
      <w:r>
        <w:rPr>
          <w:i/>
        </w:rPr>
        <w:t xml:space="preserve"> </w:t>
      </w:r>
      <w:r>
        <w:rPr>
          <w:i/>
        </w:rPr>
        <w:t>lentelė. Organizacinės struktūros sudėtis ir funkcijos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501"/>
        <w:gridCol w:w="2598"/>
        <w:gridCol w:w="4031"/>
      </w:tblGrid>
      <w:tr>
        <w:trPr>
          <w:tblHeader w:val="true"/>
        </w:trPr>
        <w:tc>
          <w:tcPr>
            <w:tcW w:w="2501"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jc w:val="both"/>
              <w:rPr>
                <w:b/>
              </w:rPr>
            </w:pPr>
            <w:r>
              <w:rPr>
                <w:b/>
              </w:rPr>
              <w:t>Organizacinės struktūros vieneto pavadinimas</w:t>
            </w:r>
          </w:p>
        </w:tc>
        <w:tc>
          <w:tcPr>
            <w:tcW w:w="259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jc w:val="both"/>
              <w:rPr>
                <w:b/>
              </w:rPr>
            </w:pPr>
            <w:r>
              <w:rPr>
                <w:b/>
              </w:rPr>
              <w:t>Organizacinės struktūros vieneto sudėtis</w:t>
            </w:r>
          </w:p>
        </w:tc>
        <w:tc>
          <w:tcPr>
            <w:tcW w:w="4031"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jc w:val="both"/>
              <w:rPr>
                <w:b/>
              </w:rPr>
            </w:pPr>
            <w:r>
              <w:rPr>
                <w:b/>
              </w:rPr>
              <w:t>Atliekamos funkcijos</w:t>
            </w:r>
          </w:p>
        </w:tc>
      </w:tr>
      <w:tr>
        <w:trPr/>
        <w:tc>
          <w:tcPr>
            <w:tcW w:w="25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Priežiūros komisija</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HI vadovybė</w:t>
            </w:r>
          </w:p>
        </w:tc>
        <w:tc>
          <w:tcPr>
            <w:tcW w:w="403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lineRule="auto" w:line="240" w:before="40" w:after="0"/>
              <w:jc w:val="both"/>
              <w:rPr>
                <w:bCs/>
              </w:rPr>
            </w:pPr>
            <w:r>
              <w:rPr>
                <w:bCs/>
              </w:rPr>
              <w:t>Sprendimų dėl projekto apimties priėmimas;</w:t>
            </w:r>
          </w:p>
          <w:p>
            <w:pPr>
              <w:pStyle w:val="Normal"/>
              <w:numPr>
                <w:ilvl w:val="0"/>
                <w:numId w:val="45"/>
              </w:numPr>
              <w:spacing w:lineRule="auto" w:line="240" w:before="40" w:after="0"/>
              <w:jc w:val="both"/>
              <w:rPr>
                <w:bCs/>
              </w:rPr>
            </w:pPr>
            <w:r>
              <w:rPr>
                <w:bCs/>
              </w:rPr>
              <w:t>Projekto vykdymo kontrolė;</w:t>
            </w:r>
          </w:p>
          <w:p>
            <w:pPr>
              <w:pStyle w:val="Normal"/>
              <w:numPr>
                <w:ilvl w:val="0"/>
                <w:numId w:val="45"/>
              </w:numPr>
              <w:spacing w:lineRule="auto" w:line="240" w:before="40" w:after="0"/>
              <w:jc w:val="both"/>
              <w:rPr>
                <w:bCs/>
              </w:rPr>
            </w:pPr>
            <w:r>
              <w:rPr>
                <w:bCs/>
              </w:rPr>
              <w:t>Projekto galutinių rezultatų peržiūra ir tvirtinimas;</w:t>
            </w:r>
          </w:p>
          <w:p>
            <w:pPr>
              <w:pStyle w:val="Normal"/>
              <w:spacing w:lineRule="auto" w:line="240" w:before="40" w:after="0"/>
              <w:jc w:val="both"/>
              <w:rPr/>
            </w:pPr>
            <w:r>
              <w:rPr/>
              <w:t>Prioritetų nustatymas ir reikiamų resursų Projekto vykdymui skyrimas.</w:t>
            </w:r>
          </w:p>
        </w:tc>
      </w:tr>
      <w:tr>
        <w:trPr/>
        <w:tc>
          <w:tcPr>
            <w:tcW w:w="25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Administravimo ir</w:t>
            </w:r>
          </w:p>
          <w:p>
            <w:pPr>
              <w:pStyle w:val="Normal"/>
              <w:spacing w:before="40" w:after="160"/>
              <w:jc w:val="both"/>
              <w:rPr>
                <w:bCs/>
              </w:rPr>
            </w:pPr>
            <w:r>
              <w:rPr>
                <w:bCs/>
              </w:rPr>
              <w:t>vykdymo grupė</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HI, tiekėjų ekspertai, kiti ekspertai pagal poreikį</w:t>
            </w:r>
          </w:p>
        </w:tc>
        <w:tc>
          <w:tcPr>
            <w:tcW w:w="403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6"/>
              </w:numPr>
              <w:spacing w:lineRule="auto" w:line="240" w:before="40" w:after="0"/>
              <w:jc w:val="both"/>
              <w:rPr>
                <w:bCs/>
              </w:rPr>
            </w:pPr>
            <w:r>
              <w:rPr>
                <w:bCs/>
              </w:rPr>
              <w:t>Informacijos Teikėjų darbo grupių nariams teikimas;</w:t>
            </w:r>
          </w:p>
          <w:p>
            <w:pPr>
              <w:pStyle w:val="Normal"/>
              <w:numPr>
                <w:ilvl w:val="0"/>
                <w:numId w:val="46"/>
              </w:numPr>
              <w:spacing w:lineRule="auto" w:line="240" w:before="40" w:after="0"/>
              <w:jc w:val="both"/>
              <w:rPr>
                <w:bCs/>
              </w:rPr>
            </w:pPr>
            <w:r>
              <w:rPr>
                <w:bCs/>
              </w:rPr>
              <w:t>Informacijos rengimas ir teikimas PPK;</w:t>
            </w:r>
          </w:p>
          <w:p>
            <w:pPr>
              <w:pStyle w:val="Normal"/>
              <w:numPr>
                <w:ilvl w:val="0"/>
                <w:numId w:val="46"/>
              </w:numPr>
              <w:spacing w:lineRule="auto" w:line="240" w:before="40" w:after="0"/>
              <w:jc w:val="both"/>
              <w:rPr>
                <w:bCs/>
              </w:rPr>
            </w:pPr>
            <w:r>
              <w:rPr>
                <w:bCs/>
              </w:rPr>
              <w:t>Projekto suinteresuotų šalių koordinavimas;</w:t>
            </w:r>
          </w:p>
          <w:p>
            <w:pPr>
              <w:pStyle w:val="Normal"/>
              <w:numPr>
                <w:ilvl w:val="0"/>
                <w:numId w:val="46"/>
              </w:numPr>
              <w:spacing w:lineRule="auto" w:line="240" w:before="40" w:after="0"/>
              <w:jc w:val="both"/>
              <w:rPr>
                <w:bCs/>
              </w:rPr>
            </w:pPr>
            <w:r>
              <w:rPr>
                <w:bCs/>
              </w:rPr>
              <w:t>Rezultatų atitikties reikalavimams užtikrinimas;</w:t>
            </w:r>
          </w:p>
          <w:p>
            <w:pPr>
              <w:pStyle w:val="Normal"/>
              <w:numPr>
                <w:ilvl w:val="0"/>
                <w:numId w:val="46"/>
              </w:numPr>
              <w:spacing w:lineRule="auto" w:line="240" w:before="40" w:after="0"/>
              <w:jc w:val="both"/>
              <w:rPr>
                <w:bCs/>
              </w:rPr>
            </w:pPr>
            <w:r>
              <w:rPr>
                <w:bCs/>
              </w:rPr>
              <w:t>Tarpinių ir galutinių rezultatų peržiūra ir tvirtinimas;</w:t>
            </w:r>
          </w:p>
          <w:p>
            <w:pPr>
              <w:pStyle w:val="Normal"/>
              <w:numPr>
                <w:ilvl w:val="0"/>
                <w:numId w:val="46"/>
              </w:numPr>
              <w:spacing w:lineRule="auto" w:line="240" w:before="40" w:after="0"/>
              <w:jc w:val="both"/>
              <w:rPr>
                <w:bCs/>
              </w:rPr>
            </w:pPr>
            <w:r>
              <w:rPr>
                <w:bCs/>
              </w:rPr>
              <w:t>Veiklos sprendimų dėl Projekto įgyvendinimo apimties priėmimas;</w:t>
            </w:r>
          </w:p>
          <w:p>
            <w:pPr>
              <w:pStyle w:val="Normal"/>
              <w:numPr>
                <w:ilvl w:val="0"/>
                <w:numId w:val="46"/>
              </w:numPr>
              <w:spacing w:lineRule="auto" w:line="240" w:before="40" w:after="0"/>
              <w:jc w:val="both"/>
              <w:rPr>
                <w:bCs/>
              </w:rPr>
            </w:pPr>
            <w:r>
              <w:rPr>
                <w:bCs/>
              </w:rPr>
              <w:t>Projekto metu iškilusių problemų sprendimas.</w:t>
            </w:r>
          </w:p>
        </w:tc>
      </w:tr>
      <w:tr>
        <w:trPr/>
        <w:tc>
          <w:tcPr>
            <w:tcW w:w="25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Techninės priežiūros paslaugų teikėjas</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Techninės priežiūros paslaugas teikiančio</w:t>
            </w:r>
          </w:p>
          <w:p>
            <w:pPr>
              <w:pStyle w:val="Normal"/>
              <w:spacing w:before="40" w:after="160"/>
              <w:jc w:val="both"/>
              <w:rPr>
                <w:bCs/>
              </w:rPr>
            </w:pPr>
            <w:r>
              <w:rPr>
                <w:bCs/>
              </w:rPr>
              <w:t>paslaugų tiekėjo atsakingi specialistai</w:t>
            </w:r>
          </w:p>
        </w:tc>
        <w:tc>
          <w:tcPr>
            <w:tcW w:w="403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7"/>
              </w:numPr>
              <w:spacing w:lineRule="auto" w:line="240" w:before="40" w:after="0"/>
              <w:jc w:val="both"/>
              <w:rPr>
                <w:bCs/>
              </w:rPr>
            </w:pPr>
            <w:r>
              <w:rPr>
                <w:bCs/>
              </w:rPr>
              <w:t>Projekto techninė priežiūra;</w:t>
            </w:r>
          </w:p>
          <w:p>
            <w:pPr>
              <w:pStyle w:val="Normal"/>
              <w:numPr>
                <w:ilvl w:val="0"/>
                <w:numId w:val="47"/>
              </w:numPr>
              <w:spacing w:lineRule="auto" w:line="240" w:before="40" w:after="0"/>
              <w:jc w:val="both"/>
              <w:rPr>
                <w:bCs/>
              </w:rPr>
            </w:pPr>
            <w:r>
              <w:rPr>
                <w:bCs/>
              </w:rPr>
              <w:t>Informacijos apie iškilusias problemas teikimas ir jų sprendimų inicijavimas.</w:t>
            </w:r>
          </w:p>
        </w:tc>
      </w:tr>
      <w:tr>
        <w:trPr/>
        <w:tc>
          <w:tcPr>
            <w:tcW w:w="25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Sukūrimo ir</w:t>
            </w:r>
          </w:p>
          <w:p>
            <w:pPr>
              <w:pStyle w:val="Normal"/>
              <w:spacing w:before="40" w:after="160"/>
              <w:jc w:val="both"/>
              <w:rPr>
                <w:bCs/>
              </w:rPr>
            </w:pPr>
            <w:r>
              <w:rPr>
                <w:bCs/>
              </w:rPr>
              <w:t>įdiegimo tiekėjas</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IT sprendimo sukūrimo ir įdiegimo paslaugas teiksiančio paslaugų tiekėjo atsakingi specialistai</w:t>
            </w:r>
          </w:p>
        </w:tc>
        <w:tc>
          <w:tcPr>
            <w:tcW w:w="403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8"/>
              </w:numPr>
              <w:spacing w:lineRule="auto" w:line="240" w:before="40" w:after="0"/>
              <w:jc w:val="both"/>
              <w:rPr>
                <w:bCs/>
              </w:rPr>
            </w:pPr>
            <w:r>
              <w:rPr>
                <w:bCs/>
              </w:rPr>
              <w:t xml:space="preserve">Numatytų Projekto veiklų (Iniciavimo, analizės, projektavimo, konstravimo ir diegimo, testavimo bei bandomosios eksploatacijos) vykdymas; </w:t>
            </w:r>
          </w:p>
          <w:p>
            <w:pPr>
              <w:pStyle w:val="Normal"/>
              <w:numPr>
                <w:ilvl w:val="0"/>
                <w:numId w:val="48"/>
              </w:numPr>
              <w:spacing w:lineRule="auto" w:line="240" w:before="40" w:after="0"/>
              <w:jc w:val="both"/>
              <w:rPr>
                <w:bCs/>
              </w:rPr>
            </w:pPr>
            <w:r>
              <w:rPr>
                <w:bCs/>
              </w:rPr>
              <w:t>Atskaitomybė ir veiklos derinimas su techninės priežiūros vykdytoju ir projekto darbo grupe;</w:t>
            </w:r>
          </w:p>
          <w:p>
            <w:pPr>
              <w:pStyle w:val="Normal"/>
              <w:numPr>
                <w:ilvl w:val="0"/>
                <w:numId w:val="48"/>
              </w:numPr>
              <w:spacing w:lineRule="auto" w:line="240" w:before="40" w:after="0"/>
              <w:jc w:val="both"/>
              <w:rPr>
                <w:bCs/>
              </w:rPr>
            </w:pPr>
            <w:r>
              <w:rPr>
                <w:bCs/>
              </w:rPr>
              <w:t>Diegiamo IT sprendimo veikimo suderinimas su projekto darbo grupe.</w:t>
            </w:r>
          </w:p>
        </w:tc>
      </w:tr>
      <w:tr>
        <w:trPr/>
        <w:tc>
          <w:tcPr>
            <w:tcW w:w="25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Suinteresuotosios šalys</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VDI, kitos pagal poreikį</w:t>
            </w:r>
          </w:p>
        </w:tc>
        <w:tc>
          <w:tcPr>
            <w:tcW w:w="403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9"/>
              </w:numPr>
              <w:spacing w:lineRule="auto" w:line="240" w:before="40" w:after="0"/>
              <w:jc w:val="both"/>
              <w:rPr>
                <w:bCs/>
              </w:rPr>
            </w:pPr>
            <w:r>
              <w:rPr>
                <w:bCs/>
              </w:rPr>
              <w:t>Informacijos, susijusios su IT sprendimu, teikimas.</w:t>
            </w:r>
          </w:p>
        </w:tc>
      </w:tr>
    </w:tbl>
    <w:p>
      <w:pPr>
        <w:pStyle w:val="Normal"/>
        <w:jc w:val="both"/>
        <w:rPr>
          <w:i/>
          <w:i/>
        </w:rPr>
      </w:pPr>
      <w:r>
        <w:rPr>
          <w:i/>
        </w:rPr>
      </w:r>
    </w:p>
    <w:p>
      <w:pPr>
        <w:pStyle w:val="Heading2"/>
        <w:numPr>
          <w:ilvl w:val="1"/>
          <w:numId w:val="58"/>
        </w:numPr>
        <w:rPr>
          <w:b/>
        </w:rPr>
      </w:pPr>
      <w:bookmarkStart w:id="108" w:name="_Toc192483650"/>
      <w:r>
        <w:rPr>
          <w:b/>
        </w:rPr>
        <w:t>Pasirinktas kūrimo (tobulinimo) būdas</w:t>
      </w:r>
      <w:bookmarkEnd w:id="108"/>
    </w:p>
    <w:p>
      <w:pPr>
        <w:pStyle w:val="Normal"/>
        <w:rPr/>
      </w:pPr>
      <w:r>
        <w:rPr/>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IT sprendimo diegimas turės būti vykdomas iteraciniu metodu. Iteracijos gali būti vykdomos lygiagrečiai.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Inicijavimo etape Tiekėjas turės pasiūlyti ir su Perkančiąja organizacija suderinti funkcionalumus, kurie bus įgyvendinami kiekvienos iteracijos metu.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Kiekvieną iteraciją turi sudaryti etapai, nurodyti </w:t>
            </w:r>
            <w:r>
              <w:rPr>
                <w:rFonts w:eastAsia="Times New Roman" w:cs="Times New Roman"/>
                <w:szCs w:val="24"/>
              </w:rPr>
              <w:fldChar w:fldCharType="begin"/>
            </w:r>
            <w:r>
              <w:rPr>
                <w:szCs w:val="24"/>
                <w:rFonts w:eastAsia="Times New Roman" w:cs="Times New Roman"/>
              </w:rPr>
              <w:instrText xml:space="preserve"> REF ITsprendimodiegimoetapai \h </w:instrText>
            </w:r>
            <w:r>
              <w:rPr>
                <w:szCs w:val="24"/>
                <w:rFonts w:eastAsia="Times New Roman" w:cs="Times New Roman"/>
              </w:rPr>
              <w:fldChar w:fldCharType="separate"/>
            </w:r>
            <w:r>
              <w:rPr>
                <w:szCs w:val="24"/>
                <w:rFonts w:eastAsia="Times New Roman" w:cs="Times New Roman"/>
              </w:rPr>
              <w:t>16</w:t>
            </w:r>
            <w:r>
              <w:rPr>
                <w:szCs w:val="24"/>
                <w:rFonts w:eastAsia="Times New Roman" w:cs="Times New Roman"/>
              </w:rPr>
              <w:fldChar w:fldCharType="end"/>
            </w:r>
            <w:r>
              <w:rPr>
                <w:rFonts w:eastAsia="Times New Roman" w:cs="Times New Roman"/>
                <w:szCs w:val="24"/>
              </w:rPr>
              <w:t xml:space="preserve"> lentelėje. Etapai negali viršyti minėtoje lentelėje nurodytų trukmių.</w:t>
            </w:r>
          </w:p>
        </w:tc>
      </w:tr>
    </w:tbl>
    <w:p>
      <w:pPr>
        <w:pStyle w:val="Normal"/>
        <w:rPr/>
      </w:pPr>
      <w:r>
        <w:rPr/>
      </w:r>
    </w:p>
    <w:p>
      <w:pPr>
        <w:pStyle w:val="Heading2"/>
        <w:numPr>
          <w:ilvl w:val="1"/>
          <w:numId w:val="58"/>
        </w:numPr>
        <w:rPr>
          <w:b/>
        </w:rPr>
      </w:pPr>
      <w:bookmarkStart w:id="109" w:name="_Toc192483651"/>
      <w:r>
        <w:rPr>
          <w:b/>
        </w:rPr>
        <w:t>Finansavimo šaltiniai ir finansavimo tvarka</w:t>
      </w:r>
      <w:bookmarkEnd w:id="109"/>
    </w:p>
    <w:p>
      <w:pPr>
        <w:pStyle w:val="Normal"/>
        <w:rPr>
          <w:highlight w:val="red"/>
        </w:rPr>
      </w:pPr>
      <w:r>
        <w:rPr>
          <w:highlight w:val="red"/>
        </w:rPr>
      </w:r>
    </w:p>
    <w:p>
      <w:pPr>
        <w:pStyle w:val="Default"/>
        <w:rPr>
          <w:sz w:val="20"/>
          <w:szCs w:val="20"/>
        </w:rPr>
      </w:pPr>
      <w:r>
        <w:rPr>
          <w:rFonts w:eastAsia="Times New Roman" w:cs="Times New Roman" w:ascii="Times New Roman" w:hAnsi="Times New Roman"/>
          <w:lang w:val="lt-LT"/>
        </w:rPr>
        <w:t xml:space="preserve"> </w:t>
      </w:r>
      <w:r>
        <w:rPr>
          <w:rFonts w:eastAsia="Times New Roman" w:cs="Times New Roman" w:ascii="Times New Roman" w:hAnsi="Times New Roman"/>
          <w:lang w:val="lt-LT"/>
        </w:rPr>
        <w:t>IT sprendimo projektas finansuojamas Lietuvos Respublikos valstybės biudžeto lėšomis.</w:t>
      </w:r>
    </w:p>
    <w:p>
      <w:pPr>
        <w:pStyle w:val="Normal"/>
        <w:rPr>
          <w:highlight w:val="red"/>
        </w:rPr>
      </w:pPr>
      <w:r>
        <w:rPr>
          <w:highlight w:val="red"/>
        </w:rPr>
      </w:r>
    </w:p>
    <w:p>
      <w:pPr>
        <w:pStyle w:val="Normal"/>
        <w:rPr>
          <w:highlight w:val="red"/>
        </w:rPr>
      </w:pPr>
      <w:r>
        <w:rPr>
          <w:highlight w:val="red"/>
        </w:rPr>
      </w:r>
    </w:p>
    <w:p>
      <w:pPr>
        <w:pStyle w:val="Heading2"/>
        <w:numPr>
          <w:ilvl w:val="1"/>
          <w:numId w:val="58"/>
        </w:numPr>
        <w:rPr>
          <w:b/>
        </w:rPr>
      </w:pPr>
      <w:bookmarkStart w:id="110" w:name="_Toc192483652"/>
      <w:r>
        <w:rPr>
          <w:b/>
        </w:rPr>
        <w:t>Darbų grafikai</w:t>
      </w:r>
      <w:bookmarkEnd w:id="110"/>
    </w:p>
    <w:p>
      <w:pPr>
        <w:pStyle w:val="Normal"/>
        <w:rPr/>
      </w:pPr>
      <w:r>
        <w:rPr/>
      </w:r>
    </w:p>
    <w:p>
      <w:pPr>
        <w:pStyle w:val="Normal"/>
        <w:rPr>
          <w:highlight w:val="red"/>
        </w:rPr>
      </w:pPr>
      <w:r>
        <w:rPr/>
        <w:t>Šiame skyriuje pateikiami IT sprendimo įgyvendinimo etapai, jų rezultatai ir terminai.</w:t>
      </w:r>
    </w:p>
    <w:p>
      <w:pPr>
        <w:pStyle w:val="Normal"/>
        <w:rPr>
          <w:bCs/>
          <w:i/>
          <w:i/>
        </w:rPr>
      </w:pPr>
      <w:bookmarkStart w:id="111" w:name="ITsprendimodiegimoetapai"/>
      <w:r>
        <w:rPr>
          <w:i/>
        </w:rPr>
        <w:fldChar w:fldCharType="begin"/>
      </w:r>
      <w:r>
        <w:rPr>
          <w:i/>
        </w:rPr>
        <w:instrText xml:space="preserve"> SEQ Lentelė \* ARABIC </w:instrText>
      </w:r>
      <w:r>
        <w:rPr>
          <w:i/>
        </w:rPr>
        <w:fldChar w:fldCharType="separate"/>
      </w:r>
      <w:r>
        <w:rPr>
          <w:i/>
        </w:rPr>
        <w:t>16</w:t>
      </w:r>
      <w:r>
        <w:rPr>
          <w:i/>
        </w:rPr>
        <w:fldChar w:fldCharType="end"/>
      </w:r>
      <w:bookmarkEnd w:id="111"/>
      <w:r>
        <w:rPr>
          <w:i/>
        </w:rPr>
        <w:t xml:space="preserve"> </w:t>
      </w:r>
      <w:r>
        <w:rPr>
          <w:i/>
        </w:rPr>
        <w:t>lentelė.</w:t>
      </w:r>
      <w:r>
        <w:rPr>
          <w:bCs/>
          <w:i/>
        </w:rPr>
        <w:t xml:space="preserve"> </w:t>
      </w:r>
      <w:r>
        <w:rPr>
          <w:i/>
        </w:rPr>
        <w:t>IT sprendimo</w:t>
      </w:r>
      <w:r>
        <w:rPr>
          <w:bCs/>
          <w:i/>
        </w:rPr>
        <w:t xml:space="preserve"> diegimo etapai ir jų rezultatai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44"/>
        <w:gridCol w:w="1695"/>
        <w:gridCol w:w="4549"/>
        <w:gridCol w:w="2341"/>
      </w:tblGrid>
      <w:tr>
        <w:trPr>
          <w:tblHeader w:val="true"/>
        </w:trPr>
        <w:tc>
          <w:tcPr>
            <w:tcW w:w="54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Nr.</w:t>
            </w:r>
          </w:p>
        </w:tc>
        <w:tc>
          <w:tcPr>
            <w:tcW w:w="1695"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Etapo pavadinimas</w:t>
            </w:r>
          </w:p>
        </w:tc>
        <w:tc>
          <w:tcPr>
            <w:tcW w:w="454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Etapo rezultatai</w:t>
            </w:r>
          </w:p>
        </w:tc>
        <w:tc>
          <w:tcPr>
            <w:tcW w:w="2341"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Etapo trukmė</w:t>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0"/>
              </w:numPr>
              <w:spacing w:before="40" w:after="160"/>
              <w:rPr/>
            </w:pPr>
            <w:r>
              <w:rPr/>
            </w:r>
          </w:p>
        </w:tc>
        <w:tc>
          <w:tcPr>
            <w:tcW w:w="16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rPr>
            </w:pPr>
            <w:r>
              <w:rPr>
                <w:b/>
              </w:rPr>
              <w:t>Inicijavimas</w:t>
            </w:r>
          </w:p>
        </w:tc>
        <w:tc>
          <w:tcPr>
            <w:tcW w:w="45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Sutarties vykdymo reglamentas (sutarties vykdymo reglamentas kiekvienos iteracijos pradžioje esant poreikiui atnaujinimas).</w:t>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highlight w:val="none"/>
                <w:shd w:fill="FFFFFF" w:val="clear"/>
              </w:rPr>
            </w:pPr>
            <w:r>
              <w:rPr>
                <w:shd w:fill="FFFFFF" w:val="clear"/>
              </w:rPr>
              <w:t>Per 5 d.d. nuo Sutarties įsigaliojimo dienos.</w:t>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0"/>
              </w:numPr>
              <w:spacing w:before="40" w:after="160"/>
              <w:rPr/>
            </w:pPr>
            <w:r>
              <w:rPr/>
            </w:r>
          </w:p>
        </w:tc>
        <w:tc>
          <w:tcPr>
            <w:tcW w:w="16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rPr>
            </w:pPr>
            <w:r>
              <w:rPr>
                <w:b/>
              </w:rPr>
              <w:t>Iteracijų analizė</w:t>
            </w:r>
          </w:p>
        </w:tc>
        <w:tc>
          <w:tcPr>
            <w:tcW w:w="45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Detalios analizės ataskaita (konkrečios iteracijos metu vykdomų darbų apimtimi).</w:t>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highlight w:val="none"/>
                <w:shd w:fill="FFFFFF" w:val="clear"/>
              </w:rPr>
            </w:pPr>
            <w:r>
              <w:rPr>
                <w:shd w:fill="FFFFFF" w:val="clear"/>
              </w:rPr>
              <w:t>Per 2 mėn. nuo Sutarties įsigaliojimo dienos.</w:t>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0"/>
              </w:numPr>
              <w:spacing w:before="40" w:after="160"/>
              <w:rPr/>
            </w:pPr>
            <w:r>
              <w:rPr/>
            </w:r>
          </w:p>
        </w:tc>
        <w:tc>
          <w:tcPr>
            <w:tcW w:w="16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rPr>
            </w:pPr>
            <w:r>
              <w:rPr>
                <w:b/>
              </w:rPr>
              <w:t>Iteracijų projektavimas</w:t>
            </w:r>
          </w:p>
        </w:tc>
        <w:tc>
          <w:tcPr>
            <w:tcW w:w="45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Detalus projektavimo dokumentas (konkrečios iteracijos metu vykdomų darbų apimtimi).</w:t>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highlight w:val="none"/>
                <w:shd w:fill="FFFFFF" w:val="clear"/>
              </w:rPr>
            </w:pPr>
            <w:r>
              <w:rPr>
                <w:shd w:fill="FFFFFF" w:val="clear"/>
              </w:rPr>
              <w:t>Per 2 mėn. nuo Sutarties įsigaliojimo dienos.</w:t>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0"/>
              </w:numPr>
              <w:spacing w:before="40" w:after="160"/>
              <w:rPr/>
            </w:pPr>
            <w:r>
              <w:rPr/>
            </w:r>
          </w:p>
        </w:tc>
        <w:tc>
          <w:tcPr>
            <w:tcW w:w="16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rPr>
            </w:pPr>
            <w:r>
              <w:rPr>
                <w:b/>
              </w:rPr>
              <w:t>Iteracijų konstravimas</w:t>
            </w:r>
          </w:p>
        </w:tc>
        <w:tc>
          <w:tcPr>
            <w:tcW w:w="454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1"/>
              </w:numPr>
              <w:spacing w:before="40" w:after="160"/>
              <w:jc w:val="both"/>
              <w:rPr/>
            </w:pPr>
            <w:r>
              <w:rPr/>
              <w:t>Konstravimo etapo ataskaita.</w:t>
            </w:r>
          </w:p>
          <w:p>
            <w:pPr>
              <w:pStyle w:val="Normal"/>
              <w:numPr>
                <w:ilvl w:val="0"/>
                <w:numId w:val="51"/>
              </w:numPr>
              <w:spacing w:before="40" w:after="160"/>
              <w:jc w:val="both"/>
              <w:rPr/>
            </w:pPr>
            <w:r>
              <w:rPr/>
              <w:t>Perkančiosios organizacijos turimoje, arba Perkančiosios organizacijos nurodytoje, testinėje aplinkoje įdiegta programinė įranga, Perkančiosios organizacijos atstovams suteikti prisijungimo vardai ir slaptažodžiai prisijungimui prie testinės aplinkos.</w:t>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highlight w:val="none"/>
                <w:shd w:fill="FFFFFF" w:val="clear"/>
              </w:rPr>
            </w:pPr>
            <w:r>
              <w:rPr>
                <w:shd w:fill="FFFFFF" w:val="clear"/>
              </w:rPr>
              <w:t>Per 4 mėn. nuo Sutarties įsigaliojimo dienos.</w:t>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0"/>
              </w:numPr>
              <w:spacing w:before="40" w:after="160"/>
              <w:rPr/>
            </w:pPr>
            <w:r>
              <w:rPr/>
            </w:r>
          </w:p>
        </w:tc>
        <w:tc>
          <w:tcPr>
            <w:tcW w:w="16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rPr>
            </w:pPr>
            <w:r>
              <w:rPr>
                <w:b/>
              </w:rPr>
              <w:t>Iteracijų testavimas</w:t>
            </w:r>
          </w:p>
        </w:tc>
        <w:tc>
          <w:tcPr>
            <w:tcW w:w="454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2"/>
              </w:numPr>
              <w:spacing w:before="40" w:after="160"/>
              <w:jc w:val="both"/>
              <w:rPr>
                <w:highlight w:val="none"/>
                <w:shd w:fill="FFFFFF" w:val="clear"/>
              </w:rPr>
            </w:pPr>
            <w:r>
              <w:rPr>
                <w:shd w:fill="FFFFFF" w:val="clear"/>
              </w:rPr>
              <w:t>Testavimo planas ir metodika bei testavimo scenarijai (tik iteracinių testavimų apimtims ir konkrečios iteracijos metu vykdomų darbų apimtimi).</w:t>
            </w:r>
          </w:p>
          <w:p>
            <w:pPr>
              <w:pStyle w:val="Normal"/>
              <w:numPr>
                <w:ilvl w:val="0"/>
                <w:numId w:val="52"/>
              </w:numPr>
              <w:spacing w:before="40" w:after="160"/>
              <w:jc w:val="both"/>
              <w:rPr>
                <w:highlight w:val="none"/>
                <w:shd w:fill="FFFFFF" w:val="clear"/>
              </w:rPr>
            </w:pPr>
            <w:r>
              <w:rPr>
                <w:shd w:fill="FFFFFF" w:val="clear"/>
              </w:rPr>
              <w:t xml:space="preserve">Testavimo ir pakartotinio (esant poreikiui) testavimo ataskaitos. </w:t>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highlight w:val="none"/>
                <w:shd w:fill="FFFFFF" w:val="clear"/>
              </w:rPr>
            </w:pPr>
            <w:r>
              <w:rPr>
                <w:shd w:fill="FFFFFF" w:val="clear"/>
              </w:rPr>
              <w:t>Per 10 d.d. nuo iteracijų konstravimo etapo pabaigos.</w:t>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0"/>
              </w:numPr>
              <w:spacing w:before="40" w:after="160"/>
              <w:rPr/>
            </w:pPr>
            <w:r>
              <w:rPr/>
            </w:r>
          </w:p>
        </w:tc>
        <w:tc>
          <w:tcPr>
            <w:tcW w:w="16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iCs/>
              </w:rPr>
            </w:pPr>
            <w:r>
              <w:rPr>
                <w:b/>
                <w:iCs/>
              </w:rPr>
              <w:t>Iteracijų mokymai</w:t>
            </w:r>
          </w:p>
        </w:tc>
        <w:tc>
          <w:tcPr>
            <w:tcW w:w="454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3"/>
              </w:numPr>
              <w:spacing w:before="40" w:after="160"/>
              <w:jc w:val="both"/>
              <w:rPr>
                <w:highlight w:val="none"/>
                <w:shd w:fill="FFFFFF" w:val="clear"/>
              </w:rPr>
            </w:pPr>
            <w:r>
              <w:rPr>
                <w:shd w:fill="FFFFFF" w:val="clear"/>
              </w:rPr>
              <w:t>Mokymų planas.</w:t>
            </w:r>
          </w:p>
          <w:p>
            <w:pPr>
              <w:pStyle w:val="Normal"/>
              <w:numPr>
                <w:ilvl w:val="0"/>
                <w:numId w:val="53"/>
              </w:numPr>
              <w:jc w:val="both"/>
              <w:rPr>
                <w:highlight w:val="none"/>
                <w:shd w:fill="FFFFFF" w:val="clear"/>
              </w:rPr>
            </w:pPr>
            <w:r>
              <w:rPr>
                <w:shd w:fill="FFFFFF" w:val="clear"/>
              </w:rPr>
              <w:t>Administratorių ir naudotojų vadovai.</w:t>
            </w:r>
          </w:p>
          <w:p>
            <w:pPr>
              <w:pStyle w:val="Normal"/>
              <w:numPr>
                <w:ilvl w:val="0"/>
                <w:numId w:val="53"/>
              </w:numPr>
              <w:spacing w:before="40" w:after="160"/>
              <w:jc w:val="both"/>
              <w:rPr>
                <w:highlight w:val="none"/>
                <w:shd w:fill="FFFFFF" w:val="clear"/>
              </w:rPr>
            </w:pPr>
            <w:r>
              <w:rPr>
                <w:shd w:fill="FFFFFF" w:val="clear"/>
              </w:rPr>
              <w:t>Mokymų medžiaga.</w:t>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highlight w:val="none"/>
                <w:shd w:fill="FFFFFF" w:val="clear"/>
              </w:rPr>
            </w:pPr>
            <w:r>
              <w:rPr>
                <w:shd w:fill="FFFFFF" w:val="clear"/>
              </w:rPr>
              <w:t>Per 10 d.d. nuo iteracijų konstravimo etapo pabaigos.</w:t>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0"/>
              </w:numPr>
              <w:spacing w:before="40" w:after="160"/>
              <w:rPr/>
            </w:pPr>
            <w:r>
              <w:rPr/>
            </w:r>
          </w:p>
        </w:tc>
        <w:tc>
          <w:tcPr>
            <w:tcW w:w="16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iCs/>
              </w:rPr>
            </w:pPr>
            <w:r>
              <w:rPr>
                <w:b/>
                <w:iCs/>
              </w:rPr>
              <w:t>Iteracijų diegimas ir bandomoji eksploatacija</w:t>
            </w:r>
          </w:p>
        </w:tc>
        <w:tc>
          <w:tcPr>
            <w:tcW w:w="454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4"/>
              </w:numPr>
              <w:spacing w:before="40" w:after="160"/>
              <w:jc w:val="both"/>
              <w:rPr>
                <w:highlight w:val="none"/>
                <w:shd w:fill="FFFFFF" w:val="clear"/>
              </w:rPr>
            </w:pPr>
            <w:r>
              <w:rPr>
                <w:shd w:fill="FFFFFF" w:val="clear"/>
              </w:rPr>
              <w:t xml:space="preserve">Diegimo planas ir diegimo ataskaita. </w:t>
            </w:r>
          </w:p>
          <w:p>
            <w:pPr>
              <w:pStyle w:val="Normal"/>
              <w:numPr>
                <w:ilvl w:val="0"/>
                <w:numId w:val="54"/>
              </w:numPr>
              <w:jc w:val="both"/>
              <w:rPr>
                <w:highlight w:val="none"/>
                <w:shd w:fill="FFFFFF" w:val="clear"/>
              </w:rPr>
            </w:pPr>
            <w:r>
              <w:rPr>
                <w:shd w:fill="FFFFFF" w:val="clear"/>
              </w:rPr>
              <w:t xml:space="preserve">Bandomosios eksploatacijos planas. </w:t>
            </w:r>
          </w:p>
          <w:p>
            <w:pPr>
              <w:pStyle w:val="Normal"/>
              <w:numPr>
                <w:ilvl w:val="0"/>
                <w:numId w:val="54"/>
              </w:numPr>
              <w:jc w:val="both"/>
              <w:rPr>
                <w:highlight w:val="none"/>
                <w:shd w:fill="FFFFFF" w:val="clear"/>
              </w:rPr>
            </w:pPr>
            <w:r>
              <w:rPr>
                <w:shd w:fill="FFFFFF" w:val="clear"/>
              </w:rPr>
              <w:t xml:space="preserve">Bandomosios eksploatacijos ataskaita. </w:t>
            </w:r>
          </w:p>
          <w:p>
            <w:pPr>
              <w:pStyle w:val="Normal"/>
              <w:numPr>
                <w:ilvl w:val="0"/>
                <w:numId w:val="54"/>
              </w:numPr>
              <w:jc w:val="both"/>
              <w:rPr>
                <w:highlight w:val="none"/>
                <w:shd w:fill="FFFFFF" w:val="clear"/>
              </w:rPr>
            </w:pPr>
            <w:r>
              <w:rPr>
                <w:shd w:fill="FFFFFF" w:val="clear"/>
              </w:rPr>
              <w:t xml:space="preserve">Aprašyti ir perduoti Perkančiajai organizacijai išeities kodai. </w:t>
            </w:r>
          </w:p>
          <w:p>
            <w:pPr>
              <w:pStyle w:val="Normal"/>
              <w:numPr>
                <w:ilvl w:val="0"/>
                <w:numId w:val="54"/>
              </w:numPr>
              <w:jc w:val="both"/>
              <w:rPr>
                <w:highlight w:val="none"/>
                <w:shd w:fill="FFFFFF" w:val="clear"/>
              </w:rPr>
            </w:pPr>
            <w:r>
              <w:rPr>
                <w:shd w:fill="FFFFFF" w:val="clear"/>
              </w:rPr>
              <w:t>Galutinė sutarties įvykdymo ataskaita (pateikiama tik paskutinės iteracijos metu).</w:t>
            </w:r>
          </w:p>
          <w:p>
            <w:pPr>
              <w:pStyle w:val="Normal"/>
              <w:numPr>
                <w:ilvl w:val="0"/>
                <w:numId w:val="54"/>
              </w:numPr>
              <w:spacing w:before="40" w:after="160"/>
              <w:jc w:val="both"/>
              <w:rPr>
                <w:highlight w:val="none"/>
                <w:shd w:fill="FFFFFF" w:val="clear"/>
              </w:rPr>
            </w:pPr>
            <w:r>
              <w:rPr>
                <w:shd w:fill="FFFFFF" w:val="clear"/>
              </w:rPr>
              <w:t>Garantinio aptarnavimo reglamentas (pateikiamas tik paskutinės iteracijos metu).</w:t>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highlight w:val="none"/>
                <w:shd w:fill="FFFFFF" w:val="clear"/>
              </w:rPr>
            </w:pPr>
            <w:r>
              <w:rPr>
                <w:shd w:fill="FFFFFF" w:val="clear"/>
              </w:rPr>
              <w:t>Per 10 d.d. nuo iteracijų testavimo etapo pabaigos.</w:t>
            </w:r>
          </w:p>
        </w:tc>
      </w:tr>
    </w:tbl>
    <w:p>
      <w:pPr>
        <w:pStyle w:val="Normal"/>
        <w:rPr>
          <w:highlight w:val="red"/>
        </w:rPr>
      </w:pPr>
      <w:r>
        <w:rPr>
          <w:highlight w:val="red"/>
        </w:rPr>
      </w:r>
    </w:p>
    <w:p>
      <w:pPr>
        <w:pStyle w:val="Heading2"/>
        <w:numPr>
          <w:ilvl w:val="1"/>
          <w:numId w:val="58"/>
        </w:numPr>
        <w:rPr>
          <w:b/>
        </w:rPr>
      </w:pPr>
      <w:bookmarkStart w:id="112" w:name="_Toc192483653"/>
      <w:r>
        <w:rPr>
          <w:b/>
        </w:rPr>
        <w:t>Atitikimo veiklos ir realizavimo reikalavimams vertinimas (testavimas)</w:t>
      </w:r>
      <w:bookmarkEnd w:id="112"/>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Sutarties įgyvendinimo metu turi būti įgyvendintas įdiegtų funkcinių komponentų testavimas, remiantis iš anksto parengtais testavimo planu ir testavimo scenarijais.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IT sprendimo testavimo metu </w:t>
            </w:r>
            <w:r>
              <w:rPr/>
              <w:t>turi</w:t>
            </w:r>
            <w:r>
              <w:rPr>
                <w:rFonts w:eastAsia="Times New Roman" w:cs="Times New Roman"/>
                <w:szCs w:val="24"/>
              </w:rPr>
              <w:t xml:space="preserve"> būti:</w:t>
            </w:r>
          </w:p>
          <w:p>
            <w:pPr>
              <w:pStyle w:val="Normal"/>
              <w:numPr>
                <w:ilvl w:val="0"/>
                <w:numId w:val="54"/>
              </w:numPr>
              <w:jc w:val="both"/>
              <w:rPr>
                <w:rFonts w:eastAsia="Times New Roman" w:cs="Times New Roman"/>
                <w:szCs w:val="24"/>
              </w:rPr>
            </w:pPr>
            <w:r>
              <w:rPr>
                <w:rFonts w:eastAsia="Times New Roman" w:cs="Times New Roman"/>
                <w:szCs w:val="24"/>
              </w:rPr>
              <w:t xml:space="preserve">įsitikinta, kad yra įgyvendinti visi </w:t>
            </w:r>
            <w:r>
              <w:rPr/>
              <w:t>šioje</w:t>
            </w:r>
            <w:r>
              <w:rPr>
                <w:rFonts w:eastAsia="Times New Roman" w:cs="Times New Roman"/>
                <w:szCs w:val="24"/>
              </w:rPr>
              <w:t xml:space="preserve"> Techninėje specifikacijoje nustatyti funkciniai ir nefunkciniai reikalavimai;</w:t>
            </w:r>
          </w:p>
          <w:p>
            <w:pPr>
              <w:pStyle w:val="Normal"/>
              <w:numPr>
                <w:ilvl w:val="0"/>
                <w:numId w:val="54"/>
              </w:numPr>
              <w:jc w:val="both"/>
              <w:rPr/>
            </w:pPr>
            <w:r>
              <w:rPr/>
              <w:t>įsitikinta, kad reikalavimų įgyvendinimas atliktas tinkama apimtimi;</w:t>
            </w:r>
          </w:p>
          <w:p>
            <w:pPr>
              <w:pStyle w:val="Normal"/>
              <w:numPr>
                <w:ilvl w:val="0"/>
                <w:numId w:val="54"/>
              </w:numPr>
              <w:jc w:val="both"/>
              <w:rPr/>
            </w:pPr>
            <w:r>
              <w:rPr/>
              <w:t>įsitikinta, kad IT sprendimas atitinka jai keliamus saugumo, pajėgumo bei patogumo naudoti reikalavimus;</w:t>
            </w:r>
          </w:p>
          <w:p>
            <w:pPr>
              <w:pStyle w:val="Normal"/>
              <w:numPr>
                <w:ilvl w:val="0"/>
                <w:numId w:val="54"/>
              </w:numPr>
              <w:spacing w:before="40" w:after="160"/>
              <w:jc w:val="both"/>
              <w:rPr/>
            </w:pPr>
            <w:r>
              <w:rPr>
                <w:rFonts w:eastAsia="Times New Roman" w:cs="Times New Roman"/>
                <w:szCs w:val="24"/>
              </w:rPr>
              <w:t xml:space="preserve">identifikuotos, užregistruotos ir ištaisytos IT sprendimo funkcionalumų veikimo klaidos (angl. </w:t>
            </w:r>
            <w:r>
              <w:rPr>
                <w:rFonts w:eastAsia="Times New Roman" w:cs="Times New Roman"/>
                <w:i/>
                <w:szCs w:val="24"/>
              </w:rPr>
              <w:t>bugs</w:t>
            </w:r>
            <w:r>
              <w:rPr>
                <w:rFonts w:eastAsia="Times New Roman"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Turi būti atlikti šie IT sprendimo testavimai:</w:t>
            </w:r>
          </w:p>
          <w:p>
            <w:pPr>
              <w:pStyle w:val="Normal"/>
              <w:numPr>
                <w:ilvl w:val="0"/>
                <w:numId w:val="54"/>
              </w:numPr>
              <w:jc w:val="both"/>
              <w:rPr/>
            </w:pPr>
            <w:r>
              <w:rPr/>
              <w:t xml:space="preserve">vidiniai atskirų komponentų testavimai (angl. </w:t>
            </w:r>
            <w:r>
              <w:rPr>
                <w:i/>
              </w:rPr>
              <w:t>unit testing</w:t>
            </w:r>
            <w:r>
              <w:rPr/>
              <w:t>). Šiuos testavimus Tiekėjas turi atlikti kūrimo aplinkoje, nedalyvaujant Perkančiosios organizacijos atstovams, tačiau turi pateikti atliktų testavimų įrodymus;</w:t>
            </w:r>
          </w:p>
          <w:p>
            <w:pPr>
              <w:pStyle w:val="Normal"/>
              <w:numPr>
                <w:ilvl w:val="0"/>
                <w:numId w:val="54"/>
              </w:numPr>
              <w:spacing w:before="40" w:after="160"/>
              <w:jc w:val="both"/>
              <w:rPr/>
            </w:pPr>
            <w:r>
              <w:rPr/>
              <w:t xml:space="preserve">atskirų iteracijų metu įdiegtų komponentų testavimai (angl. </w:t>
            </w:r>
            <w:r>
              <w:rPr>
                <w:i/>
              </w:rPr>
              <w:t>functional testing</w:t>
            </w:r>
            <w:r>
              <w:rPr/>
              <w:t>). Šiuos testavimus Tiekėjas turi atlikti testinėje aplinkoje pagal Tiekėjo parengtą testavimo planą ir testavimo scenarijus, dalyvaujant Perkančiosios organizacijos atstovams ir</w:t>
            </w:r>
            <w:r>
              <w:rPr>
                <w:rFonts w:eastAsia="Times New Roman" w:cs="Times New Roman"/>
                <w:szCs w:val="24"/>
              </w:rPr>
              <w:t xml:space="preserve"> Projekto techninės priežiūros paslaugų teikėjo ekspertams, ir pateikti atliktų testavimų rezultatus apibendrinančią IT sprendimo testavimo ataskaitą.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Prieš kiekvieną testavimo etapą (išskyrus vidinį testavimą), Tiekėjas turi parengti ir su Perkančiąja organizacija suderinti testavimo planą. Testavimo plane turi būti aprašyta testavimo metodika, apimtis, aplinka (pvz., naršyklių, su kuriomis bus testuojama, versijos), testavimo scenarijų struktūra, testavimo veiklų grafikas, testavimui reikalingi duomenys (sąlygos), testavimo priėmimo kriterijai ir kita aktuali informacija.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Tiekėjas turi parengti ir pateikti visus testavimui reikalingus duomenis, įrankius ar kitas reikalingas priemones, taip pat parengti testavimo duomenis, reikalingus patikrinti šios Techninės specifikacijos funkcinių ir nefunkcinių reikalavimų įgyvendinimą.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Priėmimo testavimas turi būti vykdomas Perkančiosios organizacijos turimoje, arba Perkančiosios organizacijos nurodytoje, techninėje infrastruktūroje. Jeigu priėmimo testavimo metu nebus tokios galimybės, testavimas turės būti vykdomas naudojant Tiekėjo pateiktą techninę įrangą (jos pagrindu veikiančią testinę aplinką). Tokiu atveju Perkančiajai organizacijai pateikus reikalingą techninę įrangą, turės būti atliktas atskiras priėmimo testavimas.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Klaidų registravimui Tiekėjas turi pateikti tokį klaidų (problemų) registravimo įrankį, kuris būtų nuolatos prieinamas internetu Perkančiosios organizacijos atstovams.</w:t>
            </w:r>
          </w:p>
        </w:tc>
      </w:tr>
    </w:tbl>
    <w:p>
      <w:pPr>
        <w:pStyle w:val="Heading2"/>
        <w:numPr>
          <w:ilvl w:val="1"/>
          <w:numId w:val="58"/>
        </w:numPr>
        <w:rPr>
          <w:b/>
        </w:rPr>
      </w:pPr>
      <w:bookmarkStart w:id="113" w:name="_Toc192483654"/>
      <w:r>
        <w:rPr>
          <w:b/>
        </w:rPr>
        <w:t>Diegimas ir tinkamumo naudoti įvertinimas</w:t>
      </w:r>
      <w:bookmarkEnd w:id="113"/>
    </w:p>
    <w:p>
      <w:pPr>
        <w:pStyle w:val="Heading3"/>
        <w:numPr>
          <w:ilvl w:val="2"/>
          <w:numId w:val="58"/>
        </w:numPr>
        <w:rPr/>
      </w:pPr>
      <w:bookmarkStart w:id="114" w:name="_Toc192483655"/>
      <w:r>
        <w:rPr/>
        <w:t>Reikalavimai diegimui</w:t>
      </w:r>
      <w:bookmarkEnd w:id="114"/>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Iki sprendimo diegimo pradžios Tiekėjas turi parengti diegimo planą, kuriame turi būti pateikiama:</w:t>
            </w:r>
          </w:p>
          <w:p>
            <w:pPr>
              <w:pStyle w:val="Normal"/>
              <w:numPr>
                <w:ilvl w:val="0"/>
                <w:numId w:val="54"/>
              </w:numPr>
              <w:jc w:val="both"/>
              <w:rPr/>
            </w:pPr>
            <w:r>
              <w:rPr/>
              <w:t>diegimo dalyvių atsakomybės;</w:t>
            </w:r>
          </w:p>
          <w:p>
            <w:pPr>
              <w:pStyle w:val="Normal"/>
              <w:numPr>
                <w:ilvl w:val="0"/>
                <w:numId w:val="54"/>
              </w:numPr>
              <w:jc w:val="both"/>
              <w:rPr/>
            </w:pPr>
            <w:r>
              <w:rPr/>
              <w:t>diegimo veiklų aprašymai;</w:t>
            </w:r>
          </w:p>
          <w:p>
            <w:pPr>
              <w:pStyle w:val="Normal"/>
              <w:numPr>
                <w:ilvl w:val="0"/>
                <w:numId w:val="54"/>
              </w:numPr>
              <w:jc w:val="both"/>
              <w:rPr/>
            </w:pPr>
            <w:r>
              <w:rPr/>
              <w:t>diegimo veiklų grafikas;</w:t>
            </w:r>
          </w:p>
          <w:p>
            <w:pPr>
              <w:pStyle w:val="Normal"/>
              <w:numPr>
                <w:ilvl w:val="0"/>
                <w:numId w:val="54"/>
              </w:numPr>
              <w:jc w:val="both"/>
              <w:rPr/>
            </w:pPr>
            <w:r>
              <w:rPr/>
              <w:t>diegimo schema;</w:t>
            </w:r>
          </w:p>
          <w:p>
            <w:pPr>
              <w:pStyle w:val="Normal"/>
              <w:numPr>
                <w:ilvl w:val="0"/>
                <w:numId w:val="54"/>
              </w:numPr>
              <w:spacing w:before="40" w:after="160"/>
              <w:jc w:val="both"/>
              <w:rPr/>
            </w:pPr>
            <w:r>
              <w:rPr/>
              <w:t>IT sprendimo atstatymo aprašymą, įvykus nesėkmingam diegimui.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Tiekėjas turi paruošti bendrą IT sprendimo diegimo paketą, kurį Perkančioji organizacija galėtų įdiegti savarankiškai bet kada pasibaigus Projektui.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IT sprendimo diegimas turi būti vykdomas į Perkančiosios organizacijos turimą, arba nurodytą, techninę infrastruktūrą (diegimo aplinką).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Įgyvendinus visas suplanuotas diegimo veiklas, Tiekėjas turės parengti diegimo ataskaitą, kurioje būtų aprašyti diegimo veiklų rezultatai, išvados, esant poreikiui, nustatytos rizikos ir tolimesnių veiklų rekomendacijos.</w:t>
            </w:r>
          </w:p>
        </w:tc>
      </w:tr>
    </w:tbl>
    <w:p>
      <w:pPr>
        <w:pStyle w:val="Heading3"/>
        <w:numPr>
          <w:ilvl w:val="2"/>
          <w:numId w:val="58"/>
        </w:numPr>
        <w:rPr>
          <w:b w:val="false"/>
          <w:bCs w:val="false"/>
        </w:rPr>
      </w:pPr>
      <w:bookmarkStart w:id="115" w:name="_Toc192483656"/>
      <w:r>
        <w:rPr/>
        <w:t>Reikalavimai bandomajai eksploatacijai</w:t>
      </w:r>
      <w:bookmarkEnd w:id="115"/>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Iki bandomosios eksploatacijos pradžios Tiekėjas turi parengti bandomosios eksploatacijos planą, kuriame turi būti pateikiama:</w:t>
            </w:r>
          </w:p>
          <w:p>
            <w:pPr>
              <w:pStyle w:val="Normal"/>
              <w:numPr>
                <w:ilvl w:val="0"/>
                <w:numId w:val="54"/>
              </w:numPr>
              <w:jc w:val="both"/>
              <w:rPr/>
            </w:pPr>
            <w:r>
              <w:rPr/>
              <w:t>Bandomosios eksploatacijos vykdymo ir klaidų bei trūkumų fiksavimo tvarka;</w:t>
            </w:r>
          </w:p>
          <w:p>
            <w:pPr>
              <w:pStyle w:val="Normal"/>
              <w:numPr>
                <w:ilvl w:val="0"/>
                <w:numId w:val="54"/>
              </w:numPr>
              <w:jc w:val="both"/>
              <w:rPr/>
            </w:pPr>
            <w:r>
              <w:rPr/>
              <w:t>Bandomosios eksploatacijos dalyvių funkcijos ir atsakomybės;</w:t>
            </w:r>
          </w:p>
          <w:p>
            <w:pPr>
              <w:pStyle w:val="Normal"/>
              <w:numPr>
                <w:ilvl w:val="0"/>
                <w:numId w:val="54"/>
              </w:numPr>
              <w:spacing w:before="40" w:after="160"/>
              <w:jc w:val="both"/>
              <w:rPr/>
            </w:pPr>
            <w:r>
              <w:rPr/>
              <w:t>Bandomosios eksploatacijos veiklų grafikas.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Bandomoji eksploatacija turi būti vykdoma gamybinėje aplinkoje, naudotojams realiai dirbant su IT sprendimu.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Tiekėjas privalo pašalinti visas bandomosios eksploatacijos metu užfiksuotas klaidas ir trūkumus bandomosios eksploatacijos plane nustatyta tvarka.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Pagrindinės bandomosios eksploatacijos nuostatos:</w:t>
            </w:r>
          </w:p>
          <w:p>
            <w:pPr>
              <w:pStyle w:val="Normal"/>
              <w:numPr>
                <w:ilvl w:val="0"/>
                <w:numId w:val="54"/>
              </w:numPr>
              <w:jc w:val="both"/>
              <w:rPr/>
            </w:pPr>
            <w:r>
              <w:rPr/>
              <w:t>reakcijos į klaidą laikas – kritinės – ne ilgiau kaip 2, o nekritinės – ne ilgiau kaip 4 Perkančiosios organizacijos darbo laiko valandos. Reakcijos į klaidą laikas suprantamas kaip laikotarpis, kuris prasideda nuo problemos užregistravimo ir apima Tiekėjo vykdomą papildomų duomenų apie problemą surinkimą, problemos detalizaciją, atsakingų už problemos sprendimą asmenų priskyrimą. Reakcija į problemą nėra laikomas automatizuotas pranešimų siuntimas;</w:t>
            </w:r>
          </w:p>
          <w:p>
            <w:pPr>
              <w:pStyle w:val="Normal"/>
              <w:numPr>
                <w:ilvl w:val="0"/>
                <w:numId w:val="54"/>
              </w:numPr>
              <w:jc w:val="both"/>
              <w:rPr/>
            </w:pPr>
            <w:r>
              <w:rPr/>
              <w:t>kritinės klaidos sprendimo (klaidos šalinimo ir funkcionalumo atnaujinimo) trukmė – ne ilgiau kaip 8 Perkančiosios organizacijos darbo valandos nuo reakcijos laiko į problemą pabaigos. Jei gedimo per nurodytą laiką pašalinti negalima, su Perkančiąja organizacija turi būti suderinama dėl gedimo pašalinimo laiko;</w:t>
            </w:r>
          </w:p>
          <w:p>
            <w:pPr>
              <w:pStyle w:val="Normal"/>
              <w:numPr>
                <w:ilvl w:val="0"/>
                <w:numId w:val="54"/>
              </w:numPr>
              <w:spacing w:before="40" w:after="160"/>
              <w:jc w:val="both"/>
              <w:rPr/>
            </w:pPr>
            <w:r>
              <w:rPr/>
              <w:t>nekritinės klaidos sprendimo (problemos šalinimo ir funkcionalumo atnaujinimo) trukmė – ne ilgiau kaip 16 Perkančiosios organizacijos darbo valandų nuo reakcijos laiko į problemą pabaigos. Jei gedimo per nurodytą laiką pašalinti negalima, su Perkančiąja organizacija turi būti suderinama dėl gedimo pašalinimo laiko;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Pasibaigus bandomajai eksploatacijai, Tiekėjas turi pateikti jos rezultatus apibendrinančią ataskaitą, kurioje būtų pateikiama informacija apie bandomosios eksploatacijos metu nustatytus ir iki bandomosios eksploatacijos pabaigos pašalintus klaidas ir trūkumus.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Bandomosios eksploatacijos metu atlikus programinio kodo pakeitimus, Tiekėjas privalo Perkančiajai organizacijai pateikti atnaujintas (galutines) IT sprendimo techninės dokumentacijos ir išeities kodo versijas. Perkančiajai organizacijai turi turėti galimybę atlikti diegimo testą, siekiant įsitikinti pateiktų išeities kodų tinkamumu tolimesniam naudojimui.</w:t>
            </w:r>
          </w:p>
        </w:tc>
      </w:tr>
    </w:tbl>
    <w:p>
      <w:pPr>
        <w:pStyle w:val="Heading3"/>
        <w:numPr>
          <w:ilvl w:val="2"/>
          <w:numId w:val="58"/>
        </w:numPr>
        <w:rPr/>
      </w:pPr>
      <w:bookmarkStart w:id="116" w:name="_Toc192483657"/>
      <w:r>
        <w:rPr/>
        <w:t>Reikalavimai garantinei priežiūrai ir palaikymui</w:t>
      </w:r>
      <w:bookmarkEnd w:id="116"/>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Garantinės priežiūros objektai yra visi Tiekėjo įdiegti ir Perkančiosios organizacijos priimti eksploatuoti Sistemos komponentai.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Visiems Sutarties rezultato elementams, kuriems pagal Civilinį kodeksą būtų galimybė sutartiniu įsipareigojimu suteikti kokybės garantijos terminą, pirkimo sutartimi turi būti suteikiamas 12 mėnesių garantinės priežiūros terminas, kurio pradžia laikoma paskutinio galutinio priėmimo – perdavimo akto pasirašymo diena.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Garantinės priežiūros metu klaidų ir / ar trikdžių registravimui turi būti naudojama specializuota problemų registravimo programinė įranga (angl. </w:t>
            </w:r>
            <w:r>
              <w:rPr>
                <w:rFonts w:eastAsia="Times New Roman" w:cs="Times New Roman"/>
                <w:i/>
                <w:szCs w:val="24"/>
              </w:rPr>
              <w:t>issue tracking software</w:t>
            </w:r>
            <w:r>
              <w:rPr>
                <w:rFonts w:eastAsia="Times New Roman" w:cs="Times New Roman"/>
                <w:szCs w:val="24"/>
              </w:rPr>
              <w:t xml:space="preserve">), pasiekiama naudojant interneto naršyklę. </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Garantinės priežiūros metu modifikavus IT sprendimą ar jo komponentą, tiekėjas, suderinęs su Perkančiąja organizacija, pateikia (arba atitinkamai pakeičia pateiktus) tokius Perkančiosios organizacijos patvirtintus rezultatus:</w:t>
            </w:r>
          </w:p>
          <w:p>
            <w:pPr>
              <w:pStyle w:val="Normal"/>
              <w:numPr>
                <w:ilvl w:val="0"/>
                <w:numId w:val="54"/>
              </w:numPr>
              <w:jc w:val="both"/>
              <w:rPr/>
            </w:pPr>
            <w:r>
              <w:rPr/>
              <w:t>administratorių ir naudotojų vadovus, pagalbos vadovus;</w:t>
            </w:r>
          </w:p>
          <w:p>
            <w:pPr>
              <w:pStyle w:val="Normal"/>
              <w:numPr>
                <w:ilvl w:val="0"/>
                <w:numId w:val="54"/>
              </w:numPr>
              <w:jc w:val="both"/>
              <w:rPr/>
            </w:pPr>
            <w:r>
              <w:rPr/>
              <w:t>kitą techninę dokumentaciją suderintą Garantinio aptarnavimo reglamente;</w:t>
            </w:r>
          </w:p>
          <w:p>
            <w:pPr>
              <w:pStyle w:val="Normal"/>
              <w:numPr>
                <w:ilvl w:val="0"/>
                <w:numId w:val="54"/>
              </w:numPr>
              <w:spacing w:before="40" w:after="160"/>
              <w:jc w:val="both"/>
              <w:rPr/>
            </w:pPr>
            <w:r>
              <w:rPr/>
              <w:t>ištaisytų IT sprendimo nekoduotas programines priemones, programinius kodus ir visą kitą dokumentaciją, reikalingą IT sprendimo modifikuoti, keisti, tvarkyti ir pan.</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Tiekėjas privalo kaip įmanoma greičiau patikslinti informaciją apie trikties ir / ar klaidos rimtumą bei apie preliminarų numatomą trikties ir / ar klaidos pašalinimo terminą.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Klaidos ir / ar triktys klasifikuojamos:</w:t>
            </w:r>
          </w:p>
          <w:p>
            <w:pPr>
              <w:pStyle w:val="Normal"/>
              <w:numPr>
                <w:ilvl w:val="0"/>
                <w:numId w:val="54"/>
              </w:numPr>
              <w:jc w:val="both"/>
              <w:rPr/>
            </w:pPr>
            <w:r>
              <w:rPr/>
              <w:t>kritinė klaida – kai nustatyta triktis ir / ar klaida, dėl kurios IT sprendimo naudotojas negali vykdyti numatytų būtinų funkcijų ir nežinomas joks kitas alternatyvus šios funkcijos vykdymas;</w:t>
            </w:r>
          </w:p>
          <w:p>
            <w:pPr>
              <w:pStyle w:val="Normal"/>
              <w:numPr>
                <w:ilvl w:val="0"/>
                <w:numId w:val="54"/>
              </w:numPr>
              <w:jc w:val="both"/>
              <w:rPr/>
            </w:pPr>
            <w:r>
              <w:rPr/>
              <w:t>didelė klaida – tai nuolat pasikartojanti IT sprendimo veikimo triktis ir / ar klaida, dėl kurios IT sprendimo veikimas tampa nestabilus ir (ar) nesaugus ir kuri kliudo naudotojui vykdyti būtinas funkcijas, tačiau yra žinomas alternatyvus funkcijos vykdymas;</w:t>
            </w:r>
          </w:p>
          <w:p>
            <w:pPr>
              <w:pStyle w:val="Normal"/>
              <w:numPr>
                <w:ilvl w:val="0"/>
                <w:numId w:val="54"/>
              </w:numPr>
              <w:spacing w:before="40" w:after="160"/>
              <w:jc w:val="both"/>
              <w:rPr/>
            </w:pPr>
            <w:r>
              <w:rPr/>
              <w:t>maža klaida – IT sprendimo veikimo triktis ir / ar klaida, dėl kurios Sistemos naudotojas funkcijų vykdymą atlieka, tačiau jos atliekamos kitokiu nei įprastas nuoseklumu arba gautas rezultatas nesutampa su rezultatu, gautu kitais būdais, arba sulėtėja IT sprendimo veikimas, arba gali susidaryti grėsmė elektroninės informacijos saugai.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Trikties ir / ar klaidos šalinimui numatomi tokie įvykdymo terminai, skaičiuojant nuo klaidos ir / ar trikties registravimo specializuotoje problemų registravimo ir sekimo programinėje įrangoje momento iki klaidos ir / ar trikties pašalinimo:</w:t>
            </w:r>
          </w:p>
          <w:p>
            <w:pPr>
              <w:pStyle w:val="Normal"/>
              <w:numPr>
                <w:ilvl w:val="0"/>
                <w:numId w:val="54"/>
              </w:numPr>
              <w:jc w:val="both"/>
              <w:rPr/>
            </w:pPr>
            <w:r>
              <w:rPr/>
              <w:t>kritinės klaidos atveju – ne daugiau kaip 4 darbo valandos. Jei per 4 darbo valandas kritinės klaidos atvejo pašalinti nepavyksta, Tiekėjas Perkančiajai organizacijai padeda įvykdyti reikiamas funkcijas alternatyviomis priemonėmis. Tokiu atveju Tiekėjas kritinę klaidą įsipareigoja pašalinti per 16 darbo valandų, skaičiuojant nuo kritinės klaidos pirminio nukreipimo Tiekėjui momento;</w:t>
            </w:r>
          </w:p>
          <w:p>
            <w:pPr>
              <w:pStyle w:val="Normal"/>
              <w:numPr>
                <w:ilvl w:val="0"/>
                <w:numId w:val="54"/>
              </w:numPr>
              <w:jc w:val="both"/>
              <w:rPr/>
            </w:pPr>
            <w:r>
              <w:rPr/>
              <w:t>didelės klaidos atveju – ne daugiau kaip 16 darbo valandų. Jei per 16 darbo valandų didelės klaidos atvejo pašalinti nepavyksta, Tiekėjas Perkančiajai organizacijai padeda įvykdyti reikiamą funkciją alternatyviomis priemonėmis. Tokiu atveju Tiekėjas didelės klaidos atvejį įsipareigoja pašalinti per 40 darbo valandų, skaičiuojant nuo didelės klaidos pirminio nukreipimo Tiekėjui momento;</w:t>
            </w:r>
          </w:p>
          <w:p>
            <w:pPr>
              <w:pStyle w:val="Normal"/>
              <w:numPr>
                <w:ilvl w:val="0"/>
                <w:numId w:val="54"/>
              </w:numPr>
              <w:spacing w:before="40" w:after="160"/>
              <w:jc w:val="both"/>
              <w:rPr/>
            </w:pPr>
            <w:r>
              <w:rPr/>
              <w:t>mažos klaidos atveju – ne daugiau kaip 40 darbo valandų. Jei per 40 darbo valandų klaidos atvejo pašalinti nepavyksta, Tiekėjas Perkančiajai organizacijai padeda įvykdyti reikiamą funkciją alternatyviomis priemonėmis. Tokiu atveju Tiekėjas klaidos atvejį įsipareigoja pašalinti per 80 darbo valandų, skaičiuojant nuo mažos klaidos pirminio nukreipimo Tiekėjui momento.</w:t>
            </w:r>
          </w:p>
        </w:tc>
      </w:tr>
    </w:tbl>
    <w:p>
      <w:pPr>
        <w:pStyle w:val="Normal"/>
        <w:spacing w:before="40" w:after="160"/>
        <w:rPr>
          <w:highlight w:val="red"/>
        </w:rPr>
      </w:pPr>
      <w:r>
        <w:rPr>
          <w:highlight w:val="red"/>
        </w:rPr>
      </w:r>
    </w:p>
    <w:sectPr>
      <w:headerReference w:type="default" r:id="rId38"/>
      <w:headerReference w:type="first" r:id="rId39"/>
      <w:footerReference w:type="default" r:id="rId40"/>
      <w:footerReference w:type="first" r:id="rId41"/>
      <w:type w:val="nextPage"/>
      <w:pgSz w:w="12240" w:h="15840"/>
      <w:pgMar w:left="1555" w:right="1555" w:gutter="0" w:header="864" w:top="1980" w:footer="720" w:bottom="180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Tahoma">
    <w:charset w:val="00"/>
    <w:family w:val="roman"/>
    <w:pitch w:val="variable"/>
  </w:font>
  <w:font w:name="Consolas">
    <w:charset w:val="00"/>
    <w:family w:val="roman"/>
    <w:pitch w:val="variable"/>
  </w:font>
  <w:font w:name="Segoe UI">
    <w:charset w:val="00"/>
    <w:family w:val="roman"/>
    <w:pitch w:val="variable"/>
  </w:font>
  <w:font w:name="Liberation Sans">
    <w:altName w:val="Arial"/>
    <w:charset w:val="00"/>
    <w:family w:val="swiss"/>
    <w:pitch w:val="variable"/>
  </w:font>
  <w:font w:name="TimesLT">
    <w:charset w:val="00"/>
    <w:family w:val="roman"/>
    <w:pitch w:val="variable"/>
  </w:font>
  <w:font w:name="Georgia">
    <w:charset w:val="00"/>
    <w:family w:val="roman"/>
    <w:pitch w:val="variable"/>
  </w:font>
  <w:font w:name="Cambria">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4" w:space="6" w:color="B1C0CD" w:themeColor="accent1" w:themeTint="99"/>
        <w:left w:val="single" w:sz="2" w:space="4" w:color="FFFFFF" w:themeColor="light1"/>
      </w:pBdr>
      <w:spacing w:lineRule="auto" w:line="240" w:before="40" w:after="0"/>
      <w:ind w:left="-360" w:right="-360"/>
      <w:rPr/>
    </w:pPr>
    <w:r>
      <w:rPr/>
      <w:fldChar w:fldCharType="begin"/>
    </w:r>
    <w:r>
      <w:rPr/>
      <w:instrText xml:space="preserve"> PAGE </w:instrText>
    </w:r>
    <w:r>
      <w:rPr/>
      <w:fldChar w:fldCharType="separate"/>
    </w:r>
    <w:r>
      <w:rPr/>
      <w:t>17</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4" w:space="6" w:color="B1C0CD" w:themeColor="accent1" w:themeTint="99"/>
        <w:left w:val="single" w:sz="2" w:space="4" w:color="FFFFFF" w:themeColor="light1"/>
      </w:pBdr>
      <w:spacing w:lineRule="auto" w:line="240" w:before="40" w:after="0"/>
      <w:ind w:left="-360" w:right="-360"/>
      <w:rPr/>
    </w:pPr>
    <w:r>
      <w:rPr/>
      <w:fldChar w:fldCharType="begin"/>
    </w:r>
    <w:r>
      <w:rPr/>
      <w:instrText xml:space="preserve"> PAGE </w:instrText>
    </w:r>
    <w:r>
      <w:rPr/>
      <w:fldChar w:fldCharType="separate"/>
    </w:r>
    <w:r>
      <w:rPr/>
      <w:t>80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Cambria" w:hAnsi="Cambria" w:cs="Cambria" w:hint="default"/>
        <w:color w:themeColor="accent1" w:val="7E97A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1800"/>
        </w:tabs>
        <w:ind w:left="18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0"/>
        </w:tabs>
        <w:ind w:left="360" w:hanging="360"/>
      </w:pPr>
      <w:rPr/>
    </w:lvl>
    <w:lvl w:ilvl="1">
      <w:start w:val="1"/>
      <w:numFmt w:val="decimal"/>
      <w:suff w:val="space"/>
      <w:lvlText w:val="%1.%2"/>
      <w:lvlJc w:val="left"/>
      <w:pPr>
        <w:tabs>
          <w:tab w:val="num" w:pos="0"/>
        </w:tabs>
        <w:ind w:left="936" w:hanging="576"/>
      </w:pPr>
      <w:rPr/>
    </w:lvl>
    <w:lvl w:ilvl="2">
      <w:start w:val="1"/>
      <w:numFmt w:val="lowerLetter"/>
      <w:lvlText w:val="%3."/>
      <w:lvlJc w:val="left"/>
      <w:pPr>
        <w:tabs>
          <w:tab w:val="num" w:pos="0"/>
        </w:tabs>
        <w:ind w:left="720" w:hanging="360"/>
      </w:pPr>
      <w:rPr/>
    </w:lvl>
    <w:lvl w:ilvl="3">
      <w:start w:val="1"/>
      <w:numFmt w:val="lowerRoman"/>
      <w:lvlText w:val="%4."/>
      <w:lvlJc w:val="left"/>
      <w:pPr>
        <w:tabs>
          <w:tab w:val="num" w:pos="0"/>
        </w:tabs>
        <w:ind w:left="1080" w:hanging="360"/>
      </w:pPr>
      <w:rPr/>
    </w:lvl>
    <w:lvl w:ilvl="4">
      <w:start w:val="1"/>
      <w:numFmt w:val="lowerLetter"/>
      <w:lvlText w:val="(%5)"/>
      <w:lvlJc w:val="left"/>
      <w:pPr>
        <w:tabs>
          <w:tab w:val="num" w:pos="0"/>
        </w:tabs>
        <w:ind w:left="1800" w:hanging="360"/>
      </w:pPr>
      <w:rPr/>
    </w:lvl>
    <w:lvl w:ilvl="5">
      <w:start w:val="1"/>
      <w:numFmt w:val="lowerRoman"/>
      <w:lvlText w:val="(%6)"/>
      <w:lvlJc w:val="left"/>
      <w:pPr>
        <w:tabs>
          <w:tab w:val="num" w:pos="0"/>
        </w:tabs>
        <w:ind w:left="2160" w:hanging="360"/>
      </w:pPr>
      <w:rPr/>
    </w:lvl>
    <w:lvl w:ilvl="6">
      <w:start w:val="1"/>
      <w:numFmt w:val="decimal"/>
      <w:lvlText w:val="%7."/>
      <w:lvlJc w:val="left"/>
      <w:pPr>
        <w:tabs>
          <w:tab w:val="num" w:pos="0"/>
        </w:tabs>
        <w:ind w:left="2520" w:hanging="360"/>
      </w:pPr>
      <w:rPr/>
    </w:lvl>
    <w:lvl w:ilvl="7">
      <w:start w:val="1"/>
      <w:numFmt w:val="lowerLetter"/>
      <w:lvlText w:val="%8."/>
      <w:lvlJc w:val="left"/>
      <w:pPr>
        <w:tabs>
          <w:tab w:val="num" w:pos="0"/>
        </w:tabs>
        <w:ind w:left="2880" w:hanging="360"/>
      </w:pPr>
      <w:rPr/>
    </w:lvl>
    <w:lvl w:ilvl="8">
      <w:start w:val="1"/>
      <w:numFmt w:val="lowerRoman"/>
      <w:lvlText w:val="%9."/>
      <w:lvlJc w:val="left"/>
      <w:pPr>
        <w:tabs>
          <w:tab w:val="num" w:pos="0"/>
        </w:tabs>
        <w:ind w:left="3240" w:hanging="360"/>
      </w:pPr>
      <w:rPr/>
    </w:lvl>
  </w:abstractNum>
  <w:abstractNum w:abstractNumId="7">
    <w:lvl w:ilvl="0">
      <w:start w:val="1"/>
      <w:numFmt w:val="decimal"/>
      <w:lvlText w:val="FR-%1."/>
      <w:lvlJc w:val="left"/>
      <w:pPr>
        <w:tabs>
          <w:tab w:val="num" w:pos="0"/>
        </w:tabs>
        <w:ind w:left="0" w:hanging="0"/>
      </w:pPr>
      <w:rPr>
        <w:sz w:val="24"/>
        <w:szCs w:val="22"/>
      </w:rPr>
    </w:lvl>
    <w:lvl w:ilvl="1">
      <w:start w:val="1"/>
      <w:numFmt w:val="decimal"/>
      <w:lvlText w:val="FR-%1.%2."/>
      <w:lvlJc w:val="left"/>
      <w:pPr>
        <w:tabs>
          <w:tab w:val="num" w:pos="0"/>
        </w:tabs>
        <w:ind w:left="0" w:hanging="0"/>
      </w:pPr>
      <w:rPr>
        <w:sz w:val="24"/>
        <w:szCs w:val="22"/>
      </w:rPr>
    </w:lvl>
    <w:lvl w:ilvl="2">
      <w:start w:val="1"/>
      <w:numFmt w:val="decimal"/>
      <w:lvlText w:val="FR-%1.%2.%3."/>
      <w:lvlJc w:val="left"/>
      <w:pPr>
        <w:tabs>
          <w:tab w:val="num" w:pos="0"/>
        </w:tabs>
        <w:ind w:left="1224" w:hanging="1224"/>
      </w:pPr>
      <w:rPr/>
    </w:lvl>
    <w:lvl w:ilvl="3">
      <w:start w:val="1"/>
      <w:numFmt w:val="decimal"/>
      <w:lvlText w:val="FR-%1.%2.%3.%4."/>
      <w:lvlJc w:val="left"/>
      <w:pPr>
        <w:tabs>
          <w:tab w:val="num" w:pos="0"/>
        </w:tabs>
        <w:ind w:left="1728" w:hanging="1728"/>
      </w:pPr>
      <w:rPr/>
    </w:lvl>
    <w:lvl w:ilvl="4">
      <w:start w:val="1"/>
      <w:numFmt w:val="decimal"/>
      <w:lvlText w:val="FR-%1.%2.%3.%4.%5."/>
      <w:lvlJc w:val="left"/>
      <w:pPr>
        <w:tabs>
          <w:tab w:val="num" w:pos="0"/>
        </w:tabs>
        <w:ind w:left="2232" w:hanging="223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i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decimal"/>
      <w:lvlText w:val="%1)"/>
      <w:lvlJc w:val="left"/>
      <w:pPr>
        <w:tabs>
          <w:tab w:val="num" w:pos="0"/>
        </w:tabs>
        <w:ind w:left="720" w:hanging="360"/>
      </w:pPr>
      <w:rPr>
        <w:i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450" w:hanging="45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800" w:hanging="180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37">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38">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39">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40">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4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43">
    <w:lvl w:ilvl="0">
      <w:start w:val="1"/>
      <w:numFmt w:val="decimal"/>
      <w:lvlText w:val="NR-%1."/>
      <w:lvlJc w:val="left"/>
      <w:pPr>
        <w:tabs>
          <w:tab w:val="num" w:pos="0"/>
        </w:tabs>
        <w:ind w:left="0" w:hanging="0"/>
      </w:pPr>
      <w:rPr>
        <w:sz w:val="24"/>
        <w:szCs w:val="22"/>
      </w:rPr>
    </w:lvl>
    <w:lvl w:ilvl="1">
      <w:start w:val="1"/>
      <w:numFmt w:val="decimal"/>
      <w:lvlText w:val="FR-%1.%2."/>
      <w:lvlJc w:val="left"/>
      <w:pPr>
        <w:tabs>
          <w:tab w:val="num" w:pos="0"/>
        </w:tabs>
        <w:ind w:left="0" w:hanging="0"/>
      </w:pPr>
      <w:rPr>
        <w:sz w:val="24"/>
        <w:szCs w:val="22"/>
      </w:rPr>
    </w:lvl>
    <w:lvl w:ilvl="2">
      <w:start w:val="1"/>
      <w:numFmt w:val="decimal"/>
      <w:lvlText w:val="FR-%1.%2.%3."/>
      <w:lvlJc w:val="left"/>
      <w:pPr>
        <w:tabs>
          <w:tab w:val="num" w:pos="0"/>
        </w:tabs>
        <w:ind w:left="1224" w:hanging="1224"/>
      </w:pPr>
      <w:rPr/>
    </w:lvl>
    <w:lvl w:ilvl="3">
      <w:start w:val="1"/>
      <w:numFmt w:val="decimal"/>
      <w:lvlText w:val="FR-%1.%2.%3.%4."/>
      <w:lvlJc w:val="left"/>
      <w:pPr>
        <w:tabs>
          <w:tab w:val="num" w:pos="0"/>
        </w:tabs>
        <w:ind w:left="1728" w:hanging="1728"/>
      </w:pPr>
      <w:rPr/>
    </w:lvl>
    <w:lvl w:ilvl="4">
      <w:start w:val="1"/>
      <w:numFmt w:val="decimal"/>
      <w:lvlText w:val="FR-%1.%2.%3.%4.%5."/>
      <w:lvlJc w:val="left"/>
      <w:pPr>
        <w:tabs>
          <w:tab w:val="num" w:pos="0"/>
        </w:tabs>
        <w:ind w:left="2232" w:hanging="223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4">
    <w:lvl w:ilvl="0">
      <w:start w:val="1"/>
      <w:numFmt w:val="bullet"/>
      <w:lvlText w:val=""/>
      <w:lvlJc w:val="left"/>
      <w:pPr>
        <w:tabs>
          <w:tab w:val="num" w:pos="0"/>
        </w:tabs>
        <w:ind w:left="720" w:hanging="360"/>
      </w:pPr>
      <w:rPr>
        <w:rFonts w:ascii="Symbol" w:hAnsi="Symbol" w:cs="Symbol" w:hint="default"/>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lvl w:ilvl="0">
      <w:start w:val="1"/>
      <w:numFmt w:val="decimal"/>
      <w:lvlText w:val="%1."/>
      <w:lvlJc w:val="left"/>
      <w:pPr>
        <w:tabs>
          <w:tab w:val="num" w:pos="0"/>
        </w:tabs>
        <w:ind w:left="0" w:hanging="0"/>
      </w:pPr>
      <w:rPr>
        <w:sz w:val="22"/>
        <w:szCs w:val="22"/>
      </w:rPr>
    </w:lvl>
    <w:lvl w:ilvl="1">
      <w:start w:val="1"/>
      <w:numFmt w:val="decimal"/>
      <w:lvlText w:val="%1.%2."/>
      <w:lvlJc w:val="left"/>
      <w:pPr>
        <w:tabs>
          <w:tab w:val="num" w:pos="0"/>
        </w:tabs>
        <w:ind w:left="0" w:hanging="0"/>
      </w:pPr>
      <w:rPr>
        <w:sz w:val="22"/>
        <w:szCs w:val="22"/>
      </w:rPr>
    </w:lvl>
    <w:lvl w:ilvl="2">
      <w:start w:val="1"/>
      <w:numFmt w:val="decimal"/>
      <w:lvlText w:val="%1.%2.%3."/>
      <w:lvlJc w:val="left"/>
      <w:pPr>
        <w:tabs>
          <w:tab w:val="num" w:pos="0"/>
        </w:tabs>
        <w:ind w:left="1224" w:hanging="1224"/>
      </w:pPr>
      <w:rPr/>
    </w:lvl>
    <w:lvl w:ilvl="3">
      <w:start w:val="1"/>
      <w:numFmt w:val="decimal"/>
      <w:lvlText w:val="%1.%2.%3.%4."/>
      <w:lvlJc w:val="left"/>
      <w:pPr>
        <w:tabs>
          <w:tab w:val="num" w:pos="0"/>
        </w:tabs>
        <w:ind w:left="1728" w:hanging="1728"/>
      </w:pPr>
      <w:rPr/>
    </w:lvl>
    <w:lvl w:ilvl="4">
      <w:start w:val="1"/>
      <w:numFmt w:val="decimal"/>
      <w:lvlText w:val="%1.%2.%3.%4.%5."/>
      <w:lvlJc w:val="left"/>
      <w:pPr>
        <w:tabs>
          <w:tab w:val="num" w:pos="0"/>
        </w:tabs>
        <w:ind w:left="2232" w:hanging="223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5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decimal"/>
      <w:lvlText w:val="PR-%1."/>
      <w:lvlJc w:val="left"/>
      <w:pPr>
        <w:tabs>
          <w:tab w:val="num" w:pos="0"/>
        </w:tabs>
        <w:ind w:left="0" w:hanging="0"/>
      </w:pPr>
      <w:rPr>
        <w:sz w:val="24"/>
        <w:szCs w:val="22"/>
      </w:rPr>
    </w:lvl>
    <w:lvl w:ilvl="1">
      <w:start w:val="1"/>
      <w:numFmt w:val="decimal"/>
      <w:lvlText w:val="FR-%1.%2."/>
      <w:lvlJc w:val="left"/>
      <w:pPr>
        <w:tabs>
          <w:tab w:val="num" w:pos="0"/>
        </w:tabs>
        <w:ind w:left="0" w:hanging="0"/>
      </w:pPr>
      <w:rPr>
        <w:sz w:val="24"/>
        <w:szCs w:val="22"/>
      </w:rPr>
    </w:lvl>
    <w:lvl w:ilvl="2">
      <w:start w:val="1"/>
      <w:numFmt w:val="decimal"/>
      <w:lvlText w:val="FR-%1.%2.%3."/>
      <w:lvlJc w:val="left"/>
      <w:pPr>
        <w:tabs>
          <w:tab w:val="num" w:pos="0"/>
        </w:tabs>
        <w:ind w:left="1224" w:hanging="1224"/>
      </w:pPr>
      <w:rPr/>
    </w:lvl>
    <w:lvl w:ilvl="3">
      <w:start w:val="1"/>
      <w:numFmt w:val="decimal"/>
      <w:lvlText w:val="FR-%1.%2.%3.%4."/>
      <w:lvlJc w:val="left"/>
      <w:pPr>
        <w:tabs>
          <w:tab w:val="num" w:pos="0"/>
        </w:tabs>
        <w:ind w:left="1728" w:hanging="1728"/>
      </w:pPr>
      <w:rPr/>
    </w:lvl>
    <w:lvl w:ilvl="4">
      <w:start w:val="1"/>
      <w:numFmt w:val="decimal"/>
      <w:lvlText w:val="FR-%1.%2.%3.%4.%5."/>
      <w:lvlJc w:val="left"/>
      <w:pPr>
        <w:tabs>
          <w:tab w:val="num" w:pos="0"/>
        </w:tabs>
        <w:ind w:left="2232" w:hanging="223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56">
    <w:lvl w:ilvl="0">
      <w:start w:val="1"/>
      <w:numFmt w:val="decimal"/>
      <w:lvlText w:val="%1."/>
      <w:lvlJc w:val="left"/>
      <w:pPr>
        <w:tabs>
          <w:tab w:val="num" w:pos="0"/>
        </w:tabs>
        <w:ind w:left="450" w:hanging="45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800" w:hanging="180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57">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58">
    <w:lvl w:ilvl="0">
      <w:start w:val="3"/>
      <w:numFmt w:val="decimal"/>
      <w:lvlText w:val="%1."/>
      <w:lvlJc w:val="left"/>
      <w:pPr>
        <w:tabs>
          <w:tab w:val="num" w:pos="0"/>
        </w:tabs>
        <w:ind w:left="360" w:hanging="360"/>
      </w:pPr>
      <w:rPr/>
    </w:lvl>
    <w:lvl w:ilvl="1">
      <w:start w:val="1"/>
      <w:numFmt w:val="decimal"/>
      <w:lvlText w:val="%1.%2."/>
      <w:lvlJc w:val="left"/>
      <w:pPr>
        <w:tabs>
          <w:tab w:val="num" w:pos="0"/>
        </w:tabs>
        <w:ind w:left="720" w:hanging="360"/>
      </w:pPr>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1800" w:hanging="72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2880" w:hanging="1080"/>
      </w:pPr>
      <w:rPr/>
    </w:lvl>
    <w:lvl w:ilvl="6">
      <w:start w:val="1"/>
      <w:numFmt w:val="decimal"/>
      <w:lvlText w:val="%1.%2.%3.%4.%5.%6.%7."/>
      <w:lvlJc w:val="left"/>
      <w:pPr>
        <w:tabs>
          <w:tab w:val="num" w:pos="0"/>
        </w:tabs>
        <w:ind w:left="3600" w:hanging="1440"/>
      </w:pPr>
      <w:rPr/>
    </w:lvl>
    <w:lvl w:ilvl="7">
      <w:start w:val="1"/>
      <w:numFmt w:val="decimal"/>
      <w:lvlText w:val="%1.%2.%3.%4.%5.%6.%7.%8."/>
      <w:lvlJc w:val="left"/>
      <w:pPr>
        <w:tabs>
          <w:tab w:val="num" w:pos="0"/>
        </w:tabs>
        <w:ind w:left="3960" w:hanging="1440"/>
      </w:pPr>
      <w:rPr/>
    </w:lvl>
    <w:lvl w:ilvl="8">
      <w:start w:val="1"/>
      <w:numFmt w:val="decimal"/>
      <w:lvlText w:val="%1.%2.%3.%4.%5.%6.%7.%8.%9."/>
      <w:lvlJc w:val="left"/>
      <w:pPr>
        <w:tabs>
          <w:tab w:val="num" w:pos="0"/>
        </w:tabs>
        <w:ind w:left="4680" w:hanging="1800"/>
      </w:pPr>
      <w:rPr/>
    </w:lvl>
  </w:abstractNum>
  <w:abstractNum w:abstractNumId="5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37"/>
  </w:num>
  <w:num w:numId="61">
    <w:abstractNumId w:val="37"/>
  </w:num>
  <w:num w:numId="62">
    <w:abstractNumId w:val="37"/>
  </w:num>
  <w:num w:numId="63">
    <w:abstractNumId w:val="37"/>
  </w:num>
  <w:num w:numId="64">
    <w:abstractNumId w:val="37"/>
  </w:num>
  <w:num w:numId="65">
    <w:abstractNumId w:val="37"/>
  </w:num>
  <w:num w:numId="66">
    <w:abstractNumId w:val="37"/>
  </w:num>
  <w:num w:numId="67">
    <w:abstractNumId w:val="37"/>
  </w:num>
  <w:num w:numId="68">
    <w:abstractNumId w:val="37"/>
  </w:num>
  <w:num w:numId="69">
    <w:abstractNumId w:val="37"/>
  </w:num>
  <w:num w:numId="70">
    <w:abstractNumId w:val="37"/>
  </w:num>
  <w:num w:numId="71">
    <w:abstractNumId w:val="3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color w:themeColor="text1" w:themeTint="a6" w:val="595959"/>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semiHidden="1" w:qFormat="1"/>
    <w:lsdException w:name="Closing" w:semiHidden="1" w:unhideWhenUsed="1"/>
    <w:lsdException w:name="Signature" w:uiPriority="9" w:semiHidden="1" w:unhideWhenUsed="1" w:qFormat="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semiHidden="1" w:qFormat="1"/>
    <w:lsdException w:name="Quote" w:uiPriority="9" w:semiHidden="1" w:qFormat="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1f54"/>
    <w:pPr>
      <w:widowControl/>
      <w:bidi w:val="0"/>
      <w:spacing w:lineRule="auto" w:line="288" w:before="40" w:after="160"/>
      <w:jc w:val="left"/>
    </w:pPr>
    <w:rPr>
      <w:rFonts w:ascii="Times New Roman" w:hAnsi="Times New Roman" w:eastAsia="Cambria" w:cs=""/>
      <w:color w:themeColor="text1" w:themeTint="a6" w:val="auto"/>
      <w:kern w:val="2"/>
      <w:sz w:val="24"/>
      <w:szCs w:val="20"/>
      <w:lang w:val="lt-LT" w:eastAsia="ja-JP" w:bidi="ar-SA"/>
    </w:rPr>
  </w:style>
  <w:style w:type="paragraph" w:styleId="Heading1">
    <w:name w:val="Heading 1"/>
    <w:basedOn w:val="Normal"/>
    <w:next w:val="Normal"/>
    <w:link w:val="Heading1Char"/>
    <w:uiPriority w:val="1"/>
    <w:qFormat/>
    <w:rsid w:val="00891ac5"/>
    <w:pPr>
      <w:pageBreakBefore/>
      <w:spacing w:lineRule="auto" w:line="240" w:before="120" w:after="60"/>
      <w:ind w:firstLine="357"/>
      <w:outlineLvl w:val="0"/>
    </w:pPr>
    <w:rPr>
      <w:color w:themeColor="accent1" w:themeShade="bf" w:val="577188"/>
      <w:sz w:val="32"/>
    </w:rPr>
  </w:style>
  <w:style w:type="paragraph" w:styleId="Heading2">
    <w:name w:val="Heading 2"/>
    <w:basedOn w:val="Normal"/>
    <w:next w:val="Normal"/>
    <w:link w:val="Heading2Char"/>
    <w:uiPriority w:val="1"/>
    <w:unhideWhenUsed/>
    <w:qFormat/>
    <w:rsid w:val="00891ac5"/>
    <w:pPr>
      <w:keepNext w:val="true"/>
      <w:keepLines/>
      <w:spacing w:lineRule="auto" w:line="240" w:before="360" w:after="60"/>
      <w:outlineLvl w:val="1"/>
    </w:pPr>
    <w:rPr>
      <w:rFonts w:eastAsia="" w:cs="" w:cstheme="majorBidi" w:eastAsiaTheme="majorEastAsia"/>
      <w:color w:themeColor="accent1" w:themeShade="bf" w:val="577188"/>
      <w:sz w:val="28"/>
      <w14:ligatures w14:val="standardContextual"/>
    </w:rPr>
  </w:style>
  <w:style w:type="paragraph" w:styleId="Heading3">
    <w:name w:val="Heading 3"/>
    <w:basedOn w:val="Normal"/>
    <w:next w:val="Normal"/>
    <w:link w:val="Heading3Char"/>
    <w:uiPriority w:val="1"/>
    <w:unhideWhenUsed/>
    <w:qFormat/>
    <w:rsid w:val="00b20152"/>
    <w:pPr>
      <w:keepNext w:val="true"/>
      <w:keepLines/>
      <w:spacing w:before="200" w:after="0"/>
      <w:outlineLvl w:val="2"/>
    </w:pPr>
    <w:rPr>
      <w:rFonts w:eastAsia="" w:cs="" w:cstheme="majorBidi" w:eastAsiaTheme="majorEastAsia"/>
      <w:b/>
      <w:bCs/>
      <w:color w:themeColor="accent1" w:themeShade="bf" w:val="577188"/>
      <w14:ligatures w14:val="standardContextual"/>
    </w:rPr>
  </w:style>
  <w:style w:type="paragraph" w:styleId="Heading4">
    <w:name w:val="Heading 4"/>
    <w:basedOn w:val="Normal"/>
    <w:next w:val="Normal"/>
    <w:link w:val="Heading4Char"/>
    <w:uiPriority w:val="18"/>
    <w:semiHidden/>
    <w:unhideWhenUsed/>
    <w:qFormat/>
    <w:pPr>
      <w:keepNext w:val="true"/>
      <w:keepLines/>
      <w:spacing w:before="200" w:after="0"/>
      <w:outlineLvl w:val="3"/>
    </w:pPr>
    <w:rPr>
      <w:rFonts w:ascii="Calibri" w:hAnsi="Calibri" w:eastAsia="" w:cs="" w:asciiTheme="majorHAnsi" w:cstheme="majorBidi" w:eastAsiaTheme="majorEastAsia" w:hAnsiTheme="majorHAnsi"/>
      <w:b/>
      <w:bCs/>
      <w:i/>
      <w:iCs/>
      <w:color w:themeColor="accent1" w:val="7E97AD"/>
    </w:rPr>
  </w:style>
  <w:style w:type="paragraph" w:styleId="Heading5">
    <w:name w:val="Heading 5"/>
    <w:basedOn w:val="Normal"/>
    <w:next w:val="Normal"/>
    <w:link w:val="Heading5Char"/>
    <w:uiPriority w:val="18"/>
    <w:semiHidden/>
    <w:unhideWhenUsed/>
    <w:qFormat/>
    <w:pPr>
      <w:keepNext w:val="true"/>
      <w:keepLines/>
      <w:spacing w:before="200" w:after="0"/>
      <w:outlineLvl w:val="4"/>
    </w:pPr>
    <w:rPr>
      <w:rFonts w:ascii="Calibri" w:hAnsi="Calibri" w:eastAsia="" w:cs="" w:asciiTheme="majorHAnsi" w:cstheme="majorBidi" w:eastAsiaTheme="majorEastAsia" w:hAnsiTheme="majorHAnsi"/>
      <w:color w:themeColor="accent1" w:themeShade="7f" w:val="394B5A"/>
    </w:rPr>
  </w:style>
  <w:style w:type="paragraph" w:styleId="Heading6">
    <w:name w:val="Heading 6"/>
    <w:basedOn w:val="Normal"/>
    <w:next w:val="Normal"/>
    <w:link w:val="Heading6Char"/>
    <w:uiPriority w:val="18"/>
    <w:semiHidden/>
    <w:unhideWhenUsed/>
    <w:qFormat/>
    <w:pPr>
      <w:keepNext w:val="true"/>
      <w:keepLines/>
      <w:spacing w:before="200" w:after="0"/>
      <w:outlineLvl w:val="5"/>
    </w:pPr>
    <w:rPr>
      <w:rFonts w:ascii="Calibri" w:hAnsi="Calibri" w:eastAsia="" w:cs="" w:asciiTheme="majorHAnsi" w:cstheme="majorBidi" w:eastAsiaTheme="majorEastAsia" w:hAnsiTheme="majorHAnsi"/>
      <w:i/>
      <w:iCs/>
      <w:color w:themeColor="accent1" w:themeShade="7f" w:val="394B5A"/>
    </w:rPr>
  </w:style>
  <w:style w:type="paragraph" w:styleId="Heading7">
    <w:name w:val="Heading 7"/>
    <w:basedOn w:val="Normal"/>
    <w:next w:val="Normal"/>
    <w:link w:val="Heading7Char"/>
    <w:uiPriority w:val="18"/>
    <w:semiHidden/>
    <w:unhideWhenUsed/>
    <w:qFormat/>
    <w:pPr>
      <w:keepNext w:val="true"/>
      <w:keepLines/>
      <w:spacing w:before="200" w:after="0"/>
      <w:outlineLvl w:val="6"/>
    </w:pPr>
    <w:rPr>
      <w:rFonts w:ascii="Calibri" w:hAnsi="Calibri" w:eastAsia="" w:cs="" w:asciiTheme="majorHAnsi" w:cstheme="majorBidi" w:eastAsiaTheme="majorEastAsia" w:hAnsiTheme="majorHAnsi"/>
      <w:i/>
      <w:iCs/>
      <w:color w:themeColor="text1" w:themeTint="bf" w:val="404040"/>
    </w:rPr>
  </w:style>
  <w:style w:type="paragraph" w:styleId="Heading8">
    <w:name w:val="Heading 8"/>
    <w:basedOn w:val="Normal"/>
    <w:next w:val="Normal"/>
    <w:link w:val="Heading8Char"/>
    <w:uiPriority w:val="18"/>
    <w:semiHidden/>
    <w:unhideWhenUsed/>
    <w:qFormat/>
    <w:pPr>
      <w:keepNext w:val="true"/>
      <w:keepLines/>
      <w:spacing w:before="200" w:after="0"/>
      <w:outlineLvl w:val="7"/>
    </w:pPr>
    <w:rPr>
      <w:rFonts w:ascii="Calibri" w:hAnsi="Calibri" w:eastAsia="" w:cs="" w:asciiTheme="majorHAnsi" w:cstheme="majorBidi" w:eastAsiaTheme="majorEastAsia" w:hAnsiTheme="majorHAnsi"/>
      <w:color w:themeColor="text1" w:themeTint="bf" w:val="404040"/>
    </w:rPr>
  </w:style>
  <w:style w:type="paragraph" w:styleId="Heading9">
    <w:name w:val="Heading 9"/>
    <w:basedOn w:val="Normal"/>
    <w:next w:val="Normal"/>
    <w:link w:val="Heading9Char"/>
    <w:uiPriority w:val="18"/>
    <w:semiHidden/>
    <w:unhideWhenUsed/>
    <w:qFormat/>
    <w:pPr>
      <w:keepNext w:val="true"/>
      <w:keepLines/>
      <w:spacing w:before="200" w:after="0"/>
      <w:outlineLvl w:val="8"/>
    </w:pPr>
    <w:rPr>
      <w:rFonts w:ascii="Calibri" w:hAnsi="Calibri" w:eastAsia="" w:cs="" w:asciiTheme="majorHAnsi" w:cstheme="majorBidi" w:eastAsiaTheme="majorEastAsia" w:hAnsiTheme="majorHAnsi"/>
      <w:i/>
      <w:iCs/>
      <w:color w:themeColor="text1" w:themeTint="bf" w:val="404040"/>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Pr>
      <w:kern w:val="2"/>
    </w:rPr>
  </w:style>
  <w:style w:type="character" w:styleId="FooterChar" w:customStyle="1">
    <w:name w:val="Footer Char"/>
    <w:basedOn w:val="DefaultParagraphFont"/>
    <w:link w:val="Footer"/>
    <w:uiPriority w:val="99"/>
    <w:qFormat/>
    <w:rPr>
      <w:kern w:val="2"/>
    </w:rPr>
  </w:style>
  <w:style w:type="character" w:styleId="BalloonTextChar" w:customStyle="1">
    <w:name w:val="Balloon Text Char"/>
    <w:basedOn w:val="DefaultParagraphFont"/>
    <w:link w:val="BalloonText"/>
    <w:uiPriority w:val="99"/>
    <w:semiHidden/>
    <w:qFormat/>
    <w:rPr>
      <w:rFonts w:ascii="Tahoma" w:hAnsi="Tahoma" w:cs="Tahoma"/>
      <w:sz w:val="16"/>
    </w:rPr>
  </w:style>
  <w:style w:type="character" w:styleId="Heading1Char" w:customStyle="1">
    <w:name w:val="Heading 1 Char"/>
    <w:basedOn w:val="DefaultParagraphFont"/>
    <w:link w:val="Heading1"/>
    <w:uiPriority w:val="1"/>
    <w:qFormat/>
    <w:rsid w:val="00891ac5"/>
    <w:rPr>
      <w:rFonts w:ascii="Times New Roman" w:hAnsi="Times New Roman"/>
      <w:color w:themeColor="accent1" w:themeShade="bf" w:val="577188"/>
      <w:kern w:val="2"/>
      <w:sz w:val="32"/>
      <w:lang w:val="lt-LT"/>
    </w:rPr>
  </w:style>
  <w:style w:type="character" w:styleId="Heading2Char" w:customStyle="1">
    <w:name w:val="Heading 2 Char"/>
    <w:basedOn w:val="DefaultParagraphFont"/>
    <w:link w:val="Heading2"/>
    <w:uiPriority w:val="1"/>
    <w:qFormat/>
    <w:rsid w:val="00891ac5"/>
    <w:rPr>
      <w:rFonts w:ascii="Times New Roman" w:hAnsi="Times New Roman" w:eastAsia="" w:cs="" w:cstheme="majorBidi" w:eastAsiaTheme="majorEastAsia"/>
      <w:color w:themeColor="accent1" w:themeShade="bf" w:val="577188"/>
      <w:kern w:val="2"/>
      <w:sz w:val="28"/>
      <w:lang w:val="lt-LT"/>
      <w14:ligatures w14:val="standardContextual"/>
    </w:rPr>
  </w:style>
  <w:style w:type="character" w:styleId="PlaceholderText">
    <w:name w:val="Placeholder Text"/>
    <w:basedOn w:val="DefaultParagraphFont"/>
    <w:uiPriority w:val="99"/>
    <w:semiHidden/>
    <w:qFormat/>
    <w:rPr>
      <w:color w:themeColor="text1" w:themeTint="a6" w:val="808080"/>
    </w:rPr>
  </w:style>
  <w:style w:type="character" w:styleId="QuoteChar" w:customStyle="1">
    <w:name w:val="Quote Char"/>
    <w:basedOn w:val="DefaultParagraphFont"/>
    <w:link w:val="Quote"/>
    <w:uiPriority w:val="9"/>
    <w:qFormat/>
    <w:rPr>
      <w:i/>
      <w:iCs/>
      <w:color w:themeColor="accent1" w:val="7E97AD"/>
      <w:kern w:val="2"/>
      <w:sz w:val="28"/>
    </w:rPr>
  </w:style>
  <w:style w:type="character" w:styleId="BodyTextChar" w:customStyle="1">
    <w:name w:val="Body Text Char"/>
    <w:basedOn w:val="DefaultParagraphFont"/>
    <w:uiPriority w:val="99"/>
    <w:semiHidden/>
    <w:qFormat/>
    <w:rPr/>
  </w:style>
  <w:style w:type="character" w:styleId="BodyText2Char" w:customStyle="1">
    <w:name w:val="Body Text 2 Char"/>
    <w:basedOn w:val="DefaultParagraphFont"/>
    <w:link w:val="BodyText2"/>
    <w:uiPriority w:val="99"/>
    <w:semiHidden/>
    <w:qFormat/>
    <w:rPr/>
  </w:style>
  <w:style w:type="character" w:styleId="BodyText3Char" w:customStyle="1">
    <w:name w:val="Body Text 3 Char"/>
    <w:basedOn w:val="DefaultParagraphFont"/>
    <w:link w:val="BodyText3"/>
    <w:uiPriority w:val="99"/>
    <w:semiHidden/>
    <w:qFormat/>
    <w:rPr>
      <w:sz w:val="16"/>
    </w:rPr>
  </w:style>
  <w:style w:type="character" w:styleId="BodyTextFirstIndentChar" w:customStyle="1">
    <w:name w:val="Body Text First Indent Char"/>
    <w:basedOn w:val="BodyTextChar"/>
    <w:uiPriority w:val="99"/>
    <w:semiHidden/>
    <w:qFormat/>
    <w:rPr/>
  </w:style>
  <w:style w:type="character" w:styleId="BodyTextIndentChar" w:customStyle="1">
    <w:name w:val="Body Text Indent Char"/>
    <w:basedOn w:val="DefaultParagraphFont"/>
    <w:uiPriority w:val="99"/>
    <w:semiHidden/>
    <w:qFormat/>
    <w:rPr/>
  </w:style>
  <w:style w:type="character" w:styleId="BodyTextFirstIndent2Char" w:customStyle="1">
    <w:name w:val="Body Text First Indent 2 Char"/>
    <w:basedOn w:val="BodyTextIndentChar"/>
    <w:link w:val="BodyTextFirstIndent2"/>
    <w:uiPriority w:val="99"/>
    <w:semiHidden/>
    <w:qFormat/>
    <w:rPr/>
  </w:style>
  <w:style w:type="character" w:styleId="BodyTextIndent2Char" w:customStyle="1">
    <w:name w:val="Body Text Indent 2 Char"/>
    <w:basedOn w:val="DefaultParagraphFont"/>
    <w:link w:val="BodyTextIndent2"/>
    <w:uiPriority w:val="99"/>
    <w:semiHidden/>
    <w:qFormat/>
    <w:rPr/>
  </w:style>
  <w:style w:type="character" w:styleId="BodyTextIndent3Char" w:customStyle="1">
    <w:name w:val="Body Text Indent 3 Char"/>
    <w:basedOn w:val="DefaultParagraphFont"/>
    <w:link w:val="BodyTextIndent3"/>
    <w:uiPriority w:val="99"/>
    <w:semiHidden/>
    <w:qFormat/>
    <w:rPr>
      <w:sz w:val="16"/>
    </w:rPr>
  </w:style>
  <w:style w:type="character" w:styleId="BookTitle">
    <w:name w:val="Book Title"/>
    <w:basedOn w:val="DefaultParagraphFont"/>
    <w:uiPriority w:val="33"/>
    <w:semiHidden/>
    <w:unhideWhenUsed/>
    <w:qFormat/>
    <w:rPr>
      <w:b/>
      <w:bCs/>
      <w:smallCaps/>
      <w:spacing w:val="5"/>
    </w:rPr>
  </w:style>
  <w:style w:type="character" w:styleId="ClosingChar" w:customStyle="1">
    <w:name w:val="Closing Char"/>
    <w:basedOn w:val="DefaultParagraphFont"/>
    <w:link w:val="Closing"/>
    <w:uiPriority w:val="99"/>
    <w:semiHidden/>
    <w:qFormat/>
    <w:rPr/>
  </w:style>
  <w:style w:type="character" w:styleId="Annotationreference">
    <w:name w:val="annotation reference"/>
    <w:basedOn w:val="DefaultParagraphFont"/>
    <w:uiPriority w:val="99"/>
    <w:semiHidden/>
    <w:unhideWhenUsed/>
    <w:qFormat/>
    <w:rPr>
      <w:sz w:val="16"/>
    </w:rPr>
  </w:style>
  <w:style w:type="character" w:styleId="CommentTextChar" w:customStyle="1">
    <w:name w:val="Comment Text Char"/>
    <w:basedOn w:val="DefaultParagraphFont"/>
    <w:link w:val="Annotationtext"/>
    <w:uiPriority w:val="99"/>
    <w:semiHidden/>
    <w:qFormat/>
    <w:rPr>
      <w:sz w:val="20"/>
    </w:rPr>
  </w:style>
  <w:style w:type="character" w:styleId="CommentSubjectChar" w:customStyle="1">
    <w:name w:val="Comment Subject Char"/>
    <w:basedOn w:val="CommentTextChar"/>
    <w:link w:val="Annotationsubject"/>
    <w:uiPriority w:val="99"/>
    <w:semiHidden/>
    <w:qFormat/>
    <w:rPr>
      <w:b/>
      <w:bCs/>
      <w:sz w:val="20"/>
    </w:rPr>
  </w:style>
  <w:style w:type="character" w:styleId="DateChar" w:customStyle="1">
    <w:name w:val="Date Char"/>
    <w:basedOn w:val="DefaultParagraphFont"/>
    <w:link w:val="Date"/>
    <w:uiPriority w:val="99"/>
    <w:semiHidden/>
    <w:qFormat/>
    <w:rPr/>
  </w:style>
  <w:style w:type="character" w:styleId="DocumentMapChar" w:customStyle="1">
    <w:name w:val="Document Map Char"/>
    <w:basedOn w:val="DefaultParagraphFont"/>
    <w:link w:val="DocumentMap"/>
    <w:uiPriority w:val="99"/>
    <w:semiHidden/>
    <w:qFormat/>
    <w:rPr>
      <w:rFonts w:ascii="Tahoma" w:hAnsi="Tahoma" w:cs="Tahoma"/>
      <w:sz w:val="16"/>
    </w:rPr>
  </w:style>
  <w:style w:type="character" w:styleId="E-mailSignatureChar" w:customStyle="1">
    <w:name w:val="E-mail Signature Char"/>
    <w:basedOn w:val="DefaultParagraphFont"/>
    <w:link w:val="E-mailSignature"/>
    <w:uiPriority w:val="99"/>
    <w:semiHidden/>
    <w:qFormat/>
    <w:rPr/>
  </w:style>
  <w:style w:type="character" w:styleId="Emphasis">
    <w:name w:val="Emphasis"/>
    <w:basedOn w:val="DefaultParagraphFont"/>
    <w:uiPriority w:val="20"/>
    <w:semiHidden/>
    <w:unhideWhenUsed/>
    <w:qFormat/>
    <w:rPr>
      <w:i/>
      <w:iCs/>
    </w:rPr>
  </w:style>
  <w:style w:type="character" w:styleId="EndnoteCharacters">
    <w:name w:val="Endnote Characters"/>
    <w:basedOn w:val="DefaultParagraphFont"/>
    <w:uiPriority w:val="99"/>
    <w:semiHidden/>
    <w:unhideWhenUsed/>
    <w:qFormat/>
    <w:rPr>
      <w:vertAlign w:val="superscript"/>
    </w:rPr>
  </w:style>
  <w:style w:type="character" w:styleId="EndnoteReference">
    <w:name w:val="Endnote Reference"/>
    <w:rPr>
      <w:vertAlign w:val="superscript"/>
    </w:rPr>
  </w:style>
  <w:style w:type="character" w:styleId="EndnoteTextChar" w:customStyle="1">
    <w:name w:val="Endnote Text Char"/>
    <w:basedOn w:val="DefaultParagraphFont"/>
    <w:link w:val="EndnoteText"/>
    <w:uiPriority w:val="99"/>
    <w:semiHidden/>
    <w:qFormat/>
    <w:rPr>
      <w:sz w:val="20"/>
    </w:rPr>
  </w:style>
  <w:style w:type="character" w:styleId="FollowedHyperlink">
    <w:name w:val="FollowedHyperlink"/>
    <w:basedOn w:val="DefaultParagraphFont"/>
    <w:uiPriority w:val="99"/>
    <w:semiHidden/>
    <w:unhideWhenUsed/>
    <w:rPr>
      <w:color w:themeColor="followedHyperlink" w:val="969696"/>
      <w:u w:val="single"/>
    </w:rPr>
  </w:style>
  <w:style w:type="character" w:styleId="FootnoteCharacters">
    <w:name w:val="Footnote Characters"/>
    <w:basedOn w:val="DefaultParagraphFont"/>
    <w:uiPriority w:val="99"/>
    <w:semiHidden/>
    <w:unhideWhenUsed/>
    <w:qFormat/>
    <w:rPr>
      <w:vertAlign w:val="superscript"/>
    </w:rPr>
  </w:style>
  <w:style w:type="character" w:styleId="FootnoteReference">
    <w:name w:val="Footnote Reference"/>
    <w:rPr>
      <w:vertAlign w:val="superscript"/>
    </w:rPr>
  </w:style>
  <w:style w:type="character" w:styleId="FootnoteTextChar" w:customStyle="1">
    <w:name w:val="Footnote Text Char"/>
    <w:basedOn w:val="DefaultParagraphFont"/>
    <w:link w:val="FootnoteText"/>
    <w:uiPriority w:val="99"/>
    <w:semiHidden/>
    <w:qFormat/>
    <w:rPr>
      <w:sz w:val="20"/>
    </w:rPr>
  </w:style>
  <w:style w:type="character" w:styleId="Heading3Char" w:customStyle="1">
    <w:name w:val="Heading 3 Char"/>
    <w:basedOn w:val="DefaultParagraphFont"/>
    <w:link w:val="Heading3"/>
    <w:uiPriority w:val="1"/>
    <w:qFormat/>
    <w:rsid w:val="00b20152"/>
    <w:rPr>
      <w:rFonts w:ascii="Times New Roman" w:hAnsi="Times New Roman" w:eastAsia="" w:cs="" w:cstheme="majorBidi" w:eastAsiaTheme="majorEastAsia"/>
      <w:b/>
      <w:bCs/>
      <w:color w:themeColor="accent1" w:themeShade="bf" w:val="577188"/>
      <w:kern w:val="2"/>
      <w:sz w:val="24"/>
      <w:lang w:val="lt-LT"/>
      <w14:ligatures w14:val="standardContextual"/>
    </w:rPr>
  </w:style>
  <w:style w:type="character" w:styleId="Heading4Char" w:customStyle="1">
    <w:name w:val="Heading 4 Char"/>
    <w:basedOn w:val="DefaultParagraphFont"/>
    <w:link w:val="Heading4"/>
    <w:uiPriority w:val="18"/>
    <w:semiHidden/>
    <w:qFormat/>
    <w:rPr>
      <w:rFonts w:ascii="Calibri" w:hAnsi="Calibri" w:eastAsia="" w:cs="" w:asciiTheme="majorHAnsi" w:cstheme="majorBidi" w:eastAsiaTheme="majorEastAsia" w:hAnsiTheme="majorHAnsi"/>
      <w:b/>
      <w:bCs/>
      <w:i/>
      <w:iCs/>
      <w:color w:themeColor="accent1" w:val="7E97AD"/>
      <w:kern w:val="2"/>
    </w:rPr>
  </w:style>
  <w:style w:type="character" w:styleId="Heading5Char" w:customStyle="1">
    <w:name w:val="Heading 5 Char"/>
    <w:basedOn w:val="DefaultParagraphFont"/>
    <w:link w:val="Heading5"/>
    <w:uiPriority w:val="18"/>
    <w:semiHidden/>
    <w:qFormat/>
    <w:rPr>
      <w:rFonts w:ascii="Calibri" w:hAnsi="Calibri" w:eastAsia="" w:cs="" w:asciiTheme="majorHAnsi" w:cstheme="majorBidi" w:eastAsiaTheme="majorEastAsia" w:hAnsiTheme="majorHAnsi"/>
      <w:color w:themeColor="accent1" w:themeShade="7f" w:val="394B5A"/>
      <w:kern w:val="2"/>
    </w:rPr>
  </w:style>
  <w:style w:type="character" w:styleId="Heading6Char" w:customStyle="1">
    <w:name w:val="Heading 6 Char"/>
    <w:basedOn w:val="DefaultParagraphFont"/>
    <w:link w:val="Heading6"/>
    <w:uiPriority w:val="18"/>
    <w:semiHidden/>
    <w:qFormat/>
    <w:rPr>
      <w:rFonts w:ascii="Calibri" w:hAnsi="Calibri" w:eastAsia="" w:cs="" w:asciiTheme="majorHAnsi" w:cstheme="majorBidi" w:eastAsiaTheme="majorEastAsia" w:hAnsiTheme="majorHAnsi"/>
      <w:i/>
      <w:iCs/>
      <w:color w:themeColor="accent1" w:themeShade="7f" w:val="394B5A"/>
      <w:kern w:val="2"/>
    </w:rPr>
  </w:style>
  <w:style w:type="character" w:styleId="Heading7Char" w:customStyle="1">
    <w:name w:val="Heading 7 Char"/>
    <w:basedOn w:val="DefaultParagraphFont"/>
    <w:link w:val="Heading7"/>
    <w:uiPriority w:val="18"/>
    <w:semiHidden/>
    <w:qFormat/>
    <w:rPr>
      <w:rFonts w:ascii="Calibri" w:hAnsi="Calibri" w:eastAsia="" w:cs="" w:asciiTheme="majorHAnsi" w:cstheme="majorBidi" w:eastAsiaTheme="majorEastAsia" w:hAnsiTheme="majorHAnsi"/>
      <w:i/>
      <w:iCs/>
      <w:color w:themeColor="text1" w:themeTint="bf" w:val="404040"/>
      <w:kern w:val="2"/>
    </w:rPr>
  </w:style>
  <w:style w:type="character" w:styleId="Heading8Char" w:customStyle="1">
    <w:name w:val="Heading 8 Char"/>
    <w:basedOn w:val="DefaultParagraphFont"/>
    <w:link w:val="Heading8"/>
    <w:uiPriority w:val="18"/>
    <w:semiHidden/>
    <w:qFormat/>
    <w:rPr>
      <w:rFonts w:ascii="Calibri" w:hAnsi="Calibri" w:eastAsia="" w:cs="" w:asciiTheme="majorHAnsi" w:cstheme="majorBidi" w:eastAsiaTheme="majorEastAsia" w:hAnsiTheme="majorHAnsi"/>
      <w:color w:themeColor="text1" w:themeTint="bf" w:val="404040"/>
      <w:kern w:val="2"/>
    </w:rPr>
  </w:style>
  <w:style w:type="character" w:styleId="Heading9Char" w:customStyle="1">
    <w:name w:val="Heading 9 Char"/>
    <w:basedOn w:val="DefaultParagraphFont"/>
    <w:link w:val="Heading9"/>
    <w:uiPriority w:val="18"/>
    <w:semiHidden/>
    <w:qFormat/>
    <w:rPr>
      <w:rFonts w:ascii="Calibri" w:hAnsi="Calibri" w:eastAsia="" w:cs="" w:asciiTheme="majorHAnsi" w:cstheme="majorBidi" w:eastAsiaTheme="majorEastAsia" w:hAnsiTheme="majorHAnsi"/>
      <w:i/>
      <w:iCs/>
      <w:color w:themeColor="text1" w:themeTint="bf" w:val="404040"/>
      <w:kern w:val="2"/>
    </w:rPr>
  </w:style>
  <w:style w:type="character" w:styleId="HTMLAcronym">
    <w:name w:val="HTML Acronym"/>
    <w:basedOn w:val="DefaultParagraphFont"/>
    <w:uiPriority w:val="99"/>
    <w:semiHidden/>
    <w:unhideWhenUsed/>
    <w:qFormat/>
    <w:rPr/>
  </w:style>
  <w:style w:type="character" w:styleId="HTMLAddressChar" w:customStyle="1">
    <w:name w:val="HTML Address Char"/>
    <w:basedOn w:val="DefaultParagraphFont"/>
    <w:link w:val="HTMLAddress"/>
    <w:uiPriority w:val="99"/>
    <w:semiHidden/>
    <w:qFormat/>
    <w:rPr>
      <w:i/>
      <w:iCs/>
    </w:rPr>
  </w:style>
  <w:style w:type="character" w:styleId="HTMLCite">
    <w:name w:val="HTML Cite"/>
    <w:basedOn w:val="DefaultParagraphFont"/>
    <w:uiPriority w:val="99"/>
    <w:semiHidden/>
    <w:unhideWhenUsed/>
    <w:qFormat/>
    <w:rPr>
      <w:i/>
      <w:iCs/>
    </w:rPr>
  </w:style>
  <w:style w:type="character" w:styleId="HTMLCode">
    <w:name w:val="HTML Code"/>
    <w:basedOn w:val="DefaultParagraphFont"/>
    <w:uiPriority w:val="99"/>
    <w:semiHidden/>
    <w:unhideWhenUsed/>
    <w:qFormat/>
    <w:rPr>
      <w:rFonts w:ascii="Consolas" w:hAnsi="Consolas" w:cs="Consolas"/>
      <w:sz w:val="20"/>
    </w:rPr>
  </w:style>
  <w:style w:type="character" w:styleId="HTMLDefinition">
    <w:name w:val="HTML Definition"/>
    <w:basedOn w:val="DefaultParagraphFont"/>
    <w:uiPriority w:val="99"/>
    <w:semiHidden/>
    <w:unhideWhenUsed/>
    <w:qFormat/>
    <w:rPr>
      <w:i/>
      <w:iCs/>
    </w:rPr>
  </w:style>
  <w:style w:type="character" w:styleId="HTMLKeyboard">
    <w:name w:val="HTML Keyboard"/>
    <w:basedOn w:val="DefaultParagraphFont"/>
    <w:uiPriority w:val="99"/>
    <w:semiHidden/>
    <w:unhideWhenUsed/>
    <w:qFormat/>
    <w:rPr>
      <w:rFonts w:ascii="Consolas" w:hAnsi="Consolas" w:cs="Consolas"/>
      <w:sz w:val="20"/>
    </w:rPr>
  </w:style>
  <w:style w:type="character" w:styleId="HTMLPreformattedChar" w:customStyle="1">
    <w:name w:val="HTML Preformatted Char"/>
    <w:basedOn w:val="DefaultParagraphFont"/>
    <w:link w:val="HTMLPreformatted"/>
    <w:uiPriority w:val="99"/>
    <w:semiHidden/>
    <w:qFormat/>
    <w:rPr>
      <w:rFonts w:ascii="Consolas" w:hAnsi="Consolas" w:cs="Consolas"/>
      <w:sz w:val="20"/>
    </w:rPr>
  </w:style>
  <w:style w:type="character" w:styleId="HTMLSample">
    <w:name w:val="HTML Sample"/>
    <w:basedOn w:val="DefaultParagraphFont"/>
    <w:uiPriority w:val="99"/>
    <w:semiHidden/>
    <w:unhideWhenUsed/>
    <w:qFormat/>
    <w:rPr>
      <w:rFonts w:ascii="Consolas" w:hAnsi="Consolas" w:cs="Consolas"/>
      <w:sz w:val="24"/>
    </w:rPr>
  </w:style>
  <w:style w:type="character" w:styleId="HTMLTypewriter">
    <w:name w:val="HTML Typewriter"/>
    <w:basedOn w:val="DefaultParagraphFont"/>
    <w:uiPriority w:val="99"/>
    <w:semiHidden/>
    <w:unhideWhenUsed/>
    <w:qFormat/>
    <w:rPr>
      <w:rFonts w:ascii="Consolas" w:hAnsi="Consolas" w:cs="Consolas"/>
      <w:sz w:val="20"/>
    </w:rPr>
  </w:style>
  <w:style w:type="character" w:styleId="HTMLVariable">
    <w:name w:val="HTML Variable"/>
    <w:basedOn w:val="DefaultParagraphFont"/>
    <w:uiPriority w:val="99"/>
    <w:semiHidden/>
    <w:unhideWhenUsed/>
    <w:qFormat/>
    <w:rPr>
      <w:i/>
      <w:iCs/>
    </w:rPr>
  </w:style>
  <w:style w:type="character" w:styleId="Hyperlink">
    <w:name w:val="Hyperlink"/>
    <w:basedOn w:val="DefaultParagraphFont"/>
    <w:uiPriority w:val="99"/>
    <w:unhideWhenUsed/>
    <w:rPr>
      <w:color w:themeColor="hyperlink" w:val="646464"/>
      <w:u w:val="single"/>
    </w:rPr>
  </w:style>
  <w:style w:type="character" w:styleId="IntenseEmphasis">
    <w:name w:val="Intense Emphasis"/>
    <w:basedOn w:val="DefaultParagraphFont"/>
    <w:uiPriority w:val="21"/>
    <w:semiHidden/>
    <w:unhideWhenUsed/>
    <w:qFormat/>
    <w:rPr>
      <w:b/>
      <w:bCs/>
      <w:i/>
      <w:iCs/>
      <w:color w:themeColor="accent1" w:val="7E97AD"/>
    </w:rPr>
  </w:style>
  <w:style w:type="character" w:styleId="IntenseQuoteChar" w:customStyle="1">
    <w:name w:val="Intense Quote Char"/>
    <w:basedOn w:val="DefaultParagraphFont"/>
    <w:link w:val="IntenseQuote"/>
    <w:uiPriority w:val="30"/>
    <w:semiHidden/>
    <w:qFormat/>
    <w:rPr>
      <w:b/>
      <w:bCs/>
      <w:i/>
      <w:iCs/>
      <w:color w:themeColor="accent1" w:val="7E97AD"/>
    </w:rPr>
  </w:style>
  <w:style w:type="character" w:styleId="IntenseReference">
    <w:name w:val="Intense Reference"/>
    <w:basedOn w:val="DefaultParagraphFont"/>
    <w:uiPriority w:val="32"/>
    <w:semiHidden/>
    <w:unhideWhenUsed/>
    <w:qFormat/>
    <w:rPr>
      <w:b/>
      <w:bCs/>
      <w:smallCaps/>
      <w:color w:themeColor="accent2" w:val="CC8E60"/>
      <w:spacing w:val="5"/>
      <w:u w:val="single"/>
    </w:rPr>
  </w:style>
  <w:style w:type="character" w:styleId="Linenumber">
    <w:name w:val="line number"/>
    <w:basedOn w:val="DefaultParagraphFont"/>
    <w:uiPriority w:val="99"/>
    <w:semiHidden/>
    <w:unhideWhenUsed/>
    <w:qFormat/>
    <w:rPr/>
  </w:style>
  <w:style w:type="character" w:styleId="MacroTextChar" w:customStyle="1">
    <w:name w:val="Macro Text Char"/>
    <w:basedOn w:val="DefaultParagraphFont"/>
    <w:link w:val="Macro"/>
    <w:uiPriority w:val="99"/>
    <w:semiHidden/>
    <w:qFormat/>
    <w:rPr>
      <w:rFonts w:ascii="Consolas" w:hAnsi="Consolas" w:cs="Consolas"/>
      <w:sz w:val="20"/>
    </w:rPr>
  </w:style>
  <w:style w:type="character" w:styleId="MessageHeaderChar" w:customStyle="1">
    <w:name w:val="Message Header Char"/>
    <w:basedOn w:val="DefaultParagraphFont"/>
    <w:link w:val="MessageHeader"/>
    <w:uiPriority w:val="99"/>
    <w:semiHidden/>
    <w:qFormat/>
    <w:rPr>
      <w:rFonts w:ascii="Calibri" w:hAnsi="Calibri" w:eastAsia="" w:cs="" w:asciiTheme="majorHAnsi" w:cstheme="majorBidi" w:eastAsiaTheme="majorEastAsia" w:hAnsiTheme="majorHAnsi"/>
      <w:sz w:val="24"/>
      <w:shd w:fill="CCCCCC" w:val="clear"/>
    </w:rPr>
  </w:style>
  <w:style w:type="character" w:styleId="NoteHeadingChar" w:customStyle="1">
    <w:name w:val="Note Heading Char"/>
    <w:basedOn w:val="DefaultParagraphFont"/>
    <w:link w:val="NoteHeading"/>
    <w:uiPriority w:val="99"/>
    <w:semiHidden/>
    <w:qFormat/>
    <w:rPr/>
  </w:style>
  <w:style w:type="character" w:styleId="Pagenumber">
    <w:name w:val="page number"/>
    <w:basedOn w:val="DefaultParagraphFont"/>
    <w:uiPriority w:val="99"/>
    <w:semiHidden/>
    <w:unhideWhenUsed/>
    <w:qFormat/>
    <w:rPr/>
  </w:style>
  <w:style w:type="character" w:styleId="PlainTextChar" w:customStyle="1">
    <w:name w:val="Plain Text Char"/>
    <w:basedOn w:val="DefaultParagraphFont"/>
    <w:link w:val="PlainText"/>
    <w:uiPriority w:val="99"/>
    <w:semiHidden/>
    <w:qFormat/>
    <w:rPr>
      <w:rFonts w:ascii="Consolas" w:hAnsi="Consolas" w:cs="Consolas"/>
      <w:sz w:val="21"/>
    </w:rPr>
  </w:style>
  <w:style w:type="character" w:styleId="SalutationChar" w:customStyle="1">
    <w:name w:val="Salutation Char"/>
    <w:basedOn w:val="DefaultParagraphFont"/>
    <w:uiPriority w:val="99"/>
    <w:semiHidden/>
    <w:qFormat/>
    <w:rPr/>
  </w:style>
  <w:style w:type="character" w:styleId="SignatureChar" w:customStyle="1">
    <w:name w:val="Signature Char"/>
    <w:basedOn w:val="DefaultParagraphFont"/>
    <w:link w:val="Signature"/>
    <w:uiPriority w:val="9"/>
    <w:qFormat/>
    <w:rPr>
      <w:kern w:val="2"/>
    </w:rPr>
  </w:style>
  <w:style w:type="character" w:styleId="Strong">
    <w:name w:val="Strong"/>
    <w:basedOn w:val="DefaultParagraphFont"/>
    <w:uiPriority w:val="1"/>
    <w:unhideWhenUsed/>
    <w:qFormat/>
    <w:rPr>
      <w:b/>
      <w:bCs/>
    </w:rPr>
  </w:style>
  <w:style w:type="character" w:styleId="SubtitleChar" w:customStyle="1">
    <w:name w:val="Subtitle Char"/>
    <w:basedOn w:val="DefaultParagraphFont"/>
    <w:link w:val="Subtitle"/>
    <w:uiPriority w:val="19"/>
    <w:qFormat/>
    <w:rPr>
      <w:rFonts w:ascii="Calibri" w:hAnsi="Calibri" w:eastAsia="" w:cs="" w:asciiTheme="majorHAnsi" w:cstheme="majorBidi" w:eastAsiaTheme="majorEastAsia" w:hAnsiTheme="majorHAnsi"/>
      <w:caps/>
      <w:color w:themeColor="accent1" w:val="7E97AD"/>
      <w:kern w:val="2"/>
      <w:sz w:val="64"/>
    </w:rPr>
  </w:style>
  <w:style w:type="character" w:styleId="SubtleEmphasis">
    <w:name w:val="Subtle Emphasis"/>
    <w:basedOn w:val="DefaultParagraphFont"/>
    <w:uiPriority w:val="19"/>
    <w:semiHidden/>
    <w:unhideWhenUsed/>
    <w:qFormat/>
    <w:rPr>
      <w:i/>
      <w:iCs/>
      <w:color w:themeColor="text1" w:themeTint="7f" w:val="808080"/>
    </w:rPr>
  </w:style>
  <w:style w:type="character" w:styleId="SubtleReference">
    <w:name w:val="Subtle Reference"/>
    <w:basedOn w:val="DefaultParagraphFont"/>
    <w:uiPriority w:val="31"/>
    <w:semiHidden/>
    <w:unhideWhenUsed/>
    <w:qFormat/>
    <w:rPr>
      <w:smallCaps/>
      <w:color w:themeColor="accent2" w:val="CC8E60"/>
      <w:u w:val="single"/>
    </w:rPr>
  </w:style>
  <w:style w:type="character" w:styleId="TitleChar" w:customStyle="1">
    <w:name w:val="Title Char"/>
    <w:basedOn w:val="DefaultParagraphFont"/>
    <w:link w:val="Title"/>
    <w:uiPriority w:val="19"/>
    <w:qFormat/>
    <w:rPr>
      <w:rFonts w:ascii="Calibri" w:hAnsi="Calibri" w:eastAsia="" w:cs="" w:asciiTheme="majorHAnsi" w:cstheme="majorBidi" w:eastAsiaTheme="majorEastAsia" w:hAnsiTheme="majorHAnsi"/>
      <w:caps/>
      <w:color w:themeColor="background1" w:val="FFFFFF"/>
      <w:spacing w:val="40"/>
      <w:kern w:val="2"/>
      <w:sz w:val="136"/>
      <w:shd w:fill="7E97AD" w:val="clear"/>
      <w14:ligatures w14:val="standardContextual"/>
    </w:rPr>
  </w:style>
  <w:style w:type="character" w:styleId="NoSpacingChar" w:customStyle="1">
    <w:name w:val="No Spacing Char"/>
    <w:basedOn w:val="DefaultParagraphFont"/>
    <w:link w:val="NoSpacing"/>
    <w:uiPriority w:val="1"/>
    <w:qFormat/>
    <w:rPr/>
  </w:style>
  <w:style w:type="character" w:styleId="Cf01" w:customStyle="1">
    <w:name w:val="cf01"/>
    <w:qFormat/>
    <w:rsid w:val="00f754b7"/>
    <w:rPr>
      <w:rFonts w:ascii="Segoe UI" w:hAnsi="Segoe UI" w:cs="Segoe UI"/>
      <w:sz w:val="18"/>
      <w:szCs w:val="18"/>
    </w:rPr>
  </w:style>
  <w:style w:type="character" w:styleId="TablenumberChar" w:customStyle="1">
    <w:name w:val="Table number Char"/>
    <w:link w:val="Tablenumber"/>
    <w:qFormat/>
    <w:rsid w:val="00a72217"/>
    <w:rPr>
      <w:rFonts w:ascii="Times New Roman" w:hAnsi="Times New Roman" w:eastAsia="Calibri" w:cs="Times New Roman"/>
      <w:color w:themeColor="text1" w:themeTint="a6" w:val="auto"/>
      <w:sz w:val="22"/>
      <w:szCs w:val="24"/>
      <w:lang w:val="lt-LT" w:eastAsia="en-US"/>
    </w:rPr>
  </w:style>
  <w:style w:type="character" w:styleId="ListParagraphChar" w:customStyle="1">
    <w:name w:val="List Paragraph Char"/>
    <w:link w:val="ListParagraph"/>
    <w:qFormat/>
    <w:locked/>
    <w:rsid w:val="000f66bf"/>
    <w:rPr>
      <w:rFonts w:ascii="Times New Roman" w:hAnsi="Times New Roman"/>
      <w:color w:themeColor="text1" w:themeTint="a6" w:val="auto"/>
      <w:kern w:val="2"/>
      <w:sz w:val="24"/>
      <w:lang w:val="lt-LT"/>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BodyTextChar"/>
    <w:uiPriority w:val="99"/>
    <w:semiHidden/>
    <w:unhideWhenUsed/>
    <w:pPr>
      <w:spacing w:before="40" w:after="120"/>
    </w:pPr>
    <w:rPr/>
  </w:style>
  <w:style w:type="paragraph" w:styleId="List">
    <w:name w:val="List"/>
    <w:basedOn w:val="Normal"/>
    <w:uiPriority w:val="99"/>
    <w:semiHidden/>
    <w:unhideWhenUsed/>
    <w:pPr>
      <w:spacing w:before="40" w:after="160"/>
      <w:ind w:hanging="360" w:left="360"/>
      <w:contextualSpacing/>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rPr/>
  </w:style>
  <w:style w:type="paragraph" w:styleId="Header">
    <w:name w:val="Header"/>
    <w:basedOn w:val="Normal"/>
    <w:link w:val="HeaderChar"/>
    <w:uiPriority w:val="99"/>
    <w:unhideWhenUsed/>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light1"/>
      </w:pBdr>
      <w:spacing w:lineRule="auto" w:line="240" w:before="40" w:after="0"/>
      <w:ind w:left="-360" w:right="-360"/>
    </w:pPr>
    <w:rPr/>
  </w:style>
  <w:style w:type="paragraph" w:styleId="NoSpacing">
    <w:name w:val="No Spacing"/>
    <w:link w:val="NoSpacingChar"/>
    <w:uiPriority w:val="1"/>
    <w:qFormat/>
    <w:pPr>
      <w:widowControl/>
      <w:bidi w:val="0"/>
      <w:spacing w:lineRule="auto" w:line="240" w:before="40" w:after="0"/>
      <w:jc w:val="left"/>
    </w:pPr>
    <w:rPr>
      <w:rFonts w:ascii="Cambria" w:hAnsi="Cambria" w:eastAsia="Cambria" w:cs="" w:asciiTheme="minorHAnsi" w:cstheme="minorBidi" w:eastAsiaTheme="minorHAnsi" w:hAnsiTheme="minorHAnsi"/>
      <w:color w:themeColor="text1" w:themeTint="a6" w:val="595959"/>
      <w:kern w:val="0"/>
      <w:sz w:val="20"/>
      <w:szCs w:val="20"/>
      <w:lang w:val="en-US" w:eastAsia="ja-JP" w:bidi="ar-SA"/>
    </w:rPr>
  </w:style>
  <w:style w:type="paragraph" w:styleId="BalloonText">
    <w:name w:val="Balloon Text"/>
    <w:basedOn w:val="Normal"/>
    <w:link w:val="BalloonTextChar"/>
    <w:uiPriority w:val="99"/>
    <w:semiHidden/>
    <w:unhideWhenUsed/>
    <w:qFormat/>
    <w:pPr>
      <w:spacing w:lineRule="auto" w:line="240" w:before="40" w:after="0"/>
    </w:pPr>
    <w:rPr>
      <w:rFonts w:ascii="Tahoma" w:hAnsi="Tahoma" w:cs="Tahoma"/>
      <w:sz w:val="16"/>
    </w:rPr>
  </w:style>
  <w:style w:type="paragraph" w:styleId="Quote">
    <w:name w:val="Quote"/>
    <w:basedOn w:val="Normal"/>
    <w:next w:val="Normal"/>
    <w:link w:val="QuoteChar"/>
    <w:uiPriority w:val="9"/>
    <w:unhideWhenUsed/>
    <w:qFormat/>
    <w:pPr>
      <w:spacing w:before="240" w:after="240"/>
      <w:ind w:left="720" w:right="720"/>
    </w:pPr>
    <w:rPr>
      <w:i/>
      <w:iCs/>
      <w:color w:themeColor="accent1" w:val="7E97AD"/>
      <w:sz w:val="28"/>
    </w:rPr>
  </w:style>
  <w:style w:type="paragraph" w:styleId="Bibliography">
    <w:name w:val="Bibliography"/>
    <w:basedOn w:val="Normal"/>
    <w:next w:val="Normal"/>
    <w:uiPriority w:val="37"/>
    <w:semiHidden/>
    <w:unhideWhenUsed/>
    <w:qFormat/>
    <w:pPr/>
    <w:rPr/>
  </w:style>
  <w:style w:type="paragraph" w:styleId="BlockText">
    <w:name w:val="Block Text"/>
    <w:basedOn w:val="Normal"/>
    <w:uiPriority w:val="99"/>
    <w:semiHidden/>
    <w:unhideWhenUsed/>
    <w:qFormat/>
    <w:pPr>
      <w:pBdr>
        <w:top w:val="single" w:sz="2" w:space="10" w:color="7E97AD" w:themeColor="accent1"/>
        <w:left w:val="single" w:sz="2" w:space="10" w:color="7E97AD" w:themeColor="accent1"/>
        <w:bottom w:val="single" w:sz="2" w:space="10" w:color="7E97AD" w:themeColor="accent1"/>
        <w:right w:val="single" w:sz="2" w:space="10" w:color="7E97AD" w:themeColor="accent1"/>
      </w:pBdr>
      <w:ind w:left="1152" w:right="1152"/>
    </w:pPr>
    <w:rPr>
      <w:i/>
      <w:iCs/>
      <w:color w:themeColor="accent1" w:val="7E97AD"/>
    </w:rPr>
  </w:style>
  <w:style w:type="paragraph" w:styleId="BodyText2">
    <w:name w:val="Body Text 2"/>
    <w:basedOn w:val="Normal"/>
    <w:link w:val="BodyText2Char"/>
    <w:uiPriority w:val="99"/>
    <w:semiHidden/>
    <w:unhideWhenUsed/>
    <w:qFormat/>
    <w:pPr>
      <w:spacing w:lineRule="auto" w:line="480" w:before="40" w:after="120"/>
    </w:pPr>
    <w:rPr/>
  </w:style>
  <w:style w:type="paragraph" w:styleId="BodyText3">
    <w:name w:val="Body Text 3"/>
    <w:basedOn w:val="Normal"/>
    <w:link w:val="BodyText3Char"/>
    <w:uiPriority w:val="99"/>
    <w:semiHidden/>
    <w:unhideWhenUsed/>
    <w:qFormat/>
    <w:pPr>
      <w:spacing w:before="40" w:after="120"/>
    </w:pPr>
    <w:rPr>
      <w:sz w:val="16"/>
    </w:rPr>
  </w:style>
  <w:style w:type="paragraph" w:styleId="BodyTextFirstIndent">
    <w:name w:val="Body Text First Indent"/>
    <w:basedOn w:val="BodyText"/>
    <w:link w:val="BodyTextFirstIndentChar"/>
    <w:uiPriority w:val="99"/>
    <w:semiHidden/>
    <w:unhideWhenUsed/>
    <w:pPr>
      <w:spacing w:before="40" w:after="200"/>
      <w:ind w:firstLine="360"/>
    </w:pPr>
    <w:rPr/>
  </w:style>
  <w:style w:type="paragraph" w:styleId="BodyTextIndent">
    <w:name w:val="Body Text Indent"/>
    <w:basedOn w:val="Normal"/>
    <w:link w:val="BodyTextIndentChar"/>
    <w:uiPriority w:val="99"/>
    <w:semiHidden/>
    <w:unhideWhenUsed/>
    <w:pPr>
      <w:spacing w:before="40" w:after="120"/>
      <w:ind w:left="360"/>
    </w:pPr>
    <w:rPr/>
  </w:style>
  <w:style w:type="paragraph" w:styleId="BodyTextFirstIndent2">
    <w:name w:val="Body Text First Indent 2"/>
    <w:basedOn w:val="BodyTextIndent"/>
    <w:link w:val="BodyTextFirstIndent2Char"/>
    <w:uiPriority w:val="99"/>
    <w:semiHidden/>
    <w:unhideWhenUsed/>
    <w:qFormat/>
    <w:pPr>
      <w:spacing w:before="40" w:after="200"/>
      <w:ind w:firstLine="360"/>
    </w:pPr>
    <w:rPr/>
  </w:style>
  <w:style w:type="paragraph" w:styleId="BodyTextIndent2">
    <w:name w:val="Body Text Indent 2"/>
    <w:basedOn w:val="Normal"/>
    <w:link w:val="BodyTextIndent2Char"/>
    <w:uiPriority w:val="99"/>
    <w:semiHidden/>
    <w:unhideWhenUsed/>
    <w:qFormat/>
    <w:pPr>
      <w:spacing w:lineRule="auto" w:line="480" w:before="40" w:after="120"/>
      <w:ind w:left="360"/>
    </w:pPr>
    <w:rPr/>
  </w:style>
  <w:style w:type="paragraph" w:styleId="BodyTextIndent3">
    <w:name w:val="Body Text Indent 3"/>
    <w:basedOn w:val="Normal"/>
    <w:link w:val="BodyTextIndent3Char"/>
    <w:uiPriority w:val="99"/>
    <w:semiHidden/>
    <w:unhideWhenUsed/>
    <w:qFormat/>
    <w:pPr>
      <w:spacing w:before="40" w:after="120"/>
      <w:ind w:left="360"/>
    </w:pPr>
    <w:rPr>
      <w:sz w:val="16"/>
    </w:rPr>
  </w:style>
  <w:style w:type="paragraph" w:styleId="Caption1">
    <w:name w:val="caption1"/>
    <w:basedOn w:val="Normal"/>
    <w:next w:val="Normal"/>
    <w:uiPriority w:val="35"/>
    <w:semiHidden/>
    <w:unhideWhenUsed/>
    <w:qFormat/>
    <w:pPr>
      <w:spacing w:lineRule="auto" w:line="240"/>
    </w:pPr>
    <w:rPr>
      <w:b/>
      <w:bCs/>
      <w:color w:themeColor="accent1" w:val="7E97AD"/>
      <w:sz w:val="18"/>
    </w:rPr>
  </w:style>
  <w:style w:type="paragraph" w:styleId="Closing">
    <w:name w:val="Closing"/>
    <w:basedOn w:val="Normal"/>
    <w:link w:val="ClosingChar"/>
    <w:uiPriority w:val="99"/>
    <w:semiHidden/>
    <w:unhideWhenUsed/>
    <w:pPr>
      <w:spacing w:lineRule="auto" w:line="240" w:before="40" w:after="0"/>
      <w:ind w:left="4320"/>
    </w:pPr>
    <w:rPr/>
  </w:style>
  <w:style w:type="paragraph" w:styleId="Annotationtext">
    <w:name w:val="annotation text"/>
    <w:basedOn w:val="Normal"/>
    <w:link w:val="CommentTextChar"/>
    <w:uiPriority w:val="99"/>
    <w:semiHidden/>
    <w:unhideWhenUsed/>
    <w:qFormat/>
    <w:pPr>
      <w:spacing w:lineRule="auto" w:line="240"/>
    </w:pPr>
    <w:rPr/>
  </w:style>
  <w:style w:type="paragraph" w:styleId="Annotationsubject">
    <w:name w:val="annotation subject"/>
    <w:basedOn w:val="Annotationtext"/>
    <w:next w:val="Annotationtext"/>
    <w:link w:val="CommentSubjectChar"/>
    <w:uiPriority w:val="99"/>
    <w:semiHidden/>
    <w:unhideWhenUsed/>
    <w:qFormat/>
    <w:pPr/>
    <w:rPr>
      <w:b/>
      <w:bCs/>
    </w:rPr>
  </w:style>
  <w:style w:type="paragraph" w:styleId="Date">
    <w:name w:val="Date"/>
    <w:basedOn w:val="Normal"/>
    <w:next w:val="Normal"/>
    <w:link w:val="DateChar"/>
    <w:uiPriority w:val="99"/>
    <w:semiHidden/>
    <w:unhideWhenUsed/>
    <w:qFormat/>
    <w:pPr/>
    <w:rPr/>
  </w:style>
  <w:style w:type="paragraph" w:styleId="DocumentMap">
    <w:name w:val="Document Map"/>
    <w:basedOn w:val="Normal"/>
    <w:link w:val="DocumentMapChar"/>
    <w:uiPriority w:val="99"/>
    <w:semiHidden/>
    <w:unhideWhenUsed/>
    <w:qFormat/>
    <w:pPr>
      <w:spacing w:lineRule="auto" w:line="240" w:before="40" w:after="0"/>
    </w:pPr>
    <w:rPr>
      <w:rFonts w:ascii="Tahoma" w:hAnsi="Tahoma" w:cs="Tahoma"/>
      <w:sz w:val="16"/>
    </w:rPr>
  </w:style>
  <w:style w:type="paragraph" w:styleId="E-mailSignature">
    <w:name w:val="E-mail Signature"/>
    <w:basedOn w:val="Normal"/>
    <w:link w:val="E-mailSignatureChar"/>
    <w:uiPriority w:val="99"/>
    <w:semiHidden/>
    <w:unhideWhenUsed/>
    <w:qFormat/>
    <w:pPr>
      <w:spacing w:lineRule="auto" w:line="240" w:before="40" w:after="0"/>
    </w:pPr>
    <w:rPr/>
  </w:style>
  <w:style w:type="paragraph" w:styleId="EndnoteText">
    <w:name w:val="Endnote Text"/>
    <w:basedOn w:val="Normal"/>
    <w:link w:val="EndnoteTextChar"/>
    <w:uiPriority w:val="99"/>
    <w:semiHidden/>
    <w:unhideWhenUsed/>
    <w:pPr>
      <w:spacing w:lineRule="auto" w:line="240" w:before="40" w:after="0"/>
    </w:pPr>
    <w:rPr/>
  </w:style>
  <w:style w:type="paragraph" w:styleId="Envelopeaddress">
    <w:name w:val="envelope address"/>
    <w:basedOn w:val="Normal"/>
    <w:uiPriority w:val="99"/>
    <w:semiHidden/>
    <w:unhideWhenUsed/>
    <w:qFormat/>
    <w:pPr>
      <w:spacing w:lineRule="auto" w:line="240" w:before="40" w:after="0"/>
      <w:ind w:left="2880"/>
    </w:pPr>
    <w:rPr>
      <w:rFonts w:ascii="Calibri" w:hAnsi="Calibri" w:eastAsia="" w:cs="" w:asciiTheme="majorHAnsi" w:cstheme="majorBidi" w:eastAsiaTheme="majorEastAsia" w:hAnsiTheme="majorHAnsi"/>
    </w:rPr>
  </w:style>
  <w:style w:type="paragraph" w:styleId="Envelopereturn">
    <w:name w:val="envelope return"/>
    <w:basedOn w:val="Normal"/>
    <w:uiPriority w:val="99"/>
    <w:semiHidden/>
    <w:unhideWhenUsed/>
    <w:qFormat/>
    <w:pPr>
      <w:spacing w:lineRule="auto" w:line="240" w:before="40" w:after="0"/>
    </w:pPr>
    <w:rPr>
      <w:rFonts w:ascii="Calibri" w:hAnsi="Calibri" w:eastAsia="" w:cs="" w:asciiTheme="majorHAnsi" w:cstheme="majorBidi" w:eastAsiaTheme="majorEastAsia" w:hAnsiTheme="majorHAnsi"/>
    </w:rPr>
  </w:style>
  <w:style w:type="paragraph" w:styleId="FootnoteText">
    <w:name w:val="Footnote Text"/>
    <w:basedOn w:val="Normal"/>
    <w:link w:val="FootnoteTextChar"/>
    <w:uiPriority w:val="99"/>
    <w:semiHidden/>
    <w:unhideWhenUsed/>
    <w:pPr>
      <w:spacing w:lineRule="auto" w:line="240" w:before="40" w:after="0"/>
    </w:pPr>
    <w:rPr/>
  </w:style>
  <w:style w:type="paragraph" w:styleId="HTMLAddress">
    <w:name w:val="HTML Address"/>
    <w:basedOn w:val="Normal"/>
    <w:link w:val="HTMLAddressChar"/>
    <w:uiPriority w:val="99"/>
    <w:semiHidden/>
    <w:unhideWhenUsed/>
    <w:qFormat/>
    <w:pPr>
      <w:spacing w:lineRule="auto" w:line="240" w:before="40" w:after="0"/>
    </w:pPr>
    <w:rPr>
      <w:i/>
      <w:iCs/>
    </w:rPr>
  </w:style>
  <w:style w:type="paragraph" w:styleId="HTMLPreformatted">
    <w:name w:val="HTML Preformatted"/>
    <w:basedOn w:val="Normal"/>
    <w:link w:val="HTMLPreformattedChar"/>
    <w:uiPriority w:val="99"/>
    <w:semiHidden/>
    <w:unhideWhenUsed/>
    <w:qFormat/>
    <w:pPr>
      <w:spacing w:lineRule="auto" w:line="240" w:before="40" w:after="0"/>
    </w:pPr>
    <w:rPr>
      <w:rFonts w:ascii="Consolas" w:hAnsi="Consolas" w:cs="Consolas"/>
    </w:rPr>
  </w:style>
  <w:style w:type="paragraph" w:styleId="Index1">
    <w:name w:val="index 1"/>
    <w:basedOn w:val="Normal"/>
    <w:next w:val="Normal"/>
    <w:autoRedefine/>
    <w:uiPriority w:val="99"/>
    <w:semiHidden/>
    <w:unhideWhenUsed/>
    <w:qFormat/>
    <w:pPr>
      <w:spacing w:lineRule="auto" w:line="240" w:before="40" w:after="0"/>
      <w:ind w:hanging="220" w:left="220"/>
    </w:pPr>
    <w:rPr/>
  </w:style>
  <w:style w:type="paragraph" w:styleId="Index2">
    <w:name w:val="index 2"/>
    <w:basedOn w:val="Normal"/>
    <w:next w:val="Normal"/>
    <w:autoRedefine/>
    <w:uiPriority w:val="99"/>
    <w:semiHidden/>
    <w:unhideWhenUsed/>
    <w:qFormat/>
    <w:pPr>
      <w:spacing w:lineRule="auto" w:line="240" w:before="40" w:after="0"/>
      <w:ind w:hanging="220" w:left="440"/>
    </w:pPr>
    <w:rPr/>
  </w:style>
  <w:style w:type="paragraph" w:styleId="Index3">
    <w:name w:val="index 3"/>
    <w:basedOn w:val="Normal"/>
    <w:next w:val="Normal"/>
    <w:autoRedefine/>
    <w:uiPriority w:val="99"/>
    <w:semiHidden/>
    <w:unhideWhenUsed/>
    <w:qFormat/>
    <w:pPr>
      <w:spacing w:lineRule="auto" w:line="240" w:before="40" w:after="0"/>
      <w:ind w:hanging="220" w:left="660"/>
    </w:pPr>
    <w:rPr/>
  </w:style>
  <w:style w:type="paragraph" w:styleId="Index4">
    <w:name w:val="index 4"/>
    <w:basedOn w:val="Normal"/>
    <w:next w:val="Normal"/>
    <w:autoRedefine/>
    <w:uiPriority w:val="99"/>
    <w:semiHidden/>
    <w:unhideWhenUsed/>
    <w:qFormat/>
    <w:pPr>
      <w:spacing w:lineRule="auto" w:line="240" w:before="40" w:after="0"/>
      <w:ind w:hanging="220" w:left="880"/>
    </w:pPr>
    <w:rPr/>
  </w:style>
  <w:style w:type="paragraph" w:styleId="Index5">
    <w:name w:val="index 5"/>
    <w:basedOn w:val="Normal"/>
    <w:next w:val="Normal"/>
    <w:autoRedefine/>
    <w:uiPriority w:val="99"/>
    <w:semiHidden/>
    <w:unhideWhenUsed/>
    <w:qFormat/>
    <w:pPr>
      <w:spacing w:lineRule="auto" w:line="240" w:before="40" w:after="0"/>
      <w:ind w:hanging="220" w:left="1100"/>
    </w:pPr>
    <w:rPr/>
  </w:style>
  <w:style w:type="paragraph" w:styleId="Index6">
    <w:name w:val="index 6"/>
    <w:basedOn w:val="Normal"/>
    <w:next w:val="Normal"/>
    <w:autoRedefine/>
    <w:uiPriority w:val="99"/>
    <w:semiHidden/>
    <w:unhideWhenUsed/>
    <w:qFormat/>
    <w:pPr>
      <w:spacing w:lineRule="auto" w:line="240" w:before="40" w:after="0"/>
      <w:ind w:hanging="220" w:left="1320"/>
    </w:pPr>
    <w:rPr/>
  </w:style>
  <w:style w:type="paragraph" w:styleId="Index7">
    <w:name w:val="index 7"/>
    <w:basedOn w:val="Normal"/>
    <w:next w:val="Normal"/>
    <w:autoRedefine/>
    <w:uiPriority w:val="99"/>
    <w:semiHidden/>
    <w:unhideWhenUsed/>
    <w:qFormat/>
    <w:pPr>
      <w:spacing w:lineRule="auto" w:line="240" w:before="40" w:after="0"/>
      <w:ind w:hanging="220" w:left="1540"/>
    </w:pPr>
    <w:rPr/>
  </w:style>
  <w:style w:type="paragraph" w:styleId="Index8">
    <w:name w:val="index 8"/>
    <w:basedOn w:val="Normal"/>
    <w:next w:val="Normal"/>
    <w:autoRedefine/>
    <w:uiPriority w:val="99"/>
    <w:semiHidden/>
    <w:unhideWhenUsed/>
    <w:qFormat/>
    <w:pPr>
      <w:spacing w:lineRule="auto" w:line="240" w:before="40" w:after="0"/>
      <w:ind w:hanging="220" w:left="1760"/>
    </w:pPr>
    <w:rPr/>
  </w:style>
  <w:style w:type="paragraph" w:styleId="Index9">
    <w:name w:val="index 9"/>
    <w:basedOn w:val="Normal"/>
    <w:next w:val="Normal"/>
    <w:autoRedefine/>
    <w:uiPriority w:val="99"/>
    <w:semiHidden/>
    <w:unhideWhenUsed/>
    <w:qFormat/>
    <w:pPr>
      <w:spacing w:lineRule="auto" w:line="240" w:before="40" w:after="0"/>
      <w:ind w:hanging="220" w:left="1980"/>
    </w:pPr>
    <w:rPr/>
  </w:style>
  <w:style w:type="paragraph" w:styleId="Indexheading1">
    <w:name w:val="index heading1"/>
    <w:basedOn w:val="Normal"/>
    <w:next w:val="Index1"/>
    <w:uiPriority w:val="99"/>
    <w:semiHidden/>
    <w:unhideWhenUsed/>
    <w:qFormat/>
    <w:pPr/>
    <w:rPr>
      <w:rFonts w:ascii="Calibri" w:hAnsi="Calibri" w:eastAsia="" w:cs="" w:asciiTheme="majorHAnsi" w:cstheme="majorBidi" w:eastAsiaTheme="majorEastAsia" w:hAnsiTheme="majorHAnsi"/>
      <w:b/>
      <w:bCs/>
    </w:rPr>
  </w:style>
  <w:style w:type="paragraph" w:styleId="IntenseQuote">
    <w:name w:val="Intense Quote"/>
    <w:basedOn w:val="Normal"/>
    <w:next w:val="Normal"/>
    <w:link w:val="IntenseQuoteChar"/>
    <w:uiPriority w:val="30"/>
    <w:semiHidden/>
    <w:unhideWhenUsed/>
    <w:qFormat/>
    <w:pPr>
      <w:pBdr>
        <w:bottom w:val="single" w:sz="4" w:space="4" w:color="7E97AD" w:themeColor="accent1"/>
      </w:pBdr>
      <w:spacing w:before="200" w:after="280"/>
      <w:ind w:left="936" w:right="936"/>
    </w:pPr>
    <w:rPr>
      <w:b/>
      <w:bCs/>
      <w:i/>
      <w:iCs/>
      <w:color w:themeColor="accent1" w:val="7E97AD"/>
    </w:rPr>
  </w:style>
  <w:style w:type="paragraph" w:styleId="List2">
    <w:name w:val="List 2"/>
    <w:basedOn w:val="Normal"/>
    <w:uiPriority w:val="99"/>
    <w:semiHidden/>
    <w:unhideWhenUsed/>
    <w:qFormat/>
    <w:pPr>
      <w:spacing w:before="40" w:after="160"/>
      <w:ind w:hanging="360" w:left="720"/>
      <w:contextualSpacing/>
    </w:pPr>
    <w:rPr/>
  </w:style>
  <w:style w:type="paragraph" w:styleId="List3">
    <w:name w:val="List 3"/>
    <w:basedOn w:val="Normal"/>
    <w:uiPriority w:val="99"/>
    <w:semiHidden/>
    <w:unhideWhenUsed/>
    <w:qFormat/>
    <w:pPr>
      <w:spacing w:before="40" w:after="160"/>
      <w:ind w:hanging="360" w:left="1080"/>
      <w:contextualSpacing/>
    </w:pPr>
    <w:rPr/>
  </w:style>
  <w:style w:type="paragraph" w:styleId="List4">
    <w:name w:val="List 4"/>
    <w:basedOn w:val="Normal"/>
    <w:uiPriority w:val="99"/>
    <w:semiHidden/>
    <w:unhideWhenUsed/>
    <w:qFormat/>
    <w:pPr>
      <w:spacing w:before="40" w:after="160"/>
      <w:ind w:hanging="360" w:left="1440"/>
      <w:contextualSpacing/>
    </w:pPr>
    <w:rPr/>
  </w:style>
  <w:style w:type="paragraph" w:styleId="List5">
    <w:name w:val="List 5"/>
    <w:basedOn w:val="Normal"/>
    <w:uiPriority w:val="99"/>
    <w:semiHidden/>
    <w:unhideWhenUsed/>
    <w:qFormat/>
    <w:pPr>
      <w:spacing w:before="40" w:after="160"/>
      <w:ind w:hanging="360" w:left="1800"/>
      <w:contextualSpacing/>
    </w:pPr>
    <w:rPr/>
  </w:style>
  <w:style w:type="paragraph" w:styleId="ListBullet">
    <w:name w:val="List Bullet"/>
    <w:basedOn w:val="Normal"/>
    <w:uiPriority w:val="1"/>
    <w:unhideWhenUsed/>
    <w:qFormat/>
    <w:pPr>
      <w:numPr>
        <w:ilvl w:val="0"/>
        <w:numId w:val="1"/>
      </w:numPr>
      <w:spacing w:before="40" w:after="40"/>
    </w:pPr>
    <w:rPr/>
  </w:style>
  <w:style w:type="paragraph" w:styleId="ListBullet2">
    <w:name w:val="List Bullet 2"/>
    <w:basedOn w:val="Normal"/>
    <w:uiPriority w:val="99"/>
    <w:semiHidden/>
    <w:unhideWhenUsed/>
    <w:pPr>
      <w:numPr>
        <w:ilvl w:val="0"/>
        <w:numId w:val="2"/>
      </w:numPr>
      <w:spacing w:before="40" w:after="160"/>
      <w:contextualSpacing/>
    </w:pPr>
    <w:rPr/>
  </w:style>
  <w:style w:type="paragraph" w:styleId="ListBullet3">
    <w:name w:val="List Bullet 3"/>
    <w:basedOn w:val="Normal"/>
    <w:uiPriority w:val="99"/>
    <w:semiHidden/>
    <w:unhideWhenUsed/>
    <w:pPr>
      <w:numPr>
        <w:ilvl w:val="0"/>
        <w:numId w:val="3"/>
      </w:numPr>
      <w:spacing w:before="40" w:after="160"/>
      <w:contextualSpacing/>
    </w:pPr>
    <w:rPr/>
  </w:style>
  <w:style w:type="paragraph" w:styleId="ListBullet4">
    <w:name w:val="List Bullet 4"/>
    <w:basedOn w:val="Normal"/>
    <w:uiPriority w:val="99"/>
    <w:semiHidden/>
    <w:unhideWhenUsed/>
    <w:pPr>
      <w:numPr>
        <w:ilvl w:val="0"/>
        <w:numId w:val="4"/>
      </w:numPr>
      <w:spacing w:before="40" w:after="160"/>
      <w:contextualSpacing/>
    </w:pPr>
    <w:rPr/>
  </w:style>
  <w:style w:type="paragraph" w:styleId="ListBullet5">
    <w:name w:val="List Bullet 5"/>
    <w:basedOn w:val="Normal"/>
    <w:uiPriority w:val="99"/>
    <w:semiHidden/>
    <w:unhideWhenUsed/>
    <w:pPr>
      <w:numPr>
        <w:ilvl w:val="0"/>
        <w:numId w:val="5"/>
      </w:numPr>
      <w:spacing w:before="40" w:after="160"/>
      <w:contextualSpacing/>
    </w:pPr>
    <w:rPr/>
  </w:style>
  <w:style w:type="paragraph" w:styleId="ListContinue">
    <w:name w:val="List Continue"/>
    <w:basedOn w:val="Normal"/>
    <w:uiPriority w:val="99"/>
    <w:semiHidden/>
    <w:unhideWhenUsed/>
    <w:pPr>
      <w:spacing w:before="40" w:after="120"/>
      <w:ind w:left="360"/>
      <w:contextualSpacing/>
    </w:pPr>
    <w:rPr/>
  </w:style>
  <w:style w:type="paragraph" w:styleId="ListContinue2">
    <w:name w:val="List Continue 2"/>
    <w:basedOn w:val="Normal"/>
    <w:uiPriority w:val="99"/>
    <w:semiHidden/>
    <w:unhideWhenUsed/>
    <w:pPr>
      <w:spacing w:before="40" w:after="120"/>
      <w:ind w:left="720"/>
      <w:contextualSpacing/>
    </w:pPr>
    <w:rPr/>
  </w:style>
  <w:style w:type="paragraph" w:styleId="ListContinue3">
    <w:name w:val="List Continue 3"/>
    <w:basedOn w:val="Normal"/>
    <w:uiPriority w:val="99"/>
    <w:semiHidden/>
    <w:unhideWhenUsed/>
    <w:pPr>
      <w:spacing w:before="40" w:after="120"/>
      <w:ind w:left="1080"/>
      <w:contextualSpacing/>
    </w:pPr>
    <w:rPr/>
  </w:style>
  <w:style w:type="paragraph" w:styleId="ListContinue4">
    <w:name w:val="List Continue 4"/>
    <w:basedOn w:val="Normal"/>
    <w:uiPriority w:val="99"/>
    <w:semiHidden/>
    <w:unhideWhenUsed/>
    <w:pPr>
      <w:spacing w:before="40" w:after="120"/>
      <w:ind w:left="1440"/>
      <w:contextualSpacing/>
    </w:pPr>
    <w:rPr/>
  </w:style>
  <w:style w:type="paragraph" w:styleId="ListContinue5">
    <w:name w:val="List Continue 5"/>
    <w:basedOn w:val="Normal"/>
    <w:uiPriority w:val="99"/>
    <w:semiHidden/>
    <w:unhideWhenUsed/>
    <w:pPr>
      <w:spacing w:before="40" w:after="120"/>
      <w:ind w:left="1800"/>
      <w:contextualSpacing/>
    </w:pPr>
    <w:rPr/>
  </w:style>
  <w:style w:type="paragraph" w:styleId="ListNumber">
    <w:name w:val="List Number"/>
    <w:basedOn w:val="Normal"/>
    <w:uiPriority w:val="1"/>
    <w:unhideWhenUsed/>
    <w:qFormat/>
    <w:pPr>
      <w:numPr>
        <w:ilvl w:val="0"/>
        <w:numId w:val="6"/>
      </w:numPr>
      <w:spacing w:before="40" w:after="160"/>
      <w:contextualSpacing/>
    </w:pPr>
    <w:rPr/>
  </w:style>
  <w:style w:type="paragraph" w:styleId="ListNumber2">
    <w:name w:val="List Number 2"/>
    <w:basedOn w:val="Normal"/>
    <w:uiPriority w:val="1"/>
    <w:unhideWhenUsed/>
    <w:qFormat/>
    <w:pPr>
      <w:numPr>
        <w:ilvl w:val="1"/>
        <w:numId w:val="6"/>
      </w:numPr>
      <w:spacing w:before="40" w:after="160"/>
      <w:contextualSpacing/>
    </w:pPr>
    <w:rPr/>
  </w:style>
  <w:style w:type="paragraph" w:styleId="ListNumber3">
    <w:name w:val="List Number 3"/>
    <w:basedOn w:val="Normal"/>
    <w:uiPriority w:val="18"/>
    <w:unhideWhenUsed/>
    <w:qFormat/>
    <w:pPr>
      <w:numPr>
        <w:ilvl w:val="2"/>
        <w:numId w:val="6"/>
      </w:numPr>
      <w:spacing w:before="40" w:after="160"/>
      <w:contextualSpacing/>
    </w:pPr>
    <w:rPr/>
  </w:style>
  <w:style w:type="paragraph" w:styleId="ListNumber4">
    <w:name w:val="List Number 4"/>
    <w:basedOn w:val="Normal"/>
    <w:uiPriority w:val="18"/>
    <w:semiHidden/>
    <w:unhideWhenUsed/>
    <w:pPr>
      <w:numPr>
        <w:ilvl w:val="3"/>
        <w:numId w:val="6"/>
      </w:numPr>
      <w:spacing w:before="40" w:after="160"/>
      <w:contextualSpacing/>
    </w:pPr>
    <w:rPr/>
  </w:style>
  <w:style w:type="paragraph" w:styleId="ListNumber5">
    <w:name w:val="List Number 5"/>
    <w:basedOn w:val="Normal"/>
    <w:uiPriority w:val="18"/>
    <w:semiHidden/>
    <w:unhideWhenUsed/>
    <w:pPr>
      <w:numPr>
        <w:ilvl w:val="4"/>
        <w:numId w:val="6"/>
      </w:numPr>
      <w:spacing w:before="40" w:after="160"/>
      <w:contextualSpacing/>
    </w:pPr>
    <w:rPr/>
  </w:style>
  <w:style w:type="paragraph" w:styleId="ListParagraph">
    <w:name w:val="List Paragraph"/>
    <w:basedOn w:val="Normal"/>
    <w:link w:val="ListParagraphChar"/>
    <w:unhideWhenUsed/>
    <w:qFormat/>
    <w:pPr>
      <w:spacing w:before="40" w:after="160"/>
      <w:ind w:left="720"/>
      <w:contextualSpacing/>
    </w:pPr>
    <w:rPr/>
  </w:style>
  <w:style w:type="paragraph" w:styleId="Macro">
    <w:name w:val="macro"/>
    <w:link w:val="MacroTextChar"/>
    <w:uiPriority w:val="99"/>
    <w:semiHidden/>
    <w:unhideWhenUsed/>
    <w:qFormat/>
    <w:pPr>
      <w:widowControl/>
      <w:tabs>
        <w:tab w:val="clear" w:pos="720"/>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spacing w:lineRule="auto" w:line="300" w:before="40" w:after="0"/>
      <w:jc w:val="left"/>
    </w:pPr>
    <w:rPr>
      <w:rFonts w:ascii="Consolas" w:hAnsi="Consolas" w:cs="Consolas" w:eastAsia="Cambria" w:eastAsiaTheme="minorHAnsi"/>
      <w:color w:themeColor="text1" w:themeTint="a6" w:val="595959"/>
      <w:kern w:val="0"/>
      <w:sz w:val="20"/>
      <w:szCs w:val="20"/>
      <w:lang w:val="en-US" w:eastAsia="ja-JP" w:bidi="ar-SA"/>
    </w:rPr>
  </w:style>
  <w:style w:type="paragraph" w:styleId="MessageHeader">
    <w:name w:val="Message Header"/>
    <w:basedOn w:val="Normal"/>
    <w:link w:val="MessageHeaderChar"/>
    <w:uiPriority w:val="99"/>
    <w:semiHidden/>
    <w:unhideWhenUsed/>
    <w:qFormat/>
    <w:pPr>
      <w:pBdr>
        <w:top w:val="single" w:sz="6" w:space="1" w:color="000000"/>
        <w:left w:val="single" w:sz="6" w:space="1" w:color="000000"/>
        <w:bottom w:val="single" w:sz="6" w:space="1" w:color="000000"/>
        <w:right w:val="single" w:sz="6" w:space="1" w:color="000000"/>
      </w:pBdr>
      <w:shd w:val="pct20" w:color="auto" w:fill="auto"/>
      <w:spacing w:lineRule="auto" w:line="240" w:before="40" w:after="0"/>
      <w:ind w:hanging="1080" w:left="1080"/>
    </w:pPr>
    <w:rPr>
      <w:rFonts w:ascii="Calibri" w:hAnsi="Calibri" w:eastAsia="" w:cs="" w:asciiTheme="majorHAnsi" w:cstheme="majorBidi" w:eastAsiaTheme="majorEastAsia" w:hAnsiTheme="majorHAnsi"/>
    </w:rPr>
  </w:style>
  <w:style w:type="paragraph" w:styleId="NormalWeb">
    <w:name w:val="Normal (Web)"/>
    <w:basedOn w:val="Normal"/>
    <w:uiPriority w:val="99"/>
    <w:semiHidden/>
    <w:unhideWhenUsed/>
    <w:qFormat/>
    <w:pPr/>
    <w:rPr>
      <w:rFonts w:cs="Times New Roman"/>
    </w:rPr>
  </w:style>
  <w:style w:type="paragraph" w:styleId="NormalIndent">
    <w:name w:val="Normal Indent"/>
    <w:basedOn w:val="Normal"/>
    <w:uiPriority w:val="99"/>
    <w:semiHidden/>
    <w:unhideWhenUsed/>
    <w:qFormat/>
    <w:pPr>
      <w:ind w:left="720"/>
    </w:pPr>
    <w:rPr/>
  </w:style>
  <w:style w:type="paragraph" w:styleId="NoteHeading">
    <w:name w:val="Note Heading"/>
    <w:basedOn w:val="Normal"/>
    <w:next w:val="Normal"/>
    <w:link w:val="NoteHeadingChar"/>
    <w:uiPriority w:val="99"/>
    <w:semiHidden/>
    <w:unhideWhenUsed/>
    <w:qFormat/>
    <w:pPr>
      <w:spacing w:lineRule="auto" w:line="240" w:before="40" w:after="0"/>
    </w:pPr>
    <w:rPr/>
  </w:style>
  <w:style w:type="paragraph" w:styleId="PlainText">
    <w:name w:val="Plain Text"/>
    <w:basedOn w:val="Normal"/>
    <w:link w:val="PlainTextChar"/>
    <w:uiPriority w:val="99"/>
    <w:semiHidden/>
    <w:unhideWhenUsed/>
    <w:qFormat/>
    <w:pPr>
      <w:spacing w:lineRule="auto" w:line="240" w:before="40" w:after="0"/>
    </w:pPr>
    <w:rPr>
      <w:rFonts w:ascii="Consolas" w:hAnsi="Consolas" w:cs="Consolas"/>
      <w:sz w:val="21"/>
    </w:rPr>
  </w:style>
  <w:style w:type="paragraph" w:styleId="Salutation">
    <w:name w:val="Salutation"/>
    <w:basedOn w:val="Normal"/>
    <w:next w:val="Normal"/>
    <w:link w:val="SalutationChar"/>
    <w:uiPriority w:val="99"/>
    <w:semiHidden/>
    <w:unhideWhenUsed/>
    <w:pPr/>
    <w:rPr/>
  </w:style>
  <w:style w:type="paragraph" w:styleId="Signature">
    <w:name w:val="Signature"/>
    <w:basedOn w:val="Normal"/>
    <w:link w:val="SignatureChar"/>
    <w:uiPriority w:val="9"/>
    <w:unhideWhenUsed/>
    <w:qFormat/>
    <w:pPr>
      <w:spacing w:lineRule="auto" w:line="312" w:before="720" w:after="0"/>
      <w:contextualSpacing/>
    </w:pPr>
    <w:rPr/>
  </w:style>
  <w:style w:type="paragraph" w:styleId="Subtitle">
    <w:name w:val="Subtitle"/>
    <w:basedOn w:val="Normal"/>
    <w:next w:val="Normal"/>
    <w:link w:val="SubtitleChar"/>
    <w:uiPriority w:val="19"/>
    <w:unhideWhenUsed/>
    <w:qFormat/>
    <w:pPr>
      <w:ind w:left="144" w:right="720"/>
    </w:pPr>
    <w:rPr>
      <w:rFonts w:ascii="Calibri" w:hAnsi="Calibri" w:eastAsia="" w:cs="" w:asciiTheme="majorHAnsi" w:cstheme="majorBidi" w:eastAsiaTheme="majorEastAsia" w:hAnsiTheme="majorHAnsi"/>
      <w:caps/>
      <w:color w:themeColor="accent1" w:val="7E97AD"/>
      <w:sz w:val="64"/>
    </w:rPr>
  </w:style>
  <w:style w:type="paragraph" w:styleId="Tableofauthorities">
    <w:name w:val="table of authorities"/>
    <w:basedOn w:val="Normal"/>
    <w:next w:val="Normal"/>
    <w:uiPriority w:val="99"/>
    <w:semiHidden/>
    <w:unhideWhenUsed/>
    <w:qFormat/>
    <w:pPr>
      <w:spacing w:before="40" w:after="0"/>
      <w:ind w:hanging="220" w:left="220"/>
    </w:pPr>
    <w:rPr/>
  </w:style>
  <w:style w:type="paragraph" w:styleId="TableofFigures">
    <w:name w:val="Table of Figures"/>
    <w:basedOn w:val="Normal"/>
    <w:next w:val="Normal"/>
    <w:uiPriority w:val="99"/>
    <w:semiHidden/>
    <w:unhideWhenUsed/>
    <w:pPr>
      <w:spacing w:before="40" w:after="0"/>
    </w:pPr>
    <w:r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lineRule="exact" w:line="1200" w:before="240" w:after="240"/>
      <w:ind w:left="115" w:right="115"/>
    </w:pPr>
    <w:rPr>
      <w:rFonts w:ascii="Calibri" w:hAnsi="Calibri" w:eastAsia="" w:cs="" w:asciiTheme="majorHAnsi" w:cstheme="majorBidi" w:eastAsiaTheme="majorEastAsia" w:hAnsiTheme="majorHAnsi"/>
      <w:caps/>
      <w:color w:themeColor="background1" w:val="FFFFFF"/>
      <w:spacing w:val="40"/>
      <w:kern w:val="2"/>
      <w:sz w:val="136"/>
      <w14:ligatures w14:val="standardContextual"/>
    </w:rPr>
  </w:style>
  <w:style w:type="paragraph" w:styleId="Toaheading">
    <w:name w:val="toa heading"/>
    <w:basedOn w:val="Normal"/>
    <w:next w:val="Normal"/>
    <w:uiPriority w:val="99"/>
    <w:semiHidden/>
    <w:unhideWhenUsed/>
    <w:qFormat/>
    <w:pPr>
      <w:spacing w:before="120" w:after="160"/>
    </w:pPr>
    <w:rPr>
      <w:rFonts w:ascii="Calibri" w:hAnsi="Calibri" w:eastAsia="" w:cs="" w:asciiTheme="majorHAnsi" w:cstheme="majorBidi" w:eastAsiaTheme="majorEastAsia" w:hAnsiTheme="majorHAnsi"/>
      <w:b/>
      <w:bCs/>
    </w:rPr>
  </w:style>
  <w:style w:type="paragraph" w:styleId="TOC1">
    <w:name w:val="TOC 1"/>
    <w:basedOn w:val="Normal"/>
    <w:next w:val="Normal"/>
    <w:autoRedefine/>
    <w:uiPriority w:val="39"/>
    <w:unhideWhenUsed/>
    <w:rsid w:val="00636068"/>
    <w:pPr>
      <w:tabs>
        <w:tab w:val="clear" w:pos="720"/>
        <w:tab w:val="right" w:pos="9090" w:leader="underscore"/>
      </w:tabs>
      <w:spacing w:before="40" w:after="100"/>
    </w:pPr>
    <w:rPr/>
  </w:style>
  <w:style w:type="paragraph" w:styleId="TOC2">
    <w:name w:val="TOC 2"/>
    <w:basedOn w:val="Normal"/>
    <w:next w:val="Normal"/>
    <w:autoRedefine/>
    <w:uiPriority w:val="39"/>
    <w:unhideWhenUsed/>
    <w:pPr>
      <w:spacing w:before="40" w:after="100"/>
      <w:ind w:left="220"/>
    </w:pPr>
    <w:rPr/>
  </w:style>
  <w:style w:type="paragraph" w:styleId="TOC3">
    <w:name w:val="TOC 3"/>
    <w:basedOn w:val="Normal"/>
    <w:next w:val="Normal"/>
    <w:autoRedefine/>
    <w:uiPriority w:val="39"/>
    <w:unhideWhenUsed/>
    <w:rsid w:val="00660cdd"/>
    <w:pPr>
      <w:tabs>
        <w:tab w:val="clear" w:pos="720"/>
        <w:tab w:val="left" w:pos="1540" w:leader="none"/>
        <w:tab w:val="right" w:pos="9120" w:leader="underscore"/>
      </w:tabs>
      <w:spacing w:before="40" w:after="100"/>
      <w:ind w:left="220"/>
    </w:pPr>
    <w:rPr/>
  </w:style>
  <w:style w:type="paragraph" w:styleId="TOC4">
    <w:name w:val="TOC 4"/>
    <w:basedOn w:val="Normal"/>
    <w:next w:val="Normal"/>
    <w:autoRedefine/>
    <w:uiPriority w:val="39"/>
    <w:semiHidden/>
    <w:unhideWhenUsed/>
    <w:pPr>
      <w:spacing w:before="40" w:after="100"/>
      <w:ind w:left="660"/>
    </w:pPr>
    <w:rPr/>
  </w:style>
  <w:style w:type="paragraph" w:styleId="TOC5">
    <w:name w:val="TOC 5"/>
    <w:basedOn w:val="Normal"/>
    <w:next w:val="Normal"/>
    <w:autoRedefine/>
    <w:uiPriority w:val="39"/>
    <w:semiHidden/>
    <w:unhideWhenUsed/>
    <w:pPr>
      <w:spacing w:before="40" w:after="100"/>
      <w:ind w:left="880"/>
    </w:pPr>
    <w:rPr/>
  </w:style>
  <w:style w:type="paragraph" w:styleId="TOC6">
    <w:name w:val="TOC 6"/>
    <w:basedOn w:val="Normal"/>
    <w:next w:val="Normal"/>
    <w:autoRedefine/>
    <w:uiPriority w:val="39"/>
    <w:semiHidden/>
    <w:unhideWhenUsed/>
    <w:pPr>
      <w:spacing w:before="40" w:after="100"/>
      <w:ind w:left="1100"/>
    </w:pPr>
    <w:rPr/>
  </w:style>
  <w:style w:type="paragraph" w:styleId="TOC7">
    <w:name w:val="TOC 7"/>
    <w:basedOn w:val="Normal"/>
    <w:next w:val="Normal"/>
    <w:autoRedefine/>
    <w:uiPriority w:val="39"/>
    <w:semiHidden/>
    <w:unhideWhenUsed/>
    <w:pPr>
      <w:spacing w:before="40" w:after="100"/>
      <w:ind w:left="1320"/>
    </w:pPr>
    <w:rPr/>
  </w:style>
  <w:style w:type="paragraph" w:styleId="TOC8">
    <w:name w:val="TOC 8"/>
    <w:basedOn w:val="Normal"/>
    <w:next w:val="Normal"/>
    <w:autoRedefine/>
    <w:uiPriority w:val="39"/>
    <w:semiHidden/>
    <w:unhideWhenUsed/>
    <w:pPr>
      <w:spacing w:before="40" w:after="100"/>
      <w:ind w:left="1540"/>
    </w:pPr>
    <w:rPr/>
  </w:style>
  <w:style w:type="paragraph" w:styleId="TOC9">
    <w:name w:val="TOC 9"/>
    <w:basedOn w:val="Normal"/>
    <w:next w:val="Normal"/>
    <w:autoRedefine/>
    <w:uiPriority w:val="39"/>
    <w:semiHidden/>
    <w:unhideWhenUsed/>
    <w:pPr>
      <w:spacing w:before="40" w:after="100"/>
      <w:ind w:left="1760"/>
    </w:pPr>
    <w:rPr/>
  </w:style>
  <w:style w:type="paragraph" w:styleId="IndexHeading">
    <w:name w:val="Index Heading"/>
    <w:basedOn w:val="Heading"/>
    <w:pPr/>
    <w:rPr/>
  </w:style>
  <w:style w:type="paragraph" w:styleId="TOCHeading">
    <w:name w:val="TOC Heading"/>
    <w:basedOn w:val="Heading1"/>
    <w:next w:val="Normal"/>
    <w:uiPriority w:val="39"/>
    <w:unhideWhenUsed/>
    <w:qFormat/>
    <w:pPr>
      <w:outlineLvl w:val="9"/>
    </w:pPr>
    <w:rPr/>
  </w:style>
  <w:style w:type="paragraph" w:styleId="TableContents">
    <w:name w:val="Table Contents"/>
    <w:basedOn w:val="Normal"/>
    <w:qFormat/>
    <w:pPr/>
    <w:rPr/>
  </w:style>
  <w:style w:type="paragraph" w:styleId="TableHeading" w:customStyle="1">
    <w:name w:val="Table Heading"/>
    <w:basedOn w:val="Normal"/>
    <w:uiPriority w:val="1"/>
    <w:qFormat/>
    <w:pPr>
      <w:keepNext w:val="true"/>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after="160"/>
      <w:ind w:left="144" w:right="144"/>
    </w:pPr>
    <w:rPr>
      <w:rFonts w:ascii="Calibri" w:hAnsi="Calibri" w:eastAsia="" w:cs="" w:asciiTheme="majorHAnsi" w:cstheme="majorBidi" w:eastAsiaTheme="majorEastAsia" w:hAnsiTheme="majorHAnsi"/>
      <w:caps/>
      <w:color w:themeColor="background1" w:val="FFFFFF"/>
    </w:rPr>
  </w:style>
  <w:style w:type="paragraph" w:styleId="TableTextDecimal" w:customStyle="1">
    <w:name w:val="Table Text Decimal"/>
    <w:basedOn w:val="Normal"/>
    <w:uiPriority w:val="1"/>
    <w:qFormat/>
    <w:pPr>
      <w:tabs>
        <w:tab w:val="clear" w:pos="720"/>
        <w:tab w:val="decimal" w:pos="1252" w:leader="none"/>
      </w:tabs>
      <w:spacing w:lineRule="auto" w:line="240" w:before="60" w:after="60"/>
      <w:ind w:left="144" w:right="144"/>
    </w:pPr>
    <w:rPr/>
  </w:style>
  <w:style w:type="paragraph" w:styleId="Abstract" w:customStyle="1">
    <w:name w:val="Abstract"/>
    <w:basedOn w:val="Normal"/>
    <w:uiPriority w:val="19"/>
    <w:qFormat/>
    <w:pPr>
      <w:spacing w:before="360" w:after="600"/>
      <w:ind w:left="144" w:right="144"/>
    </w:pPr>
    <w:rPr>
      <w:i/>
      <w:iCs/>
      <w:color w:themeColor="text1" w:themeTint="80" w:val="7F7F7F"/>
      <w:sz w:val="28"/>
    </w:rPr>
  </w:style>
  <w:style w:type="paragraph" w:styleId="TableText" w:customStyle="1">
    <w:name w:val="Table Text"/>
    <w:basedOn w:val="Normal"/>
    <w:uiPriority w:val="9"/>
    <w:qFormat/>
    <w:pPr>
      <w:spacing w:lineRule="auto" w:line="240" w:before="60" w:after="60"/>
      <w:ind w:left="144" w:right="144"/>
    </w:pPr>
    <w:rPr/>
  </w:style>
  <w:style w:type="paragraph" w:styleId="TableReverseHeading" w:customStyle="1">
    <w:name w:val="Table Reverse Heading"/>
    <w:basedOn w:val="Normal"/>
    <w:uiPriority w:val="9"/>
    <w:qFormat/>
    <w:pPr>
      <w:spacing w:lineRule="auto" w:line="240" w:before="40" w:after="40"/>
      <w:ind w:left="144" w:right="144"/>
    </w:pPr>
    <w:rPr>
      <w:rFonts w:ascii="Calibri" w:hAnsi="Calibri" w:eastAsia="" w:cs="" w:asciiTheme="majorHAnsi" w:cstheme="majorBidi" w:eastAsiaTheme="majorEastAsia" w:hAnsiTheme="majorHAnsi"/>
      <w:caps/>
      <w:color w:themeColor="background1" w:val="FFFFFF"/>
    </w:rPr>
  </w:style>
  <w:style w:type="paragraph" w:styleId="HeaderShaded" w:customStyle="1">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lineRule="auto" w:line="240" w:before="40" w:after="0"/>
      <w:ind w:left="-360" w:right="-360"/>
    </w:pPr>
    <w:rPr>
      <w:rFonts w:ascii="Calibri" w:hAnsi="Calibri" w:eastAsia="" w:cs="" w:asciiTheme="majorHAnsi" w:cstheme="majorBidi" w:eastAsiaTheme="majorEastAsia" w:hAnsiTheme="majorHAnsi"/>
      <w:caps/>
      <w:color w:themeColor="background1" w:val="FFFFFF"/>
      <w:sz w:val="48"/>
    </w:rPr>
  </w:style>
  <w:style w:type="paragraph" w:styleId="CentrBoldm" w:customStyle="1">
    <w:name w:val="CentrBoldm"/>
    <w:basedOn w:val="Normal"/>
    <w:qFormat/>
    <w:rsid w:val="003a451d"/>
    <w:pPr>
      <w:spacing w:lineRule="auto" w:line="240" w:before="0" w:after="0"/>
      <w:jc w:val="center"/>
    </w:pPr>
    <w:rPr>
      <w:rFonts w:ascii="TimesLT" w:hAnsi="TimesLT" w:eastAsia="Calibri" w:cs="Times New Roman"/>
      <w:b/>
      <w:bCs/>
      <w:kern w:val="0"/>
      <w:szCs w:val="24"/>
      <w:lang w:eastAsia="en-US"/>
    </w:rPr>
  </w:style>
  <w:style w:type="paragraph" w:styleId="Tablenumber" w:customStyle="1">
    <w:name w:val="Table number"/>
    <w:basedOn w:val="ListParagraph"/>
    <w:link w:val="TablenumberChar"/>
    <w:qFormat/>
    <w:rsid w:val="00a72217"/>
    <w:pPr>
      <w:spacing w:lineRule="auto" w:line="240" w:before="0" w:after="0"/>
      <w:ind w:left="0"/>
      <w:contextualSpacing/>
      <w:jc w:val="both"/>
    </w:pPr>
    <w:rPr>
      <w:rFonts w:eastAsia="Calibri" w:cs="Times New Roman"/>
      <w:kern w:val="0"/>
      <w:sz w:val="22"/>
      <w:szCs w:val="24"/>
      <w:lang w:eastAsia="en-US"/>
    </w:rPr>
  </w:style>
  <w:style w:type="paragraph" w:styleId="Revision">
    <w:name w:val="Revision"/>
    <w:uiPriority w:val="99"/>
    <w:semiHidden/>
    <w:qFormat/>
    <w:rsid w:val="00a03e72"/>
    <w:pPr>
      <w:widowControl/>
      <w:bidi w:val="0"/>
      <w:spacing w:lineRule="auto" w:line="240" w:before="0" w:after="0"/>
      <w:jc w:val="left"/>
    </w:pPr>
    <w:rPr>
      <w:rFonts w:ascii="Cambria" w:hAnsi="Cambria" w:eastAsia="Cambria" w:cs="" w:asciiTheme="minorHAnsi" w:cstheme="minorBidi" w:eastAsiaTheme="minorHAnsi" w:hAnsiTheme="minorHAnsi"/>
      <w:color w:themeColor="text1" w:themeTint="a6" w:val="595959"/>
      <w:kern w:val="2"/>
      <w:sz w:val="20"/>
      <w:szCs w:val="20"/>
      <w:lang w:val="lt-LT" w:eastAsia="ja-JP" w:bidi="ar-SA"/>
    </w:rPr>
  </w:style>
  <w:style w:type="paragraph" w:styleId="TableParagraph" w:customStyle="1">
    <w:name w:val="Table Paragraph"/>
    <w:basedOn w:val="Normal"/>
    <w:uiPriority w:val="1"/>
    <w:qFormat/>
    <w:rsid w:val="000f66bf"/>
    <w:pPr>
      <w:widowControl w:val="false"/>
      <w:spacing w:lineRule="auto" w:line="240" w:before="0" w:after="0"/>
    </w:pPr>
    <w:rPr>
      <w:rFonts w:ascii="Cambria" w:hAnsi="Cambria" w:asciiTheme="minorHAnsi" w:hAnsiTheme="minorHAnsi"/>
      <w:kern w:val="0"/>
      <w:sz w:val="22"/>
      <w:szCs w:val="22"/>
      <w:lang w:val="en-US" w:eastAsia="en-US"/>
    </w:rPr>
  </w:style>
  <w:style w:type="paragraph" w:styleId="Default" w:customStyle="1">
    <w:name w:val="Default"/>
    <w:qFormat/>
    <w:rsid w:val="00cd6f3f"/>
    <w:pPr>
      <w:widowControl/>
      <w:bidi w:val="0"/>
      <w:spacing w:lineRule="auto" w:line="240" w:before="0" w:after="0"/>
      <w:jc w:val="left"/>
    </w:pPr>
    <w:rPr>
      <w:rFonts w:ascii="Georgia" w:hAnsi="Georgia" w:cs="Georgia" w:eastAsia="Cambria"/>
      <w:color w:themeColor="text1" w:themeTint="a6" w:val="000000"/>
      <w:kern w:val="0"/>
      <w:sz w:val="24"/>
      <w:szCs w:val="24"/>
      <w:lang w:val="lt-LT" w:eastAsia="ja-JP" w:bidi="ar-SA"/>
    </w:rPr>
  </w:style>
  <w:style w:type="numbering" w:styleId="NoList" w:default="1">
    <w:name w:val="No List"/>
    <w:uiPriority w:val="99"/>
    <w:semiHidden/>
    <w:unhideWhenUsed/>
    <w:qFormat/>
  </w:style>
  <w:style w:type="numbering" w:styleId="AnnualReport" w:customStyle="1">
    <w:name w:val="Annual Report"/>
    <w:uiPriority w:val="99"/>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olorfulGrid">
    <w:name w:val="Colorful Grid"/>
    <w:basedOn w:val="TableNorma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themeColor="text1"/>
      </w:rPr>
      <w:tblPr/>
      <w:tcPr>
        <w:shd w:val="clear" w:color="auto" w:fill="999999" w:themeFill="text1" w:themeFillTint="66"/>
      </w:tcPr>
    </w:tblStylePr>
    <w:tblStylePr w:type="firstCol">
      <w:rPr>
        <w:color w:themeColor="background1"/>
      </w:rPr>
      <w:tblPr/>
      <w:tcPr>
        <w:shd w:val="clear" w:color="auto" w:fill="000000" w:themeFill="text1" w:themeFillShade="bf"/>
      </w:tcPr>
    </w:tblStylePr>
    <w:tblStylePr w:type="lastCol">
      <w:rPr>
        <w:color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themeColor="text1"/>
      </w:rPr>
      <w:tblPr/>
      <w:tcPr>
        <w:shd w:val="clear" w:color="auto" w:fill="CBD5DE" w:themeFill="accent1" w:themeFillTint="66"/>
      </w:tcPr>
    </w:tblStylePr>
    <w:tblStylePr w:type="firstCol">
      <w:rPr>
        <w:color w:themeColor="background1"/>
      </w:rPr>
      <w:tblPr/>
      <w:tcPr>
        <w:shd w:val="clear" w:color="auto" w:fill="577188" w:themeFill="accent1" w:themeFillShade="bf"/>
      </w:tcPr>
    </w:tblStylePr>
    <w:tblStylePr w:type="lastCol">
      <w:rPr>
        <w:color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themeColor="text1"/>
      </w:rPr>
      <w:tblPr/>
      <w:tcPr>
        <w:shd w:val="clear" w:color="auto" w:fill="EAD1BF" w:themeFill="accent2" w:themeFillTint="66"/>
      </w:tcPr>
    </w:tblStylePr>
    <w:tblStylePr w:type="firstCol">
      <w:rPr>
        <w:color w:themeColor="background1"/>
      </w:rPr>
      <w:tblPr/>
      <w:tcPr>
        <w:shd w:val="clear" w:color="auto" w:fill="AA6736" w:themeFill="accent2" w:themeFillShade="bf"/>
      </w:tcPr>
    </w:tblStylePr>
    <w:tblStylePr w:type="lastCol">
      <w:rPr>
        <w:color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themeColor="text1"/>
      </w:rPr>
      <w:tblPr/>
      <w:tcPr>
        <w:shd w:val="clear" w:color="auto" w:fill="CBC2BD" w:themeFill="accent3" w:themeFillTint="66"/>
      </w:tcPr>
    </w:tblStylePr>
    <w:tblStylePr w:type="firstCol">
      <w:rPr>
        <w:color w:themeColor="background1"/>
      </w:rPr>
      <w:tblPr/>
      <w:tcPr>
        <w:shd w:val="clear" w:color="auto" w:fill="5B4F47" w:themeFill="accent3" w:themeFillShade="bf"/>
      </w:tcPr>
    </w:tblStylePr>
    <w:tblStylePr w:type="lastCol">
      <w:rPr>
        <w:color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themeColor="text1"/>
      </w:rPr>
      <w:tblPr/>
      <w:tcPr>
        <w:shd w:val="clear" w:color="auto" w:fill="E1D3C4" w:themeFill="accent4" w:themeFillTint="66"/>
      </w:tcPr>
    </w:tblStylePr>
    <w:tblStylePr w:type="firstCol">
      <w:rPr>
        <w:color w:themeColor="background1"/>
      </w:rPr>
      <w:tblPr/>
      <w:tcPr>
        <w:shd w:val="clear" w:color="auto" w:fill="8E6E49" w:themeFill="accent4" w:themeFillShade="bf"/>
      </w:tcPr>
    </w:tblStylePr>
    <w:tblStylePr w:type="lastCol">
      <w:rPr>
        <w:color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themeColor="text1"/>
      </w:rPr>
      <w:tblPr/>
      <w:tcPr>
        <w:shd w:val="clear" w:color="auto" w:fill="C1C9CB" w:themeFill="accent5" w:themeFillTint="66"/>
      </w:tcPr>
    </w:tblStylePr>
    <w:tblStylePr w:type="firstCol">
      <w:rPr>
        <w:color w:themeColor="background1"/>
      </w:rPr>
      <w:tblPr/>
      <w:tcPr>
        <w:shd w:val="clear" w:color="auto" w:fill="4D595B" w:themeFill="accent5" w:themeFillShade="bf"/>
      </w:tcPr>
    </w:tblStylePr>
    <w:tblStylePr w:type="lastCol">
      <w:rPr>
        <w:color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themeColor="text1"/>
      </w:rPr>
      <w:tblPr/>
      <w:tcPr>
        <w:shd w:val="clear" w:color="auto" w:fill="D7D3C5" w:themeFill="accent6" w:themeFillTint="66"/>
      </w:tcPr>
    </w:tblStylePr>
    <w:tblStylePr w:type="firstCol">
      <w:rPr>
        <w:color w:themeColor="background1"/>
      </w:rPr>
      <w:tblPr/>
      <w:tcPr>
        <w:shd w:val="clear" w:color="auto" w:fill="776E51" w:themeFill="accent6" w:themeFillShade="bf"/>
      </w:tcPr>
    </w:tblStylePr>
    <w:tblStylePr w:type="lastCol">
      <w:rPr>
        <w:color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themeColor="text1"/>
    </w:rPr>
    <w:tblPr>
      <w:tblStyleRowBandSize w:val="1"/>
      <w:tblStyleColBandSize w:val="1"/>
    </w:tblPr>
    <w:tcPr>
      <w:shd w:val="clear" w:color="auto" w:fill="E6E6E6" w:themeFill="text1" w:themeFillTint="19"/>
    </w:tcPr>
    <w:tblStylePr w:type="firstRow">
      <w:rPr>
        <w:b/>
        <w:bCs/>
        <w:color w:themeColor="background1"/>
      </w:rPr>
      <w:tblPr/>
      <w:tcPr>
        <w:tcBorders>
          <w:bottom w:val="single" w:color="FFFFFF" w:themeColor="background1" w:sz="12" w:space="0"/>
        </w:tcBorders>
        <w:shd w:val="clear" w:color="auto" w:fill="B56E3A"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themeColor="text1"/>
    </w:rPr>
    <w:tblPr>
      <w:tblStyleRowBandSize w:val="1"/>
      <w:tblStyleColBandSize w:val="1"/>
    </w:tblPr>
    <w:tcPr>
      <w:shd w:val="clear" w:color="auto" w:fill="F2F4F6" w:themeFill="accent1" w:themeFillTint="19"/>
    </w:tcPr>
    <w:tblStylePr w:type="firstRow">
      <w:rPr>
        <w:b/>
        <w:bCs/>
        <w:color w:themeColor="background1"/>
      </w:rPr>
      <w:tblPr/>
      <w:tcPr>
        <w:tcBorders>
          <w:bottom w:val="single" w:color="FFFFFF" w:themeColor="background1" w:sz="12" w:space="0"/>
        </w:tcBorders>
        <w:shd w:val="clear" w:color="auto" w:fill="B56E3A"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themeColor="text1"/>
    </w:rPr>
    <w:tblPr>
      <w:tblStyleRowBandSize w:val="1"/>
      <w:tblStyleColBandSize w:val="1"/>
    </w:tblPr>
    <w:tcPr>
      <w:shd w:val="clear" w:color="auto" w:fill="FAF3EF" w:themeFill="accent2" w:themeFillTint="19"/>
    </w:tcPr>
    <w:tblStylePr w:type="firstRow">
      <w:rPr>
        <w:b/>
        <w:bCs/>
        <w:color w:themeColor="background1"/>
      </w:rPr>
      <w:tblPr/>
      <w:tcPr>
        <w:tcBorders>
          <w:bottom w:val="single" w:color="FFFFFF" w:themeColor="background1" w:sz="12" w:space="0"/>
        </w:tcBorders>
        <w:shd w:val="clear" w:color="auto" w:fill="B56E3A"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themeColor="text1"/>
    </w:rPr>
    <w:tblPr>
      <w:tblStyleRowBandSize w:val="1"/>
      <w:tblStyleColBandSize w:val="1"/>
    </w:tblPr>
    <w:tcPr>
      <w:shd w:val="clear" w:color="auto" w:fill="F2F0EE" w:themeFill="accent3" w:themeFillTint="19"/>
    </w:tcPr>
    <w:tblStylePr w:type="firstRow">
      <w:rPr>
        <w:b/>
        <w:bCs/>
        <w:color w:themeColor="background1"/>
      </w:rPr>
      <w:tblPr/>
      <w:tcPr>
        <w:tcBorders>
          <w:bottom w:val="single" w:color="FFFFFF" w:themeColor="background1" w:sz="12" w:space="0"/>
        </w:tcBorders>
        <w:shd w:val="clear" w:color="auto" w:fill="98754E" w:themeFill="accent4" w:themeFillShade="cc"/>
      </w:tcPr>
    </w:tblStylePr>
    <w:tblStylePr w:type="lastRow">
      <w:rPr>
        <w:b/>
        <w:bCs/>
        <w:color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themeColor="text1"/>
    </w:rPr>
    <w:tblPr>
      <w:tblStyleRowBandSize w:val="1"/>
      <w:tblStyleColBandSize w:val="1"/>
    </w:tblPr>
    <w:tcPr>
      <w:shd w:val="clear" w:color="auto" w:fill="F7F4F0" w:themeFill="accent4" w:themeFillTint="19"/>
    </w:tcPr>
    <w:tblStylePr w:type="firstRow">
      <w:rPr>
        <w:b/>
        <w:bCs/>
        <w:color w:themeColor="background1"/>
      </w:rPr>
      <w:tblPr/>
      <w:tcPr>
        <w:tcBorders>
          <w:bottom w:val="single" w:color="FFFFFF" w:themeColor="background1" w:sz="12" w:space="0"/>
        </w:tcBorders>
        <w:shd w:val="clear" w:color="auto" w:fill="61544C" w:themeFill="accent3" w:themeFillShade="cc"/>
      </w:tcPr>
    </w:tblStylePr>
    <w:tblStylePr w:type="lastRow">
      <w:rPr>
        <w:b/>
        <w:bCs/>
        <w:color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themeColor="text1"/>
    </w:rPr>
    <w:tblPr>
      <w:tblStyleRowBandSize w:val="1"/>
      <w:tblStyleColBandSize w:val="1"/>
    </w:tblPr>
    <w:tcPr>
      <w:shd w:val="clear" w:color="auto" w:fill="EFF1F2" w:themeFill="accent5" w:themeFillTint="19"/>
    </w:tcPr>
    <w:tblStylePr w:type="firstRow">
      <w:rPr>
        <w:b/>
        <w:bCs/>
        <w:color w:themeColor="background1"/>
      </w:rPr>
      <w:tblPr/>
      <w:tcPr>
        <w:tcBorders>
          <w:bottom w:val="single" w:color="FFFFFF" w:themeColor="background1" w:sz="12" w:space="0"/>
        </w:tcBorders>
        <w:shd w:val="clear" w:color="auto" w:fill="7F7657" w:themeFill="accent6" w:themeFillShade="cc"/>
      </w:tcPr>
    </w:tblStylePr>
    <w:tblStylePr w:type="lastRow">
      <w:rPr>
        <w:b/>
        <w:bCs/>
        <w:color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themeColor="text1"/>
    </w:rPr>
    <w:tblPr>
      <w:tblStyleRowBandSize w:val="1"/>
      <w:tblStyleColBandSize w:val="1"/>
    </w:tblPr>
    <w:tcPr>
      <w:shd w:val="clear" w:color="auto" w:fill="F5F4F0" w:themeFill="accent6" w:themeFillTint="19"/>
    </w:tcPr>
    <w:tblStylePr w:type="firstRow">
      <w:rPr>
        <w:b/>
        <w:bCs/>
        <w:color w:themeColor="background1"/>
      </w:rPr>
      <w:tblPr/>
      <w:tcPr>
        <w:tcBorders>
          <w:bottom w:val="single" w:color="FFFFFF" w:themeColor="background1" w:sz="12" w:space="0"/>
        </w:tcBorders>
        <w:shd w:val="clear" w:color="auto" w:fill="525F62" w:themeFill="accent5" w:themeFillShade="cc"/>
      </w:tcPr>
    </w:tblStylePr>
    <w:tblStylePr w:type="lastRow">
      <w:rPr>
        <w:b/>
        <w:bCs/>
        <w:color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themeColor="text1"/>
    </w:rPr>
    <w:tblPr>
      <w:tblStyleRowBandSize w:val="1"/>
      <w:tblStyleColBandSize w:val="1"/>
      <w:tblBorders>
        <w:top w:val="single" w:color="CC8E60"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000000" w:themeFill="text1" w:themeFillShade="99"/>
      </w:tcPr>
    </w:tblStylePr>
    <w:tblStylePr w:type="firstCol">
      <w:rPr>
        <w:color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themeColor="text1"/>
      </w:rPr>
      <w:tblPr/>
    </w:tblStylePr>
    <w:tblStylePr w:type="nwCell">
      <w:rPr>
        <w:color w:themeColor="text1"/>
      </w:rPr>
      <w:tblPr/>
    </w:tblStylePr>
  </w:style>
  <w:style w:type="table" w:styleId="ColorfulShading-Accent1">
    <w:name w:val="Colorful Shading Accent 1"/>
    <w:basedOn w:val="TableNormal"/>
    <w:uiPriority w:val="71"/>
    <w:pPr>
      <w:spacing w:after="0" w:line="240" w:lineRule="auto"/>
    </w:pPr>
    <w:rPr>
      <w:color w:themeColor="text1"/>
    </w:rPr>
    <w:tblPr>
      <w:tblStyleRowBandSize w:val="1"/>
      <w:tblStyleColBandSize w:val="1"/>
      <w:tblBorders>
        <w:top w:val="single" w:color="CC8E60" w:themeColor="accent2" w:sz="24" w:space="0"/>
        <w:left w:val="single" w:color="7E97AD" w:themeColor="accent1" w:sz="4" w:space="0"/>
        <w:bottom w:val="single" w:color="7E97AD" w:themeColor="accent1" w:sz="4" w:space="0"/>
        <w:right w:val="single" w:color="7E97AD" w:themeColor="accent1" w:sz="4" w:space="0"/>
        <w:insideH w:val="single" w:color="FFFFFF" w:themeColor="background1" w:sz="4" w:space="0"/>
        <w:insideV w:val="single" w:color="FFFFFF" w:themeColor="background1" w:sz="4" w:space="0"/>
      </w:tblBorders>
    </w:tblPr>
    <w:tcPr>
      <w:shd w:val="clear" w:color="auto" w:fill="F2F4F6" w:themeFill="accent1"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455A6D" w:themeFill="accent1" w:themeFillShade="99"/>
      </w:tcPr>
    </w:tblStylePr>
    <w:tblStylePr w:type="firstCol">
      <w:rPr>
        <w:color w:themeColor="background1"/>
      </w:rPr>
      <w:tblPr/>
      <w:tcPr>
        <w:tcBorders>
          <w:top w:val="nil"/>
          <w:left w:val="nil"/>
          <w:bottom w:val="nil"/>
          <w:right w:val="nil"/>
          <w:insideH w:val="single" w:color="455A6D" w:themeColor="accent1" w:sz="4" w:space="0"/>
          <w:insideV w:val="nil"/>
        </w:tcBorders>
        <w:shd w:val="clear" w:color="auto" w:fill="455A6D" w:themeFill="accent1" w:themeFillShade="99"/>
      </w:tcPr>
    </w:tblStylePr>
    <w:tblStylePr w:type="lastCol">
      <w:rPr>
        <w:color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themeColor="text1"/>
      </w:rPr>
      <w:tblPr/>
    </w:tblStylePr>
    <w:tblStylePr w:type="nwCell">
      <w:rPr>
        <w:color w:themeColor="text1"/>
      </w:rPr>
      <w:tblPr/>
    </w:tblStylePr>
  </w:style>
  <w:style w:type="table" w:styleId="ColorfulShading-Accent2">
    <w:name w:val="Colorful Shading Accent 2"/>
    <w:basedOn w:val="TableNormal"/>
    <w:uiPriority w:val="71"/>
    <w:pPr>
      <w:spacing w:after="0" w:line="240" w:lineRule="auto"/>
    </w:pPr>
    <w:rPr>
      <w:color w:themeColor="text1"/>
    </w:rPr>
    <w:tblPr>
      <w:tblStyleRowBandSize w:val="1"/>
      <w:tblStyleColBandSize w:val="1"/>
      <w:tblBorders>
        <w:top w:val="single" w:color="CC8E60" w:themeColor="accent2" w:sz="24" w:space="0"/>
        <w:left w:val="single" w:color="CC8E60" w:themeColor="accent2" w:sz="4" w:space="0"/>
        <w:bottom w:val="single" w:color="CC8E60" w:themeColor="accent2" w:sz="4" w:space="0"/>
        <w:right w:val="single" w:color="CC8E60" w:themeColor="accent2" w:sz="4" w:space="0"/>
        <w:insideH w:val="single" w:color="FFFFFF" w:themeColor="background1" w:sz="4" w:space="0"/>
        <w:insideV w:val="single" w:color="FFFFFF" w:themeColor="background1" w:sz="4" w:space="0"/>
      </w:tblBorders>
    </w:tblPr>
    <w:tcPr>
      <w:shd w:val="clear" w:color="auto" w:fill="FAF3EF" w:themeFill="accent2"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88522B" w:themeFill="accent2" w:themeFillShade="99"/>
      </w:tcPr>
    </w:tblStylePr>
    <w:tblStylePr w:type="firstCol">
      <w:rPr>
        <w:color w:themeColor="background1"/>
      </w:rPr>
      <w:tblPr/>
      <w:tcPr>
        <w:tcBorders>
          <w:top w:val="nil"/>
          <w:left w:val="nil"/>
          <w:bottom w:val="nil"/>
          <w:right w:val="nil"/>
          <w:insideH w:val="single" w:color="88522B" w:themeColor="accent2" w:sz="4" w:space="0"/>
          <w:insideV w:val="nil"/>
        </w:tcBorders>
        <w:shd w:val="clear" w:color="auto" w:fill="88522B" w:themeFill="accent2" w:themeFillShade="99"/>
      </w:tcPr>
    </w:tblStylePr>
    <w:tblStylePr w:type="lastCol">
      <w:rPr>
        <w:color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themeColor="text1"/>
      </w:rPr>
      <w:tblPr/>
    </w:tblStylePr>
    <w:tblStylePr w:type="nwCell">
      <w:rPr>
        <w:color w:themeColor="text1"/>
      </w:rPr>
      <w:tblPr/>
    </w:tblStylePr>
  </w:style>
  <w:style w:type="table" w:styleId="ColorfulShading-Accent3">
    <w:name w:val="Colorful Shading Accent 3"/>
    <w:basedOn w:val="TableNormal"/>
    <w:uiPriority w:val="71"/>
    <w:pPr>
      <w:spacing w:after="0" w:line="240" w:lineRule="auto"/>
    </w:pPr>
    <w:rPr>
      <w:color w:themeColor="text1"/>
    </w:rPr>
    <w:tblPr>
      <w:tblStyleRowBandSize w:val="1"/>
      <w:tblStyleColBandSize w:val="1"/>
      <w:tblBorders>
        <w:top w:val="single" w:color="B4936D" w:themeColor="accent4" w:sz="24" w:space="0"/>
        <w:left w:val="single" w:color="7A6A60" w:themeColor="accent3" w:sz="4" w:space="0"/>
        <w:bottom w:val="single" w:color="7A6A60" w:themeColor="accent3" w:sz="4" w:space="0"/>
        <w:right w:val="single" w:color="7A6A60" w:themeColor="accent3" w:sz="4" w:space="0"/>
        <w:insideH w:val="single" w:color="FFFFFF" w:themeColor="background1" w:sz="4" w:space="0"/>
        <w:insideV w:val="single" w:color="FFFFFF" w:themeColor="background1" w:sz="4" w:space="0"/>
      </w:tblBorders>
    </w:tblPr>
    <w:tcPr>
      <w:shd w:val="clear" w:color="auto" w:fill="F2F0EE" w:themeFill="accent3" w:themeFillTint="19"/>
    </w:tcPr>
    <w:tblStylePr w:type="firstRow">
      <w:rPr>
        <w:b/>
        <w:bCs/>
      </w:rPr>
      <w:tblPr/>
      <w:tcPr>
        <w:tcBorders>
          <w:top w:val="nil"/>
          <w:left w:val="nil"/>
          <w:bottom w:val="single" w:color="B4936D" w:themeColor="accent4"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493F39" w:themeFill="accent3" w:themeFillShade="99"/>
      </w:tcPr>
    </w:tblStylePr>
    <w:tblStylePr w:type="firstCol">
      <w:rPr>
        <w:color w:themeColor="background1"/>
      </w:rPr>
      <w:tblPr/>
      <w:tcPr>
        <w:tcBorders>
          <w:top w:val="nil"/>
          <w:left w:val="nil"/>
          <w:bottom w:val="nil"/>
          <w:right w:val="nil"/>
          <w:insideH w:val="single" w:color="493F39" w:themeColor="accent3" w:sz="4" w:space="0"/>
          <w:insideV w:val="nil"/>
        </w:tcBorders>
        <w:shd w:val="clear" w:color="auto" w:fill="493F39" w:themeFill="accent3" w:themeFillShade="99"/>
      </w:tcPr>
    </w:tblStylePr>
    <w:tblStylePr w:type="lastCol">
      <w:rPr>
        <w:color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themeColor="text1"/>
    </w:rPr>
    <w:tblPr>
      <w:tblStyleRowBandSize w:val="1"/>
      <w:tblStyleColBandSize w:val="1"/>
      <w:tblBorders>
        <w:top w:val="single" w:color="7A6A60" w:themeColor="accent3" w:sz="24" w:space="0"/>
        <w:left w:val="single" w:color="B4936D" w:themeColor="accent4" w:sz="4" w:space="0"/>
        <w:bottom w:val="single" w:color="B4936D" w:themeColor="accent4" w:sz="4" w:space="0"/>
        <w:right w:val="single" w:color="B4936D" w:themeColor="accent4" w:sz="4" w:space="0"/>
        <w:insideH w:val="single" w:color="FFFFFF" w:themeColor="background1" w:sz="4" w:space="0"/>
        <w:insideV w:val="single" w:color="FFFFFF" w:themeColor="background1" w:sz="4" w:space="0"/>
      </w:tblBorders>
    </w:tblPr>
    <w:tcPr>
      <w:shd w:val="clear" w:color="auto" w:fill="F7F4F0" w:themeFill="accent4" w:themeFillTint="19"/>
    </w:tcPr>
    <w:tblStylePr w:type="firstRow">
      <w:rPr>
        <w:b/>
        <w:bCs/>
      </w:rPr>
      <w:tblPr/>
      <w:tcPr>
        <w:tcBorders>
          <w:top w:val="nil"/>
          <w:left w:val="nil"/>
          <w:bottom w:val="single" w:color="7A6A60" w:themeColor="accent3"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72583B" w:themeFill="accent4" w:themeFillShade="99"/>
      </w:tcPr>
    </w:tblStylePr>
    <w:tblStylePr w:type="firstCol">
      <w:rPr>
        <w:color w:themeColor="background1"/>
      </w:rPr>
      <w:tblPr/>
      <w:tcPr>
        <w:tcBorders>
          <w:top w:val="nil"/>
          <w:left w:val="nil"/>
          <w:bottom w:val="nil"/>
          <w:right w:val="nil"/>
          <w:insideH w:val="single" w:color="72583B" w:themeColor="accent4" w:sz="4" w:space="0"/>
          <w:insideV w:val="nil"/>
        </w:tcBorders>
        <w:shd w:val="clear" w:color="auto" w:fill="72583B" w:themeFill="accent4" w:themeFillShade="99"/>
      </w:tcPr>
    </w:tblStylePr>
    <w:tblStylePr w:type="lastCol">
      <w:rPr>
        <w:color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themeColor="text1"/>
      </w:rPr>
      <w:tblPr/>
    </w:tblStylePr>
    <w:tblStylePr w:type="nwCell">
      <w:rPr>
        <w:color w:themeColor="text1"/>
      </w:rPr>
      <w:tblPr/>
    </w:tblStylePr>
  </w:style>
  <w:style w:type="table" w:styleId="ColorfulShading-Accent5">
    <w:name w:val="Colorful Shading Accent 5"/>
    <w:basedOn w:val="TableNormal"/>
    <w:uiPriority w:val="71"/>
    <w:pPr>
      <w:spacing w:after="0" w:line="240" w:lineRule="auto"/>
    </w:pPr>
    <w:rPr>
      <w:color w:themeColor="text1"/>
    </w:rPr>
    <w:tblPr>
      <w:tblStyleRowBandSize w:val="1"/>
      <w:tblStyleColBandSize w:val="1"/>
      <w:tblBorders>
        <w:top w:val="single" w:color="9D936F" w:themeColor="accent6" w:sz="24" w:space="0"/>
        <w:left w:val="single" w:color="67787B" w:themeColor="accent5" w:sz="4" w:space="0"/>
        <w:bottom w:val="single" w:color="67787B" w:themeColor="accent5" w:sz="4" w:space="0"/>
        <w:right w:val="single" w:color="67787B" w:themeColor="accent5" w:sz="4" w:space="0"/>
        <w:insideH w:val="single" w:color="FFFFFF" w:themeColor="background1" w:sz="4" w:space="0"/>
        <w:insideV w:val="single" w:color="FFFFFF" w:themeColor="background1" w:sz="4" w:space="0"/>
      </w:tblBorders>
    </w:tblPr>
    <w:tcPr>
      <w:shd w:val="clear" w:color="auto" w:fill="EFF1F2" w:themeFill="accent5" w:themeFillTint="19"/>
    </w:tcPr>
    <w:tblStylePr w:type="firstRow">
      <w:rPr>
        <w:b/>
        <w:bCs/>
      </w:rPr>
      <w:tblPr/>
      <w:tcPr>
        <w:tcBorders>
          <w:top w:val="nil"/>
          <w:left w:val="nil"/>
          <w:bottom w:val="single" w:color="9D936F" w:themeColor="accent6"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3D4749" w:themeFill="accent5" w:themeFillShade="99"/>
      </w:tcPr>
    </w:tblStylePr>
    <w:tblStylePr w:type="firstCol">
      <w:rPr>
        <w:color w:themeColor="background1"/>
      </w:rPr>
      <w:tblPr/>
      <w:tcPr>
        <w:tcBorders>
          <w:top w:val="nil"/>
          <w:left w:val="nil"/>
          <w:bottom w:val="nil"/>
          <w:right w:val="nil"/>
          <w:insideH w:val="single" w:color="3D4749" w:themeColor="accent5" w:sz="4" w:space="0"/>
          <w:insideV w:val="nil"/>
        </w:tcBorders>
        <w:shd w:val="clear" w:color="auto" w:fill="3D4749" w:themeFill="accent5" w:themeFillShade="99"/>
      </w:tcPr>
    </w:tblStylePr>
    <w:tblStylePr w:type="lastCol">
      <w:rPr>
        <w:color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themeColor="text1"/>
      </w:rPr>
      <w:tblPr/>
    </w:tblStylePr>
    <w:tblStylePr w:type="nwCell">
      <w:rPr>
        <w:color w:themeColor="text1"/>
      </w:rPr>
      <w:tblPr/>
    </w:tblStylePr>
  </w:style>
  <w:style w:type="table" w:styleId="ColorfulShading-Accent6">
    <w:name w:val="Colorful Shading Accent 6"/>
    <w:basedOn w:val="TableNormal"/>
    <w:uiPriority w:val="71"/>
    <w:pPr>
      <w:spacing w:after="0" w:line="240" w:lineRule="auto"/>
    </w:pPr>
    <w:rPr>
      <w:color w:themeColor="text1"/>
    </w:rPr>
    <w:tblPr>
      <w:tblStyleRowBandSize w:val="1"/>
      <w:tblStyleColBandSize w:val="1"/>
      <w:tblBorders>
        <w:top w:val="single" w:color="67787B" w:themeColor="accent5" w:sz="24" w:space="0"/>
        <w:left w:val="single" w:color="9D936F" w:themeColor="accent6" w:sz="4" w:space="0"/>
        <w:bottom w:val="single" w:color="9D936F" w:themeColor="accent6" w:sz="4" w:space="0"/>
        <w:right w:val="single" w:color="9D936F" w:themeColor="accent6" w:sz="4" w:space="0"/>
        <w:insideH w:val="single" w:color="FFFFFF" w:themeColor="background1" w:sz="4" w:space="0"/>
        <w:insideV w:val="single" w:color="FFFFFF" w:themeColor="background1" w:sz="4" w:space="0"/>
      </w:tblBorders>
    </w:tblPr>
    <w:tcPr>
      <w:shd w:val="clear" w:color="auto" w:fill="F5F4F0" w:themeFill="accent6" w:themeFillTint="19"/>
    </w:tcPr>
    <w:tblStylePr w:type="firstRow">
      <w:rPr>
        <w:b/>
        <w:bCs/>
      </w:rPr>
      <w:tblPr/>
      <w:tcPr>
        <w:tcBorders>
          <w:top w:val="nil"/>
          <w:left w:val="nil"/>
          <w:bottom w:val="single" w:color="67787B" w:themeColor="accent5"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5F5841" w:themeFill="accent6" w:themeFillShade="99"/>
      </w:tcPr>
    </w:tblStylePr>
    <w:tblStylePr w:type="firstCol">
      <w:rPr>
        <w:color w:themeColor="background1"/>
      </w:rPr>
      <w:tblPr/>
      <w:tcPr>
        <w:tcBorders>
          <w:top w:val="nil"/>
          <w:left w:val="nil"/>
          <w:bottom w:val="nil"/>
          <w:right w:val="nil"/>
          <w:insideH w:val="single" w:color="5F5841" w:themeColor="accent6" w:sz="4" w:space="0"/>
          <w:insideV w:val="nil"/>
        </w:tcBorders>
        <w:shd w:val="clear" w:color="auto" w:fill="5F5841" w:themeFill="accent6" w:themeFillShade="99"/>
      </w:tcPr>
    </w:tblStylePr>
    <w:tblStylePr w:type="lastCol">
      <w:rPr>
        <w:color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themeColor="text1"/>
      </w:rPr>
      <w:tblPr/>
    </w:tblStylePr>
    <w:tblStylePr w:type="nwCell">
      <w:rPr>
        <w:color w:themeColor="text1"/>
      </w:rPr>
      <w:tblPr/>
    </w:tblStylePr>
  </w:style>
  <w:style w:type="table" w:styleId="DarkList">
    <w:name w:val="Dark List"/>
    <w:basedOn w:val="TableNormal"/>
    <w:uiPriority w:val="70"/>
    <w:pPr>
      <w:spacing w:after="0" w:line="240" w:lineRule="auto"/>
    </w:pPr>
    <w:rPr>
      <w:color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577188"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AA6736"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5B4F47"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8E6E49"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4D595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776E51"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table" w:styleId="LightGrid">
    <w:name w:val="Light Grid"/>
    <w:basedOn w:val="TableNormal"/>
    <w:uiPriority w:val="62"/>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insideH w:val="single" w:color="7E97AD" w:themeColor="accent1" w:sz="8" w:space="0"/>
        <w:insideV w:val="single" w:color="7E97A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E97AD" w:themeColor="accent1" w:sz="8" w:space="0"/>
          <w:left w:val="single" w:color="7E97AD" w:themeColor="accent1" w:sz="8" w:space="0"/>
          <w:bottom w:val="single" w:color="7E97AD" w:themeColor="accent1" w:sz="18" w:space="0"/>
          <w:right w:val="single" w:color="7E97AD" w:themeColor="accent1" w:sz="8" w:space="0"/>
          <w:insideH w:val="nil"/>
          <w:insideV w:val="single" w:color="7E97A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E97AD" w:themeColor="accent1" w:sz="6" w:space="0"/>
          <w:left w:val="single" w:color="7E97AD" w:themeColor="accent1" w:sz="8" w:space="0"/>
          <w:bottom w:val="single" w:color="7E97AD" w:themeColor="accent1" w:sz="8" w:space="0"/>
          <w:right w:val="single" w:color="7E97AD" w:themeColor="accent1" w:sz="8" w:space="0"/>
          <w:insideH w:val="nil"/>
          <w:insideV w:val="single" w:color="7E97A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tblStylePr w:type="band1Vert">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shd w:val="clear" w:color="auto" w:fill="DFE5EA" w:themeFill="accent1" w:themeFillTint="3f"/>
      </w:tcPr>
    </w:tblStylePr>
    <w:tblStylePr w:type="band1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insideV w:val="single" w:color="7E97AD" w:themeColor="accent1" w:sz="8" w:space="0"/>
        </w:tcBorders>
        <w:shd w:val="clear" w:color="auto" w:fill="DFE5EA" w:themeFill="accent1" w:themeFillTint="3f"/>
      </w:tcPr>
    </w:tblStylePr>
    <w:tblStylePr w:type="band2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insideV w:val="single" w:color="7E97AD" w:themeColor="accent1" w:sz="8" w:space="0"/>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insideH w:val="single" w:color="CC8E60" w:themeColor="accent2" w:sz="8" w:space="0"/>
        <w:insideV w:val="single" w:color="CC8E6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C8E60" w:themeColor="accent2" w:sz="8" w:space="0"/>
          <w:left w:val="single" w:color="CC8E60" w:themeColor="accent2" w:sz="8" w:space="0"/>
          <w:bottom w:val="single" w:color="CC8E60" w:themeColor="accent2" w:sz="18" w:space="0"/>
          <w:right w:val="single" w:color="CC8E60" w:themeColor="accent2" w:sz="8" w:space="0"/>
          <w:insideH w:val="nil"/>
          <w:insideV w:val="single" w:color="CC8E60"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C8E60" w:themeColor="accent2" w:sz="6" w:space="0"/>
          <w:left w:val="single" w:color="CC8E60" w:themeColor="accent2" w:sz="8" w:space="0"/>
          <w:bottom w:val="single" w:color="CC8E60" w:themeColor="accent2" w:sz="8" w:space="0"/>
          <w:right w:val="single" w:color="CC8E60" w:themeColor="accent2" w:sz="8" w:space="0"/>
          <w:insideH w:val="nil"/>
          <w:insideV w:val="single" w:color="CC8E60"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tblStylePr w:type="band1Vert">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shd w:val="clear" w:color="auto" w:fill="F2E2D7" w:themeFill="accent2" w:themeFillTint="3f"/>
      </w:tcPr>
    </w:tblStylePr>
    <w:tblStylePr w:type="band1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insideV w:val="single" w:color="CC8E60" w:themeColor="accent2" w:sz="8" w:space="0"/>
        </w:tcBorders>
        <w:shd w:val="clear" w:color="auto" w:fill="F2E2D7" w:themeFill="accent2" w:themeFillTint="3f"/>
      </w:tcPr>
    </w:tblStylePr>
    <w:tblStylePr w:type="band2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insideV w:val="single" w:color="CC8E60" w:themeColor="accent2" w:sz="8" w:space="0"/>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insideH w:val="single" w:color="7A6A60" w:themeColor="accent3" w:sz="8" w:space="0"/>
        <w:insideV w:val="single" w:color="7A6A60"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A6A60" w:themeColor="accent3" w:sz="8" w:space="0"/>
          <w:left w:val="single" w:color="7A6A60" w:themeColor="accent3" w:sz="8" w:space="0"/>
          <w:bottom w:val="single" w:color="7A6A60" w:themeColor="accent3" w:sz="18" w:space="0"/>
          <w:right w:val="single" w:color="7A6A60" w:themeColor="accent3" w:sz="8" w:space="0"/>
          <w:insideH w:val="nil"/>
          <w:insideV w:val="single" w:color="7A6A60"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A6A60" w:themeColor="accent3" w:sz="6" w:space="0"/>
          <w:left w:val="single" w:color="7A6A60" w:themeColor="accent3" w:sz="8" w:space="0"/>
          <w:bottom w:val="single" w:color="7A6A60" w:themeColor="accent3" w:sz="8" w:space="0"/>
          <w:right w:val="single" w:color="7A6A60" w:themeColor="accent3" w:sz="8" w:space="0"/>
          <w:insideH w:val="nil"/>
          <w:insideV w:val="single" w:color="7A6A60"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tblStylePr w:type="band1Vert">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shd w:val="clear" w:color="auto" w:fill="DFD9D6" w:themeFill="accent3" w:themeFillTint="3f"/>
      </w:tcPr>
    </w:tblStylePr>
    <w:tblStylePr w:type="band1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insideV w:val="single" w:color="7A6A60" w:themeColor="accent3" w:sz="8" w:space="0"/>
        </w:tcBorders>
        <w:shd w:val="clear" w:color="auto" w:fill="DFD9D6" w:themeFill="accent3" w:themeFillTint="3f"/>
      </w:tcPr>
    </w:tblStylePr>
    <w:tblStylePr w:type="band2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insideV w:val="single" w:color="7A6A60" w:themeColor="accent3" w:sz="8" w:space="0"/>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insideH w:val="single" w:color="B4936D" w:themeColor="accent4" w:sz="8" w:space="0"/>
        <w:insideV w:val="single" w:color="B4936D"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4936D" w:themeColor="accent4" w:sz="8" w:space="0"/>
          <w:left w:val="single" w:color="B4936D" w:themeColor="accent4" w:sz="8" w:space="0"/>
          <w:bottom w:val="single" w:color="B4936D" w:themeColor="accent4" w:sz="18" w:space="0"/>
          <w:right w:val="single" w:color="B4936D" w:themeColor="accent4" w:sz="8" w:space="0"/>
          <w:insideH w:val="nil"/>
          <w:insideV w:val="single" w:color="B4936D"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4936D" w:themeColor="accent4" w:sz="6" w:space="0"/>
          <w:left w:val="single" w:color="B4936D" w:themeColor="accent4" w:sz="8" w:space="0"/>
          <w:bottom w:val="single" w:color="B4936D" w:themeColor="accent4" w:sz="8" w:space="0"/>
          <w:right w:val="single" w:color="B4936D" w:themeColor="accent4" w:sz="8" w:space="0"/>
          <w:insideH w:val="nil"/>
          <w:insideV w:val="single" w:color="B4936D"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tblStylePr w:type="band1Vert">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shd w:val="clear" w:color="auto" w:fill="ECE4DA" w:themeFill="accent4" w:themeFillTint="3f"/>
      </w:tcPr>
    </w:tblStylePr>
    <w:tblStylePr w:type="band1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insideV w:val="single" w:color="B4936D" w:themeColor="accent4" w:sz="8" w:space="0"/>
        </w:tcBorders>
        <w:shd w:val="clear" w:color="auto" w:fill="ECE4DA" w:themeFill="accent4" w:themeFillTint="3f"/>
      </w:tcPr>
    </w:tblStylePr>
    <w:tblStylePr w:type="band2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insideV w:val="single" w:color="B4936D" w:themeColor="accent4" w:sz="8" w:space="0"/>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insideH w:val="single" w:color="67787B" w:themeColor="accent5" w:sz="8" w:space="0"/>
        <w:insideV w:val="single" w:color="67787B"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7787B" w:themeColor="accent5" w:sz="8" w:space="0"/>
          <w:left w:val="single" w:color="67787B" w:themeColor="accent5" w:sz="8" w:space="0"/>
          <w:bottom w:val="single" w:color="67787B" w:themeColor="accent5" w:sz="18" w:space="0"/>
          <w:right w:val="single" w:color="67787B" w:themeColor="accent5" w:sz="8" w:space="0"/>
          <w:insideH w:val="nil"/>
          <w:insideV w:val="single" w:color="67787B"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7787B" w:themeColor="accent5" w:sz="6" w:space="0"/>
          <w:left w:val="single" w:color="67787B" w:themeColor="accent5" w:sz="8" w:space="0"/>
          <w:bottom w:val="single" w:color="67787B" w:themeColor="accent5" w:sz="8" w:space="0"/>
          <w:right w:val="single" w:color="67787B" w:themeColor="accent5" w:sz="8" w:space="0"/>
          <w:insideH w:val="nil"/>
          <w:insideV w:val="single" w:color="67787B"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tblStylePr w:type="band1Vert">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shd w:val="clear" w:color="auto" w:fill="D8DEDF" w:themeFill="accent5" w:themeFillTint="3f"/>
      </w:tcPr>
    </w:tblStylePr>
    <w:tblStylePr w:type="band1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insideV w:val="single" w:color="67787B" w:themeColor="accent5" w:sz="8" w:space="0"/>
        </w:tcBorders>
        <w:shd w:val="clear" w:color="auto" w:fill="D8DEDF" w:themeFill="accent5" w:themeFillTint="3f"/>
      </w:tcPr>
    </w:tblStylePr>
    <w:tblStylePr w:type="band2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insideV w:val="single" w:color="67787B" w:themeColor="accent5" w:sz="8" w:space="0"/>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insideH w:val="single" w:color="9D936F" w:themeColor="accent6" w:sz="8" w:space="0"/>
        <w:insideV w:val="single" w:color="9D936F"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D936F" w:themeColor="accent6" w:sz="8" w:space="0"/>
          <w:left w:val="single" w:color="9D936F" w:themeColor="accent6" w:sz="8" w:space="0"/>
          <w:bottom w:val="single" w:color="9D936F" w:themeColor="accent6" w:sz="18" w:space="0"/>
          <w:right w:val="single" w:color="9D936F" w:themeColor="accent6" w:sz="8" w:space="0"/>
          <w:insideH w:val="nil"/>
          <w:insideV w:val="single" w:color="9D936F"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D936F" w:themeColor="accent6" w:sz="6" w:space="0"/>
          <w:left w:val="single" w:color="9D936F" w:themeColor="accent6" w:sz="8" w:space="0"/>
          <w:bottom w:val="single" w:color="9D936F" w:themeColor="accent6" w:sz="8" w:space="0"/>
          <w:right w:val="single" w:color="9D936F" w:themeColor="accent6" w:sz="8" w:space="0"/>
          <w:insideH w:val="nil"/>
          <w:insideV w:val="single" w:color="9D936F"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tblStylePr w:type="band1Vert">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shd w:val="clear" w:color="auto" w:fill="E6E4DB" w:themeFill="accent6" w:themeFillTint="3f"/>
      </w:tcPr>
    </w:tblStylePr>
    <w:tblStylePr w:type="band1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insideV w:val="single" w:color="9D936F" w:themeColor="accent6" w:sz="8" w:space="0"/>
        </w:tcBorders>
        <w:shd w:val="clear" w:color="auto" w:fill="E6E4DB" w:themeFill="accent6" w:themeFillTint="3f"/>
      </w:tcPr>
    </w:tblStylePr>
    <w:tblStylePr w:type="band2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insideV w:val="single" w:color="9D936F" w:themeColor="accent6" w:sz="8" w:space="0"/>
        </w:tcBorders>
      </w:tcPr>
    </w:tblStylePr>
  </w:style>
  <w:style w:type="table" w:styleId="LightList">
    <w:name w:val="Light List"/>
    <w:basedOn w:val="TableNormal"/>
    <w:uiPriority w:val="61"/>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tblBorders>
    </w:tblPr>
    <w:tblStylePr w:type="firstRow">
      <w:pPr>
        <w:spacing w:before="0" w:after="0" w:line="240" w:lineRule="auto"/>
      </w:pPr>
      <w:rPr>
        <w:b/>
        <w:bCs/>
        <w:color w:themeColor="background1"/>
      </w:rPr>
      <w:tblPr/>
      <w:tcPr>
        <w:shd w:val="clear" w:color="auto" w:fill="7E97AD" w:themeFill="accent1"/>
      </w:tcPr>
    </w:tblStylePr>
    <w:tblStylePr w:type="lastRow">
      <w:pPr>
        <w:spacing w:before="0" w:after="0" w:line="240" w:lineRule="auto"/>
      </w:pPr>
      <w:rPr>
        <w:b/>
        <w:bCs/>
      </w:rPr>
      <w:tblPr/>
      <w:tcPr>
        <w:tcBorders>
          <w:top w:val="double" w:color="7E97AD" w:themeColor="accent1" w:sz="6" w:space="0"/>
          <w:left w:val="single" w:color="7E97AD" w:themeColor="accent1" w:sz="8" w:space="0"/>
          <w:bottom w:val="single" w:color="7E97AD" w:themeColor="accent1" w:sz="8" w:space="0"/>
          <w:right w:val="single" w:color="7E97AD" w:themeColor="accent1" w:sz="8" w:space="0"/>
        </w:tcBorders>
      </w:tcPr>
    </w:tblStylePr>
    <w:tblStylePr w:type="firstCol">
      <w:rPr>
        <w:b/>
        <w:bCs/>
      </w:rPr>
      <w:tblPr/>
    </w:tblStylePr>
    <w:tblStylePr w:type="lastCol">
      <w:rPr>
        <w:b/>
        <w:bCs/>
      </w:rPr>
      <w:tblPr/>
    </w:tblStylePr>
    <w:tblStylePr w:type="band1Vert">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tblStylePr w:type="band1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tblBorders>
    </w:tblPr>
    <w:tblStylePr w:type="firstRow">
      <w:pPr>
        <w:spacing w:before="0" w:after="0" w:line="240" w:lineRule="auto"/>
      </w:pPr>
      <w:rPr>
        <w:b/>
        <w:bCs/>
        <w:color w:themeColor="background1"/>
      </w:rPr>
      <w:tblPr/>
      <w:tcPr>
        <w:shd w:val="clear" w:color="auto" w:fill="CC8E60" w:themeFill="accent2"/>
      </w:tcPr>
    </w:tblStylePr>
    <w:tblStylePr w:type="lastRow">
      <w:pPr>
        <w:spacing w:before="0" w:after="0" w:line="240" w:lineRule="auto"/>
      </w:pPr>
      <w:rPr>
        <w:b/>
        <w:bCs/>
      </w:rPr>
      <w:tblPr/>
      <w:tcPr>
        <w:tcBorders>
          <w:top w:val="double" w:color="CC8E60" w:themeColor="accent2" w:sz="6" w:space="0"/>
          <w:left w:val="single" w:color="CC8E60" w:themeColor="accent2" w:sz="8" w:space="0"/>
          <w:bottom w:val="single" w:color="CC8E60" w:themeColor="accent2" w:sz="8" w:space="0"/>
          <w:right w:val="single" w:color="CC8E60" w:themeColor="accent2" w:sz="8" w:space="0"/>
        </w:tcBorders>
      </w:tcPr>
    </w:tblStylePr>
    <w:tblStylePr w:type="firstCol">
      <w:rPr>
        <w:b/>
        <w:bCs/>
      </w:rPr>
      <w:tblPr/>
    </w:tblStylePr>
    <w:tblStylePr w:type="lastCol">
      <w:rPr>
        <w:b/>
        <w:bCs/>
      </w:rPr>
      <w:tblPr/>
    </w:tblStylePr>
    <w:tblStylePr w:type="band1Vert">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tblStylePr w:type="band1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tblBorders>
    </w:tblPr>
    <w:tblStylePr w:type="firstRow">
      <w:pPr>
        <w:spacing w:before="0" w:after="0" w:line="240" w:lineRule="auto"/>
      </w:pPr>
      <w:rPr>
        <w:b/>
        <w:bCs/>
        <w:color w:themeColor="background1"/>
      </w:rPr>
      <w:tblPr/>
      <w:tcPr>
        <w:shd w:val="clear" w:color="auto" w:fill="7A6A60" w:themeFill="accent3"/>
      </w:tcPr>
    </w:tblStylePr>
    <w:tblStylePr w:type="lastRow">
      <w:pPr>
        <w:spacing w:before="0" w:after="0" w:line="240" w:lineRule="auto"/>
      </w:pPr>
      <w:rPr>
        <w:b/>
        <w:bCs/>
      </w:rPr>
      <w:tblPr/>
      <w:tcPr>
        <w:tcBorders>
          <w:top w:val="double" w:color="7A6A60" w:themeColor="accent3" w:sz="6" w:space="0"/>
          <w:left w:val="single" w:color="7A6A60" w:themeColor="accent3" w:sz="8" w:space="0"/>
          <w:bottom w:val="single" w:color="7A6A60" w:themeColor="accent3" w:sz="8" w:space="0"/>
          <w:right w:val="single" w:color="7A6A60" w:themeColor="accent3" w:sz="8" w:space="0"/>
        </w:tcBorders>
      </w:tcPr>
    </w:tblStylePr>
    <w:tblStylePr w:type="firstCol">
      <w:rPr>
        <w:b/>
        <w:bCs/>
      </w:rPr>
      <w:tblPr/>
    </w:tblStylePr>
    <w:tblStylePr w:type="lastCol">
      <w:rPr>
        <w:b/>
        <w:bCs/>
      </w:rPr>
      <w:tblPr/>
    </w:tblStylePr>
    <w:tblStylePr w:type="band1Vert">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tblStylePr w:type="band1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tblBorders>
    </w:tblPr>
    <w:tblStylePr w:type="firstRow">
      <w:pPr>
        <w:spacing w:before="0" w:after="0" w:line="240" w:lineRule="auto"/>
      </w:pPr>
      <w:rPr>
        <w:b/>
        <w:bCs/>
        <w:color w:themeColor="background1"/>
      </w:rPr>
      <w:tblPr/>
      <w:tcPr>
        <w:shd w:val="clear" w:color="auto" w:fill="B4936D" w:themeFill="accent4"/>
      </w:tcPr>
    </w:tblStylePr>
    <w:tblStylePr w:type="lastRow">
      <w:pPr>
        <w:spacing w:before="0" w:after="0" w:line="240" w:lineRule="auto"/>
      </w:pPr>
      <w:rPr>
        <w:b/>
        <w:bCs/>
      </w:rPr>
      <w:tblPr/>
      <w:tcPr>
        <w:tcBorders>
          <w:top w:val="double" w:color="B4936D" w:themeColor="accent4" w:sz="6" w:space="0"/>
          <w:left w:val="single" w:color="B4936D" w:themeColor="accent4" w:sz="8" w:space="0"/>
          <w:bottom w:val="single" w:color="B4936D" w:themeColor="accent4" w:sz="8" w:space="0"/>
          <w:right w:val="single" w:color="B4936D" w:themeColor="accent4" w:sz="8" w:space="0"/>
        </w:tcBorders>
      </w:tcPr>
    </w:tblStylePr>
    <w:tblStylePr w:type="firstCol">
      <w:rPr>
        <w:b/>
        <w:bCs/>
      </w:rPr>
      <w:tblPr/>
    </w:tblStylePr>
    <w:tblStylePr w:type="lastCol">
      <w:rPr>
        <w:b/>
        <w:bCs/>
      </w:rPr>
      <w:tblPr/>
    </w:tblStylePr>
    <w:tblStylePr w:type="band1Vert">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tblStylePr w:type="band1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tblBorders>
    </w:tblPr>
    <w:tblStylePr w:type="firstRow">
      <w:pPr>
        <w:spacing w:before="0" w:after="0" w:line="240" w:lineRule="auto"/>
      </w:pPr>
      <w:rPr>
        <w:b/>
        <w:bCs/>
        <w:color w:themeColor="background1"/>
      </w:rPr>
      <w:tblPr/>
      <w:tcPr>
        <w:shd w:val="clear" w:color="auto" w:fill="67787B" w:themeFill="accent5"/>
      </w:tcPr>
    </w:tblStylePr>
    <w:tblStylePr w:type="lastRow">
      <w:pPr>
        <w:spacing w:before="0" w:after="0" w:line="240" w:lineRule="auto"/>
      </w:pPr>
      <w:rPr>
        <w:b/>
        <w:bCs/>
      </w:rPr>
      <w:tblPr/>
      <w:tcPr>
        <w:tcBorders>
          <w:top w:val="double" w:color="67787B" w:themeColor="accent5" w:sz="6" w:space="0"/>
          <w:left w:val="single" w:color="67787B" w:themeColor="accent5" w:sz="8" w:space="0"/>
          <w:bottom w:val="single" w:color="67787B" w:themeColor="accent5" w:sz="8" w:space="0"/>
          <w:right w:val="single" w:color="67787B" w:themeColor="accent5" w:sz="8" w:space="0"/>
        </w:tcBorders>
      </w:tcPr>
    </w:tblStylePr>
    <w:tblStylePr w:type="firstCol">
      <w:rPr>
        <w:b/>
        <w:bCs/>
      </w:rPr>
      <w:tblPr/>
    </w:tblStylePr>
    <w:tblStylePr w:type="lastCol">
      <w:rPr>
        <w:b/>
        <w:bCs/>
      </w:rPr>
      <w:tblPr/>
    </w:tblStylePr>
    <w:tblStylePr w:type="band1Vert">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tblStylePr w:type="band1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tblBorders>
    </w:tblPr>
    <w:tblStylePr w:type="firstRow">
      <w:pPr>
        <w:spacing w:before="0" w:after="0" w:line="240" w:lineRule="auto"/>
      </w:pPr>
      <w:rPr>
        <w:b/>
        <w:bCs/>
        <w:color w:themeColor="background1"/>
      </w:rPr>
      <w:tblPr/>
      <w:tcPr>
        <w:shd w:val="clear" w:color="auto" w:fill="9D936F" w:themeFill="accent6"/>
      </w:tcPr>
    </w:tblStylePr>
    <w:tblStylePr w:type="lastRow">
      <w:pPr>
        <w:spacing w:before="0" w:after="0" w:line="240" w:lineRule="auto"/>
      </w:pPr>
      <w:rPr>
        <w:b/>
        <w:bCs/>
      </w:rPr>
      <w:tblPr/>
      <w:tcPr>
        <w:tcBorders>
          <w:top w:val="double" w:color="9D936F" w:themeColor="accent6" w:sz="6" w:space="0"/>
          <w:left w:val="single" w:color="9D936F" w:themeColor="accent6" w:sz="8" w:space="0"/>
          <w:bottom w:val="single" w:color="9D936F" w:themeColor="accent6" w:sz="8" w:space="0"/>
          <w:right w:val="single" w:color="9D936F" w:themeColor="accent6" w:sz="8" w:space="0"/>
        </w:tcBorders>
      </w:tcPr>
    </w:tblStylePr>
    <w:tblStylePr w:type="firstCol">
      <w:rPr>
        <w:b/>
        <w:bCs/>
      </w:rPr>
      <w:tblPr/>
    </w:tblStylePr>
    <w:tblStylePr w:type="lastCol">
      <w:rPr>
        <w:b/>
        <w:bCs/>
      </w:rPr>
      <w:tblPr/>
    </w:tblStylePr>
    <w:tblStylePr w:type="band1Vert">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tblStylePr w:type="band1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style>
  <w:style w:type="table" w:styleId="LightShading">
    <w:name w:val="Light Shading"/>
    <w:basedOn w:val="TableNormal"/>
    <w:uiPriority w:val="60"/>
    <w:pPr>
      <w:spacing w:after="0" w:line="240" w:lineRule="auto"/>
    </w:pPr>
    <w:rPr>
      <w:color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themeColor="accent1" w:themeShade="bf"/>
    </w:rPr>
    <w:tblPr>
      <w:tblStyleRowBandSize w:val="1"/>
      <w:tblStyleColBandSize w:val="1"/>
      <w:tblBorders>
        <w:top w:val="single" w:color="7E97AD" w:themeColor="accent1" w:sz="8" w:space="0"/>
        <w:bottom w:val="single" w:color="7E97AD" w:themeColor="accent1" w:sz="8" w:space="0"/>
      </w:tblBorders>
    </w:tblPr>
    <w:tblStylePr w:type="firstRow">
      <w:pPr>
        <w:spacing w:before="0" w:after="0" w:line="240" w:lineRule="auto"/>
      </w:pPr>
      <w:rPr>
        <w:b/>
        <w:bCs/>
      </w:rPr>
      <w:tblPr/>
      <w:tcPr>
        <w:tcBorders>
          <w:top w:val="single" w:color="7E97AD" w:themeColor="accent1" w:sz="8" w:space="0"/>
          <w:left w:val="nil"/>
          <w:bottom w:val="single" w:color="7E97AD" w:themeColor="accent1" w:sz="8" w:space="0"/>
          <w:right w:val="nil"/>
          <w:insideH w:val="nil"/>
          <w:insideV w:val="nil"/>
        </w:tcBorders>
      </w:tcPr>
    </w:tblStylePr>
    <w:tblStylePr w:type="lastRow">
      <w:pPr>
        <w:spacing w:before="0" w:after="0" w:line="240" w:lineRule="auto"/>
      </w:pPr>
      <w:rPr>
        <w:b/>
        <w:bCs/>
      </w:rPr>
      <w:tblPr/>
      <w:tcPr>
        <w:tcBorders>
          <w:top w:val="single" w:color="7E97AD" w:themeColor="accent1" w:sz="8" w:space="0"/>
          <w:left w:val="nil"/>
          <w:bottom w:val="single" w:color="7E97A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themeColor="accent2" w:themeShade="bf"/>
    </w:rPr>
    <w:tblPr>
      <w:tblStyleRowBandSize w:val="1"/>
      <w:tblStyleColBandSize w:val="1"/>
      <w:tblBorders>
        <w:top w:val="single" w:color="CC8E60" w:themeColor="accent2" w:sz="8" w:space="0"/>
        <w:bottom w:val="single" w:color="CC8E60" w:themeColor="accent2" w:sz="8" w:space="0"/>
      </w:tblBorders>
    </w:tblPr>
    <w:tblStylePr w:type="firstRow">
      <w:pPr>
        <w:spacing w:before="0" w:after="0" w:line="240" w:lineRule="auto"/>
      </w:pPr>
      <w:rPr>
        <w:b/>
        <w:bCs/>
      </w:rPr>
      <w:tblPr/>
      <w:tcPr>
        <w:tcBorders>
          <w:top w:val="single" w:color="CC8E60" w:themeColor="accent2" w:sz="8" w:space="0"/>
          <w:left w:val="nil"/>
          <w:bottom w:val="single" w:color="CC8E60" w:themeColor="accent2" w:sz="8" w:space="0"/>
          <w:right w:val="nil"/>
          <w:insideH w:val="nil"/>
          <w:insideV w:val="nil"/>
        </w:tcBorders>
      </w:tcPr>
    </w:tblStylePr>
    <w:tblStylePr w:type="lastRow">
      <w:pPr>
        <w:spacing w:before="0" w:after="0" w:line="240" w:lineRule="auto"/>
      </w:pPr>
      <w:rPr>
        <w:b/>
        <w:bCs/>
      </w:rPr>
      <w:tblPr/>
      <w:tcPr>
        <w:tcBorders>
          <w:top w:val="single" w:color="CC8E60" w:themeColor="accent2" w:sz="8" w:space="0"/>
          <w:left w:val="nil"/>
          <w:bottom w:val="single" w:color="CC8E60"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themeColor="accent3" w:themeShade="bf"/>
    </w:rPr>
    <w:tblPr>
      <w:tblStyleRowBandSize w:val="1"/>
      <w:tblStyleColBandSize w:val="1"/>
      <w:tblBorders>
        <w:top w:val="single" w:color="7A6A60" w:themeColor="accent3" w:sz="8" w:space="0"/>
        <w:bottom w:val="single" w:color="7A6A60" w:themeColor="accent3" w:sz="8" w:space="0"/>
      </w:tblBorders>
    </w:tblPr>
    <w:tblStylePr w:type="firstRow">
      <w:pPr>
        <w:spacing w:before="0" w:after="0" w:line="240" w:lineRule="auto"/>
      </w:pPr>
      <w:rPr>
        <w:b/>
        <w:bCs/>
      </w:rPr>
      <w:tblPr/>
      <w:tcPr>
        <w:tcBorders>
          <w:top w:val="single" w:color="7A6A60" w:themeColor="accent3" w:sz="8" w:space="0"/>
          <w:left w:val="nil"/>
          <w:bottom w:val="single" w:color="7A6A60" w:themeColor="accent3" w:sz="8" w:space="0"/>
          <w:right w:val="nil"/>
          <w:insideH w:val="nil"/>
          <w:insideV w:val="nil"/>
        </w:tcBorders>
      </w:tcPr>
    </w:tblStylePr>
    <w:tblStylePr w:type="lastRow">
      <w:pPr>
        <w:spacing w:before="0" w:after="0" w:line="240" w:lineRule="auto"/>
      </w:pPr>
      <w:rPr>
        <w:b/>
        <w:bCs/>
      </w:rPr>
      <w:tblPr/>
      <w:tcPr>
        <w:tcBorders>
          <w:top w:val="single" w:color="7A6A60" w:themeColor="accent3" w:sz="8" w:space="0"/>
          <w:left w:val="nil"/>
          <w:bottom w:val="single" w:color="7A6A60"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themeColor="accent4" w:themeShade="bf"/>
    </w:rPr>
    <w:tblPr>
      <w:tblStyleRowBandSize w:val="1"/>
      <w:tblStyleColBandSize w:val="1"/>
      <w:tblBorders>
        <w:top w:val="single" w:color="B4936D" w:themeColor="accent4" w:sz="8" w:space="0"/>
        <w:bottom w:val="single" w:color="B4936D" w:themeColor="accent4" w:sz="8" w:space="0"/>
      </w:tblBorders>
    </w:tblPr>
    <w:tblStylePr w:type="firstRow">
      <w:pPr>
        <w:spacing w:before="0" w:after="0" w:line="240" w:lineRule="auto"/>
      </w:pPr>
      <w:rPr>
        <w:b/>
        <w:bCs/>
      </w:rPr>
      <w:tblPr/>
      <w:tcPr>
        <w:tcBorders>
          <w:top w:val="single" w:color="B4936D" w:themeColor="accent4" w:sz="8" w:space="0"/>
          <w:left w:val="nil"/>
          <w:bottom w:val="single" w:color="B4936D" w:themeColor="accent4" w:sz="8" w:space="0"/>
          <w:right w:val="nil"/>
          <w:insideH w:val="nil"/>
          <w:insideV w:val="nil"/>
        </w:tcBorders>
      </w:tcPr>
    </w:tblStylePr>
    <w:tblStylePr w:type="lastRow">
      <w:pPr>
        <w:spacing w:before="0" w:after="0" w:line="240" w:lineRule="auto"/>
      </w:pPr>
      <w:rPr>
        <w:b/>
        <w:bCs/>
      </w:rPr>
      <w:tblPr/>
      <w:tcPr>
        <w:tcBorders>
          <w:top w:val="single" w:color="B4936D" w:themeColor="accent4" w:sz="8" w:space="0"/>
          <w:left w:val="nil"/>
          <w:bottom w:val="single" w:color="B4936D"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themeColor="accent5" w:themeShade="bf"/>
    </w:rPr>
    <w:tblPr>
      <w:tblStyleRowBandSize w:val="1"/>
      <w:tblStyleColBandSize w:val="1"/>
      <w:tblBorders>
        <w:top w:val="single" w:color="67787B" w:themeColor="accent5" w:sz="8" w:space="0"/>
        <w:bottom w:val="single" w:color="67787B" w:themeColor="accent5" w:sz="8" w:space="0"/>
      </w:tblBorders>
    </w:tblPr>
    <w:tblStylePr w:type="firstRow">
      <w:pPr>
        <w:spacing w:before="0" w:after="0" w:line="240" w:lineRule="auto"/>
      </w:pPr>
      <w:rPr>
        <w:b/>
        <w:bCs/>
      </w:rPr>
      <w:tblPr/>
      <w:tcPr>
        <w:tcBorders>
          <w:top w:val="single" w:color="67787B" w:themeColor="accent5" w:sz="8" w:space="0"/>
          <w:left w:val="nil"/>
          <w:bottom w:val="single" w:color="67787B" w:themeColor="accent5" w:sz="8" w:space="0"/>
          <w:right w:val="nil"/>
          <w:insideH w:val="nil"/>
          <w:insideV w:val="nil"/>
        </w:tcBorders>
      </w:tcPr>
    </w:tblStylePr>
    <w:tblStylePr w:type="lastRow">
      <w:pPr>
        <w:spacing w:before="0" w:after="0" w:line="240" w:lineRule="auto"/>
      </w:pPr>
      <w:rPr>
        <w:b/>
        <w:bCs/>
      </w:rPr>
      <w:tblPr/>
      <w:tcPr>
        <w:tcBorders>
          <w:top w:val="single" w:color="67787B" w:themeColor="accent5" w:sz="8" w:space="0"/>
          <w:left w:val="nil"/>
          <w:bottom w:val="single" w:color="67787B"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themeColor="accent6" w:themeShade="bf"/>
    </w:rPr>
    <w:tblPr>
      <w:tblStyleRowBandSize w:val="1"/>
      <w:tblStyleColBandSize w:val="1"/>
      <w:tblBorders>
        <w:top w:val="single" w:color="9D936F" w:themeColor="accent6" w:sz="8" w:space="0"/>
        <w:bottom w:val="single" w:color="9D936F" w:themeColor="accent6" w:sz="8" w:space="0"/>
      </w:tblBorders>
    </w:tblPr>
    <w:tblStylePr w:type="firstRow">
      <w:pPr>
        <w:spacing w:before="0" w:after="0" w:line="240" w:lineRule="auto"/>
      </w:pPr>
      <w:rPr>
        <w:b/>
        <w:bCs/>
      </w:rPr>
      <w:tblPr/>
      <w:tcPr>
        <w:tcBorders>
          <w:top w:val="single" w:color="9D936F" w:themeColor="accent6" w:sz="8" w:space="0"/>
          <w:left w:val="nil"/>
          <w:bottom w:val="single" w:color="9D936F" w:themeColor="accent6" w:sz="8" w:space="0"/>
          <w:right w:val="nil"/>
          <w:insideH w:val="nil"/>
          <w:insideV w:val="nil"/>
        </w:tcBorders>
      </w:tcPr>
    </w:tblStylePr>
    <w:tblStylePr w:type="lastRow">
      <w:pPr>
        <w:spacing w:before="0" w:after="0" w:line="240" w:lineRule="auto"/>
      </w:pPr>
      <w:rPr>
        <w:b/>
        <w:bCs/>
      </w:rPr>
      <w:tblPr/>
      <w:tcPr>
        <w:tcBorders>
          <w:top w:val="single" w:color="9D936F" w:themeColor="accent6" w:sz="8" w:space="0"/>
          <w:left w:val="nil"/>
          <w:bottom w:val="single" w:color="9D936F"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table" w:styleId="MediumGrid1">
    <w:name w:val="Medium Grid 1"/>
    <w:basedOn w:val="TableNormal"/>
    <w:uiPriority w:val="67"/>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color="9EB0C1" w:themeColor="accent1" w:themeTint="bf" w:sz="8" w:space="0"/>
        <w:left w:val="single" w:color="9EB0C1" w:themeColor="accent1" w:themeTint="bf" w:sz="8" w:space="0"/>
        <w:bottom w:val="single" w:color="9EB0C1" w:themeColor="accent1" w:themeTint="bf" w:sz="8" w:space="0"/>
        <w:right w:val="single" w:color="9EB0C1" w:themeColor="accent1" w:themeTint="bf" w:sz="8" w:space="0"/>
        <w:insideH w:val="single" w:color="9EB0C1" w:themeColor="accent1" w:themeTint="bf" w:sz="8" w:space="0"/>
        <w:insideV w:val="single" w:color="9EB0C1" w:themeColor="accent1" w:themeTint="bf" w:sz="8" w:space="0"/>
      </w:tblBorders>
    </w:tblPr>
    <w:tcPr>
      <w:shd w:val="clear" w:color="auto" w:fill="DFE5EA" w:themeFill="accent1" w:themeFillTint="3f"/>
    </w:tcPr>
    <w:tblStylePr w:type="firstRow">
      <w:rPr>
        <w:b/>
        <w:bCs/>
      </w:rPr>
      <w:tblPr/>
    </w:tblStylePr>
    <w:tblStylePr w:type="lastRow">
      <w:rPr>
        <w:b/>
        <w:bCs/>
      </w:rPr>
      <w:tblPr/>
      <w:tcPr>
        <w:tcBorders>
          <w:top w:val="single" w:color="9EB0C1" w:themeColor="accent1" w:sz="18" w:space="0"/>
        </w:tcBorders>
      </w:tcPr>
    </w:tblStylePr>
    <w:tblStylePr w:type="firstCol">
      <w:rPr>
        <w:b/>
        <w:bCs/>
      </w:rPr>
      <w:tblPr/>
    </w:tblStylePr>
    <w:tblStylePr w:type="lastCol">
      <w:rPr>
        <w:b/>
        <w:bCs/>
      </w:rPr>
      <w:tbl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color="D8AA87" w:themeColor="accent2" w:themeTint="bf" w:sz="8" w:space="0"/>
        <w:left w:val="single" w:color="D8AA87" w:themeColor="accent2" w:themeTint="bf" w:sz="8" w:space="0"/>
        <w:bottom w:val="single" w:color="D8AA87" w:themeColor="accent2" w:themeTint="bf" w:sz="8" w:space="0"/>
        <w:right w:val="single" w:color="D8AA87" w:themeColor="accent2" w:themeTint="bf" w:sz="8" w:space="0"/>
        <w:insideH w:val="single" w:color="D8AA87" w:themeColor="accent2" w:themeTint="bf" w:sz="8" w:space="0"/>
        <w:insideV w:val="single" w:color="D8AA87" w:themeColor="accent2" w:themeTint="bf" w:sz="8" w:space="0"/>
      </w:tblBorders>
    </w:tblPr>
    <w:tcPr>
      <w:shd w:val="clear" w:color="auto" w:fill="F2E2D7" w:themeFill="accent2" w:themeFillTint="3f"/>
    </w:tcPr>
    <w:tblStylePr w:type="firstRow">
      <w:rPr>
        <w:b/>
        <w:bCs/>
      </w:rPr>
      <w:tblPr/>
    </w:tblStylePr>
    <w:tblStylePr w:type="lastRow">
      <w:rPr>
        <w:b/>
        <w:bCs/>
      </w:rPr>
      <w:tblPr/>
      <w:tcPr>
        <w:tcBorders>
          <w:top w:val="single" w:color="D8AA87" w:themeColor="accent2" w:sz="18" w:space="0"/>
        </w:tcBorders>
      </w:tcPr>
    </w:tblStylePr>
    <w:tblStylePr w:type="firstCol">
      <w:rPr>
        <w:b/>
        <w:bCs/>
      </w:rPr>
      <w:tblPr/>
    </w:tblStylePr>
    <w:tblStylePr w:type="lastCol">
      <w:rPr>
        <w:b/>
        <w:bCs/>
      </w:rPr>
      <w:tbl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color="9E8E84" w:themeColor="accent3" w:themeTint="bf" w:sz="8" w:space="0"/>
        <w:left w:val="single" w:color="9E8E84" w:themeColor="accent3" w:themeTint="bf" w:sz="8" w:space="0"/>
        <w:bottom w:val="single" w:color="9E8E84" w:themeColor="accent3" w:themeTint="bf" w:sz="8" w:space="0"/>
        <w:right w:val="single" w:color="9E8E84" w:themeColor="accent3" w:themeTint="bf" w:sz="8" w:space="0"/>
        <w:insideH w:val="single" w:color="9E8E84" w:themeColor="accent3" w:themeTint="bf" w:sz="8" w:space="0"/>
        <w:insideV w:val="single" w:color="9E8E84" w:themeColor="accent3" w:themeTint="bf" w:sz="8" w:space="0"/>
      </w:tblBorders>
    </w:tblPr>
    <w:tcPr>
      <w:shd w:val="clear" w:color="auto" w:fill="DFD9D6" w:themeFill="accent3" w:themeFillTint="3f"/>
    </w:tcPr>
    <w:tblStylePr w:type="firstRow">
      <w:rPr>
        <w:b/>
        <w:bCs/>
      </w:rPr>
      <w:tblPr/>
    </w:tblStylePr>
    <w:tblStylePr w:type="lastRow">
      <w:rPr>
        <w:b/>
        <w:bCs/>
      </w:rPr>
      <w:tblPr/>
      <w:tcPr>
        <w:tcBorders>
          <w:top w:val="single" w:color="9E8E84" w:themeColor="accent3" w:sz="18" w:space="0"/>
        </w:tcBorders>
      </w:tcPr>
    </w:tblStylePr>
    <w:tblStylePr w:type="firstCol">
      <w:rPr>
        <w:b/>
        <w:bCs/>
      </w:rPr>
      <w:tblPr/>
    </w:tblStylePr>
    <w:tblStylePr w:type="lastCol">
      <w:rPr>
        <w:b/>
        <w:bCs/>
      </w:rPr>
      <w:tbl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color="C6AD91" w:themeColor="accent4" w:themeTint="bf" w:sz="8" w:space="0"/>
        <w:left w:val="single" w:color="C6AD91" w:themeColor="accent4" w:themeTint="bf" w:sz="8" w:space="0"/>
        <w:bottom w:val="single" w:color="C6AD91" w:themeColor="accent4" w:themeTint="bf" w:sz="8" w:space="0"/>
        <w:right w:val="single" w:color="C6AD91" w:themeColor="accent4" w:themeTint="bf" w:sz="8" w:space="0"/>
        <w:insideH w:val="single" w:color="C6AD91" w:themeColor="accent4" w:themeTint="bf" w:sz="8" w:space="0"/>
        <w:insideV w:val="single" w:color="C6AD91" w:themeColor="accent4" w:themeTint="bf" w:sz="8" w:space="0"/>
      </w:tblBorders>
    </w:tblPr>
    <w:tcPr>
      <w:shd w:val="clear" w:color="auto" w:fill="ECE4DA" w:themeFill="accent4" w:themeFillTint="3f"/>
    </w:tcPr>
    <w:tblStylePr w:type="firstRow">
      <w:rPr>
        <w:b/>
        <w:bCs/>
      </w:rPr>
      <w:tblPr/>
    </w:tblStylePr>
    <w:tblStylePr w:type="lastRow">
      <w:rPr>
        <w:b/>
        <w:bCs/>
      </w:rPr>
      <w:tblPr/>
      <w:tcPr>
        <w:tcBorders>
          <w:top w:val="single" w:color="C6AD91" w:themeColor="accent4" w:sz="18" w:space="0"/>
        </w:tcBorders>
      </w:tcPr>
    </w:tblStylePr>
    <w:tblStylePr w:type="firstCol">
      <w:rPr>
        <w:b/>
        <w:bCs/>
      </w:rPr>
      <w:tblPr/>
    </w:tblStylePr>
    <w:tblStylePr w:type="lastCol">
      <w:rPr>
        <w:b/>
        <w:bCs/>
      </w:rPr>
      <w:tbl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color="8B9B9E" w:themeColor="accent5" w:themeTint="bf" w:sz="8" w:space="0"/>
        <w:left w:val="single" w:color="8B9B9E" w:themeColor="accent5" w:themeTint="bf" w:sz="8" w:space="0"/>
        <w:bottom w:val="single" w:color="8B9B9E" w:themeColor="accent5" w:themeTint="bf" w:sz="8" w:space="0"/>
        <w:right w:val="single" w:color="8B9B9E" w:themeColor="accent5" w:themeTint="bf" w:sz="8" w:space="0"/>
        <w:insideH w:val="single" w:color="8B9B9E" w:themeColor="accent5" w:themeTint="bf" w:sz="8" w:space="0"/>
        <w:insideV w:val="single" w:color="8B9B9E" w:themeColor="accent5" w:themeTint="bf" w:sz="8" w:space="0"/>
      </w:tblBorders>
    </w:tblPr>
    <w:tcPr>
      <w:shd w:val="clear" w:color="auto" w:fill="D8DEDF" w:themeFill="accent5" w:themeFillTint="3f"/>
    </w:tcPr>
    <w:tblStylePr w:type="firstRow">
      <w:rPr>
        <w:b/>
        <w:bCs/>
      </w:rPr>
      <w:tblPr/>
    </w:tblStylePr>
    <w:tblStylePr w:type="lastRow">
      <w:rPr>
        <w:b/>
        <w:bCs/>
      </w:rPr>
      <w:tblPr/>
      <w:tcPr>
        <w:tcBorders>
          <w:top w:val="single" w:color="8B9B9E" w:themeColor="accent5" w:sz="18" w:space="0"/>
        </w:tcBorders>
      </w:tcPr>
    </w:tblStylePr>
    <w:tblStylePr w:type="firstCol">
      <w:rPr>
        <w:b/>
        <w:bCs/>
      </w:rPr>
      <w:tblPr/>
    </w:tblStylePr>
    <w:tblStylePr w:type="lastCol">
      <w:rPr>
        <w:b/>
        <w:bCs/>
      </w:rPr>
      <w:tbl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color="B5AE93" w:themeColor="accent6" w:themeTint="bf" w:sz="8" w:space="0"/>
        <w:left w:val="single" w:color="B5AE93" w:themeColor="accent6" w:themeTint="bf" w:sz="8" w:space="0"/>
        <w:bottom w:val="single" w:color="B5AE93" w:themeColor="accent6" w:themeTint="bf" w:sz="8" w:space="0"/>
        <w:right w:val="single" w:color="B5AE93" w:themeColor="accent6" w:themeTint="bf" w:sz="8" w:space="0"/>
        <w:insideH w:val="single" w:color="B5AE93" w:themeColor="accent6" w:themeTint="bf" w:sz="8" w:space="0"/>
        <w:insideV w:val="single" w:color="B5AE93" w:themeColor="accent6" w:themeTint="bf" w:sz="8" w:space="0"/>
      </w:tblBorders>
    </w:tblPr>
    <w:tcPr>
      <w:shd w:val="clear" w:color="auto" w:fill="E6E4DB" w:themeFill="accent6" w:themeFillTint="3f"/>
    </w:tcPr>
    <w:tblStylePr w:type="firstRow">
      <w:rPr>
        <w:b/>
        <w:bCs/>
      </w:rPr>
      <w:tblPr/>
    </w:tblStylePr>
    <w:tblStylePr w:type="lastRow">
      <w:rPr>
        <w:b/>
        <w:bCs/>
      </w:rPr>
      <w:tblPr/>
      <w:tcPr>
        <w:tcBorders>
          <w:top w:val="single" w:color="B5AE93" w:themeColor="accent6" w:sz="18" w:space="0"/>
        </w:tcBorders>
      </w:tcPr>
    </w:tblStylePr>
    <w:tblStylePr w:type="firstCol">
      <w:rPr>
        <w:b/>
        <w:bCs/>
      </w:rPr>
      <w:tblPr/>
    </w:tblStylePr>
    <w:tblStylePr w:type="lastCol">
      <w:rPr>
        <w:b/>
        <w:bCs/>
      </w:rPr>
      <w:tbl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themeColor="text1"/>
      </w:rPr>
      <w:tblPr/>
      <w:tcPr>
        <w:shd w:val="clear" w:color="auto" w:fill="E6E6E6" w:themeFill="tex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insideH w:val="single" w:color="7E97AD" w:themeColor="accent1" w:sz="8" w:space="0"/>
        <w:insideV w:val="single" w:color="7E97AD" w:themeColor="accent1" w:sz="8" w:space="0"/>
      </w:tblBorders>
    </w:tblPr>
    <w:tcPr>
      <w:shd w:val="clear" w:color="auto" w:fill="DFE5EA" w:themeFill="accent1" w:themeFillTint="3f"/>
    </w:tcPr>
    <w:tblStylePr w:type="firstRow">
      <w:rPr>
        <w:b/>
        <w:bCs/>
        <w:color w:themeColor="text1"/>
      </w:rPr>
      <w:tblPr/>
      <w:tcPr>
        <w:shd w:val="clear" w:color="auto" w:fill="F2F4F6" w:themeFill="accen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color="7E97AD" w:themeColor="accent1" w:sz="6" w:space="0"/>
          <w:insideV w:val="single" w:color="7E97AD" w:themeColor="accent1" w:sz="6" w:space="0"/>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insideH w:val="single" w:color="CC8E60" w:themeColor="accent2" w:sz="8" w:space="0"/>
        <w:insideV w:val="single" w:color="CC8E60" w:themeColor="accent2" w:sz="8" w:space="0"/>
      </w:tblBorders>
    </w:tblPr>
    <w:tcPr>
      <w:shd w:val="clear" w:color="auto" w:fill="F2E2D7" w:themeFill="accent2" w:themeFillTint="3f"/>
    </w:tcPr>
    <w:tblStylePr w:type="firstRow">
      <w:rPr>
        <w:b/>
        <w:bCs/>
        <w:color w:themeColor="text1"/>
      </w:rPr>
      <w:tblPr/>
      <w:tcPr>
        <w:shd w:val="clear" w:color="auto" w:fill="FAF3EF" w:themeFill="accent2"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color="CC8E60" w:themeColor="accent2" w:sz="6" w:space="0"/>
          <w:insideV w:val="single" w:color="CC8E60" w:themeColor="accent2" w:sz="6" w:space="0"/>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insideH w:val="single" w:color="7A6A60" w:themeColor="accent3" w:sz="8" w:space="0"/>
        <w:insideV w:val="single" w:color="7A6A60" w:themeColor="accent3" w:sz="8" w:space="0"/>
      </w:tblBorders>
    </w:tblPr>
    <w:tcPr>
      <w:shd w:val="clear" w:color="auto" w:fill="DFD9D6" w:themeFill="accent3" w:themeFillTint="3f"/>
    </w:tcPr>
    <w:tblStylePr w:type="firstRow">
      <w:rPr>
        <w:b/>
        <w:bCs/>
        <w:color w:themeColor="text1"/>
      </w:rPr>
      <w:tblPr/>
      <w:tcPr>
        <w:shd w:val="clear" w:color="auto" w:fill="F2F0EE" w:themeFill="accent3"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color="7A6A60" w:themeColor="accent3" w:sz="6" w:space="0"/>
          <w:insideV w:val="single" w:color="7A6A60" w:themeColor="accent3" w:sz="6" w:space="0"/>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insideH w:val="single" w:color="B4936D" w:themeColor="accent4" w:sz="8" w:space="0"/>
        <w:insideV w:val="single" w:color="B4936D" w:themeColor="accent4" w:sz="8" w:space="0"/>
      </w:tblBorders>
    </w:tblPr>
    <w:tcPr>
      <w:shd w:val="clear" w:color="auto" w:fill="ECE4DA" w:themeFill="accent4" w:themeFillTint="3f"/>
    </w:tcPr>
    <w:tblStylePr w:type="firstRow">
      <w:rPr>
        <w:b/>
        <w:bCs/>
        <w:color w:themeColor="text1"/>
      </w:rPr>
      <w:tblPr/>
      <w:tcPr>
        <w:shd w:val="clear" w:color="auto" w:fill="F7F4F0" w:themeFill="accent4"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color="B4936D" w:themeColor="accent4" w:sz="6" w:space="0"/>
          <w:insideV w:val="single" w:color="B4936D" w:themeColor="accent4" w:sz="6" w:space="0"/>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insideH w:val="single" w:color="67787B" w:themeColor="accent5" w:sz="8" w:space="0"/>
        <w:insideV w:val="single" w:color="67787B" w:themeColor="accent5" w:sz="8" w:space="0"/>
      </w:tblBorders>
    </w:tblPr>
    <w:tcPr>
      <w:shd w:val="clear" w:color="auto" w:fill="D8DEDF" w:themeFill="accent5" w:themeFillTint="3f"/>
    </w:tcPr>
    <w:tblStylePr w:type="firstRow">
      <w:rPr>
        <w:b/>
        <w:bCs/>
        <w:color w:themeColor="text1"/>
      </w:rPr>
      <w:tblPr/>
      <w:tcPr>
        <w:shd w:val="clear" w:color="auto" w:fill="EFF1F2" w:themeFill="accent5"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color="67787B" w:themeColor="accent5" w:sz="6" w:space="0"/>
          <w:insideV w:val="single" w:color="67787B" w:themeColor="accent5" w:sz="6" w:space="0"/>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insideH w:val="single" w:color="9D936F" w:themeColor="accent6" w:sz="8" w:space="0"/>
        <w:insideV w:val="single" w:color="9D936F" w:themeColor="accent6" w:sz="8" w:space="0"/>
      </w:tblBorders>
    </w:tblPr>
    <w:tcPr>
      <w:shd w:val="clear" w:color="auto" w:fill="E6E4DB" w:themeFill="accent6" w:themeFillTint="3f"/>
    </w:tcPr>
    <w:tblStylePr w:type="firstRow">
      <w:rPr>
        <w:b/>
        <w:bCs/>
        <w:color w:themeColor="text1"/>
      </w:rPr>
      <w:tblPr/>
      <w:tcPr>
        <w:shd w:val="clear" w:color="auto" w:fill="F5F4F0" w:themeFill="accent6"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color="9D936F" w:themeColor="accent6" w:sz="6" w:space="0"/>
          <w:insideV w:val="single" w:color="9D936F" w:themeColor="accent6" w:sz="6" w:space="0"/>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E5EA" w:themeFill="accen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E97AD" w:themeFill="accen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E97AD" w:themeFill="accen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7E97AD" w:themeFill="accen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7E97A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ECBD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2E2D7" w:themeFill="accent2"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C8E60" w:themeFill="accent2"/>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C8E60" w:themeFill="accent2"/>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CC8E60" w:themeFill="accent2"/>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CC8E6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5C6A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9D6" w:themeFill="accent3"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A6A60" w:themeFill="accent3"/>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A6A60" w:themeFill="accent3"/>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7A6A60" w:themeFill="accent3"/>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7A6A60"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EB4AD"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CE4DA" w:themeFill="accent4"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B4936D" w:themeFill="accent4"/>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B4936D" w:themeFill="accent4"/>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B4936D" w:themeFill="accent4"/>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B4936D"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9C9B6"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8DEDF" w:themeFill="accent5"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7787B" w:themeFill="accent5"/>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7787B" w:themeFill="accent5"/>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67787B" w:themeFill="accent5"/>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67787B"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1BCBE"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4DB" w:themeFill="accent6"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D936F" w:themeFill="accent6"/>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D936F" w:themeFill="accent6"/>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9D936F" w:themeFill="accent6"/>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9D936F"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EC9B7"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EC9B7" w:themeFill="accent6" w:themeFillTint="7f"/>
      </w:tcPr>
    </w:tblStylePr>
  </w:style>
  <w:style w:type="table" w:styleId="MediumList1">
    <w:name w:val="Medium List 1"/>
    <w:basedOn w:val="TableNormal"/>
    <w:uiPriority w:val="65"/>
    <w:pPr>
      <w:spacing w:after="0" w:line="240" w:lineRule="auto"/>
    </w:pPr>
    <w:rPr>
      <w:color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themeColor="text1"/>
    </w:rPr>
    <w:tblPr>
      <w:tblStyleRowBandSize w:val="1"/>
      <w:tblStyleColBandSize w:val="1"/>
      <w:tblBorders>
        <w:top w:val="single" w:color="7E97AD" w:themeColor="accent1" w:sz="8" w:space="0"/>
        <w:bottom w:val="single" w:color="7E97AD" w:themeColor="accent1" w:sz="8" w:space="0"/>
      </w:tblBorders>
    </w:tblPr>
    <w:tblStylePr w:type="firstRow">
      <w:rPr>
        <w:rFonts w:asciiTheme="majorHAnsi" w:hAnsiTheme="majorHAnsi" w:eastAsiaTheme="majorEastAsia" w:cstheme="majorBidi"/>
      </w:rPr>
      <w:tblPr/>
      <w:tcPr>
        <w:tcBorders>
          <w:top w:val="nil"/>
          <w:bottom w:val="single" w:color="7E97AD" w:themeColor="accent1" w:sz="8" w:space="0"/>
        </w:tcBorders>
      </w:tcPr>
    </w:tblStylePr>
    <w:tblStylePr w:type="lastRow">
      <w:rPr>
        <w:b/>
        <w:bCs/>
        <w:color w:themeColor="text2"/>
      </w:rPr>
      <w:tblPr/>
      <w:tcPr>
        <w:tcBorders>
          <w:top w:val="single" w:color="7E97AD" w:themeColor="accent1" w:sz="8" w:space="0"/>
          <w:bottom w:val="single" w:color="7E97AD" w:themeColor="accent1" w:sz="8" w:space="0"/>
        </w:tcBorders>
      </w:tcPr>
    </w:tblStylePr>
    <w:tblStylePr w:type="firstCol">
      <w:rPr>
        <w:b/>
        <w:bCs/>
      </w:rPr>
      <w:tblPr/>
    </w:tblStylePr>
    <w:tblStylePr w:type="lastCol">
      <w:rPr>
        <w:b/>
        <w:bCs/>
      </w:rPr>
      <w:tblPr/>
      <w:tcPr>
        <w:tcBorders>
          <w:top w:val="single" w:color="7E97AD" w:themeColor="accent1" w:sz="8" w:space="0"/>
          <w:bottom w:val="single" w:color="7E97AD" w:themeColor="accent1" w:sz="8" w:space="0"/>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themeColor="text1"/>
    </w:rPr>
    <w:tblPr>
      <w:tblStyleRowBandSize w:val="1"/>
      <w:tblStyleColBandSize w:val="1"/>
      <w:tblBorders>
        <w:top w:val="single" w:color="CC8E60" w:themeColor="accent2" w:sz="8" w:space="0"/>
        <w:bottom w:val="single" w:color="CC8E60" w:themeColor="accent2" w:sz="8" w:space="0"/>
      </w:tblBorders>
    </w:tblPr>
    <w:tblStylePr w:type="firstRow">
      <w:rPr>
        <w:rFonts w:asciiTheme="majorHAnsi" w:hAnsiTheme="majorHAnsi" w:eastAsiaTheme="majorEastAsia" w:cstheme="majorBidi"/>
      </w:rPr>
      <w:tblPr/>
      <w:tcPr>
        <w:tcBorders>
          <w:top w:val="nil"/>
          <w:bottom w:val="single" w:color="CC8E60" w:themeColor="accent2" w:sz="8" w:space="0"/>
        </w:tcBorders>
      </w:tcPr>
    </w:tblStylePr>
    <w:tblStylePr w:type="lastRow">
      <w:rPr>
        <w:b/>
        <w:bCs/>
        <w:color w:themeColor="text2"/>
      </w:rPr>
      <w:tblPr/>
      <w:tcPr>
        <w:tcBorders>
          <w:top w:val="single" w:color="CC8E60" w:themeColor="accent2" w:sz="8" w:space="0"/>
          <w:bottom w:val="single" w:color="CC8E60" w:themeColor="accent2" w:sz="8" w:space="0"/>
        </w:tcBorders>
      </w:tcPr>
    </w:tblStylePr>
    <w:tblStylePr w:type="firstCol">
      <w:rPr>
        <w:b/>
        <w:bCs/>
      </w:rPr>
      <w:tblPr/>
    </w:tblStylePr>
    <w:tblStylePr w:type="lastCol">
      <w:rPr>
        <w:b/>
        <w:bCs/>
      </w:rPr>
      <w:tblPr/>
      <w:tcPr>
        <w:tcBorders>
          <w:top w:val="single" w:color="CC8E60" w:themeColor="accent2" w:sz="8" w:space="0"/>
          <w:bottom w:val="single" w:color="CC8E60" w:themeColor="accent2" w:sz="8" w:space="0"/>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themeColor="text1"/>
    </w:rPr>
    <w:tblPr>
      <w:tblStyleRowBandSize w:val="1"/>
      <w:tblStyleColBandSize w:val="1"/>
      <w:tblBorders>
        <w:top w:val="single" w:color="7A6A60" w:themeColor="accent3" w:sz="8" w:space="0"/>
        <w:bottom w:val="single" w:color="7A6A60" w:themeColor="accent3" w:sz="8" w:space="0"/>
      </w:tblBorders>
    </w:tblPr>
    <w:tblStylePr w:type="firstRow">
      <w:rPr>
        <w:rFonts w:asciiTheme="majorHAnsi" w:hAnsiTheme="majorHAnsi" w:eastAsiaTheme="majorEastAsia" w:cstheme="majorBidi"/>
      </w:rPr>
      <w:tblPr/>
      <w:tcPr>
        <w:tcBorders>
          <w:top w:val="nil"/>
          <w:bottom w:val="single" w:color="7A6A60" w:themeColor="accent3" w:sz="8" w:space="0"/>
        </w:tcBorders>
      </w:tcPr>
    </w:tblStylePr>
    <w:tblStylePr w:type="lastRow">
      <w:rPr>
        <w:b/>
        <w:bCs/>
        <w:color w:themeColor="text2"/>
      </w:rPr>
      <w:tblPr/>
      <w:tcPr>
        <w:tcBorders>
          <w:top w:val="single" w:color="7A6A60" w:themeColor="accent3" w:sz="8" w:space="0"/>
          <w:bottom w:val="single" w:color="7A6A60" w:themeColor="accent3" w:sz="8" w:space="0"/>
        </w:tcBorders>
      </w:tcPr>
    </w:tblStylePr>
    <w:tblStylePr w:type="firstCol">
      <w:rPr>
        <w:b/>
        <w:bCs/>
      </w:rPr>
      <w:tblPr/>
    </w:tblStylePr>
    <w:tblStylePr w:type="lastCol">
      <w:rPr>
        <w:b/>
        <w:bCs/>
      </w:rPr>
      <w:tblPr/>
      <w:tcPr>
        <w:tcBorders>
          <w:top w:val="single" w:color="7A6A60" w:themeColor="accent3" w:sz="8" w:space="0"/>
          <w:bottom w:val="single" w:color="7A6A60" w:themeColor="accent3" w:sz="8" w:space="0"/>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themeColor="text1"/>
    </w:rPr>
    <w:tblPr>
      <w:tblStyleRowBandSize w:val="1"/>
      <w:tblStyleColBandSize w:val="1"/>
      <w:tblBorders>
        <w:top w:val="single" w:color="B4936D" w:themeColor="accent4" w:sz="8" w:space="0"/>
        <w:bottom w:val="single" w:color="B4936D" w:themeColor="accent4" w:sz="8" w:space="0"/>
      </w:tblBorders>
    </w:tblPr>
    <w:tblStylePr w:type="firstRow">
      <w:rPr>
        <w:rFonts w:asciiTheme="majorHAnsi" w:hAnsiTheme="majorHAnsi" w:eastAsiaTheme="majorEastAsia" w:cstheme="majorBidi"/>
      </w:rPr>
      <w:tblPr/>
      <w:tcPr>
        <w:tcBorders>
          <w:top w:val="nil"/>
          <w:bottom w:val="single" w:color="B4936D" w:themeColor="accent4" w:sz="8" w:space="0"/>
        </w:tcBorders>
      </w:tcPr>
    </w:tblStylePr>
    <w:tblStylePr w:type="lastRow">
      <w:rPr>
        <w:b/>
        <w:bCs/>
        <w:color w:themeColor="text2"/>
      </w:rPr>
      <w:tblPr/>
      <w:tcPr>
        <w:tcBorders>
          <w:top w:val="single" w:color="B4936D" w:themeColor="accent4" w:sz="8" w:space="0"/>
          <w:bottom w:val="single" w:color="B4936D" w:themeColor="accent4" w:sz="8" w:space="0"/>
        </w:tcBorders>
      </w:tcPr>
    </w:tblStylePr>
    <w:tblStylePr w:type="firstCol">
      <w:rPr>
        <w:b/>
        <w:bCs/>
      </w:rPr>
      <w:tblPr/>
    </w:tblStylePr>
    <w:tblStylePr w:type="lastCol">
      <w:rPr>
        <w:b/>
        <w:bCs/>
      </w:rPr>
      <w:tblPr/>
      <w:tcPr>
        <w:tcBorders>
          <w:top w:val="single" w:color="B4936D" w:themeColor="accent4" w:sz="8" w:space="0"/>
          <w:bottom w:val="single" w:color="B4936D" w:themeColor="accent4" w:sz="8" w:space="0"/>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themeColor="text1"/>
    </w:rPr>
    <w:tblPr>
      <w:tblStyleRowBandSize w:val="1"/>
      <w:tblStyleColBandSize w:val="1"/>
      <w:tblBorders>
        <w:top w:val="single" w:color="67787B" w:themeColor="accent5" w:sz="8" w:space="0"/>
        <w:bottom w:val="single" w:color="67787B" w:themeColor="accent5" w:sz="8" w:space="0"/>
      </w:tblBorders>
    </w:tblPr>
    <w:tblStylePr w:type="firstRow">
      <w:rPr>
        <w:rFonts w:asciiTheme="majorHAnsi" w:hAnsiTheme="majorHAnsi" w:eastAsiaTheme="majorEastAsia" w:cstheme="majorBidi"/>
      </w:rPr>
      <w:tblPr/>
      <w:tcPr>
        <w:tcBorders>
          <w:top w:val="nil"/>
          <w:bottom w:val="single" w:color="67787B" w:themeColor="accent5" w:sz="8" w:space="0"/>
        </w:tcBorders>
      </w:tcPr>
    </w:tblStylePr>
    <w:tblStylePr w:type="lastRow">
      <w:rPr>
        <w:b/>
        <w:bCs/>
        <w:color w:themeColor="text2"/>
      </w:rPr>
      <w:tblPr/>
      <w:tcPr>
        <w:tcBorders>
          <w:top w:val="single" w:color="67787B" w:themeColor="accent5" w:sz="8" w:space="0"/>
          <w:bottom w:val="single" w:color="67787B" w:themeColor="accent5" w:sz="8" w:space="0"/>
        </w:tcBorders>
      </w:tcPr>
    </w:tblStylePr>
    <w:tblStylePr w:type="firstCol">
      <w:rPr>
        <w:b/>
        <w:bCs/>
      </w:rPr>
      <w:tblPr/>
    </w:tblStylePr>
    <w:tblStylePr w:type="lastCol">
      <w:rPr>
        <w:b/>
        <w:bCs/>
      </w:rPr>
      <w:tblPr/>
      <w:tcPr>
        <w:tcBorders>
          <w:top w:val="single" w:color="67787B" w:themeColor="accent5" w:sz="8" w:space="0"/>
          <w:bottom w:val="single" w:color="67787B" w:themeColor="accent5" w:sz="8" w:space="0"/>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themeColor="text1"/>
    </w:rPr>
    <w:tblPr>
      <w:tblStyleRowBandSize w:val="1"/>
      <w:tblStyleColBandSize w:val="1"/>
      <w:tblBorders>
        <w:top w:val="single" w:color="9D936F" w:themeColor="accent6" w:sz="8" w:space="0"/>
        <w:bottom w:val="single" w:color="9D936F" w:themeColor="accent6" w:sz="8" w:space="0"/>
      </w:tblBorders>
    </w:tblPr>
    <w:tblStylePr w:type="firstRow">
      <w:rPr>
        <w:rFonts w:asciiTheme="majorHAnsi" w:hAnsiTheme="majorHAnsi" w:eastAsiaTheme="majorEastAsia" w:cstheme="majorBidi"/>
      </w:rPr>
      <w:tblPr/>
      <w:tcPr>
        <w:tcBorders>
          <w:top w:val="nil"/>
          <w:bottom w:val="single" w:color="9D936F" w:themeColor="accent6" w:sz="8" w:space="0"/>
        </w:tcBorders>
      </w:tcPr>
    </w:tblStylePr>
    <w:tblStylePr w:type="lastRow">
      <w:rPr>
        <w:b/>
        <w:bCs/>
        <w:color w:themeColor="text2"/>
      </w:rPr>
      <w:tblPr/>
      <w:tcPr>
        <w:tcBorders>
          <w:top w:val="single" w:color="9D936F" w:themeColor="accent6" w:sz="8" w:space="0"/>
          <w:bottom w:val="single" w:color="9D936F" w:themeColor="accent6" w:sz="8" w:space="0"/>
        </w:tcBorders>
      </w:tcPr>
    </w:tblStylePr>
    <w:tblStylePr w:type="firstCol">
      <w:rPr>
        <w:b/>
        <w:bCs/>
      </w:rPr>
      <w:tblPr/>
    </w:tblStylePr>
    <w:tblStylePr w:type="lastCol">
      <w:rPr>
        <w:b/>
        <w:bCs/>
      </w:rPr>
      <w:tblPr/>
      <w:tcPr>
        <w:tcBorders>
          <w:top w:val="single" w:color="9D936F" w:themeColor="accent6" w:sz="8" w:space="0"/>
          <w:bottom w:val="single" w:color="9D936F" w:themeColor="accent6" w:sz="8" w:space="0"/>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tblBorders>
    </w:tblPr>
    <w:tblStylePr w:type="firstRow">
      <w:rPr>
        <w:sz w:val="24"/>
        <w:szCs w:val="24"/>
      </w:rPr>
      <w:tblPr/>
      <w:tcPr>
        <w:tcBorders>
          <w:top w:val="nil"/>
          <w:left w:val="nil"/>
          <w:bottom w:val="single" w:color="7E97AD" w:themeColor="accent1" w:sz="24" w:space="0"/>
          <w:right w:val="nil"/>
          <w:insideH w:val="nil"/>
          <w:insideV w:val="nil"/>
        </w:tcBorders>
        <w:shd w:val="clear" w:color="auto" w:fill="FFFFFF" w:themeFill="background1"/>
      </w:tcPr>
    </w:tblStylePr>
    <w:tblStylePr w:type="lastRow">
      <w:tblPr/>
      <w:tcPr>
        <w:tcBorders>
          <w:top w:val="single" w:color="7E97A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E97AD" w:themeColor="accent1" w:sz="8" w:space="0"/>
          <w:insideH w:val="nil"/>
          <w:insideV w:val="nil"/>
        </w:tcBorders>
        <w:shd w:val="clear" w:color="auto" w:fill="FFFFFF" w:themeFill="background1"/>
      </w:tcPr>
    </w:tblStylePr>
    <w:tblStylePr w:type="lastCol">
      <w:tblPr/>
      <w:tcPr>
        <w:tcBorders>
          <w:top w:val="nil"/>
          <w:left w:val="single" w:color="7E97A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tblBorders>
    </w:tblPr>
    <w:tblStylePr w:type="firstRow">
      <w:rPr>
        <w:sz w:val="24"/>
        <w:szCs w:val="24"/>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tblPr/>
      <w:tcPr>
        <w:tcBorders>
          <w:top w:val="single" w:color="CC8E60"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C8E60" w:themeColor="accent2" w:sz="8" w:space="0"/>
          <w:insideH w:val="nil"/>
          <w:insideV w:val="nil"/>
        </w:tcBorders>
        <w:shd w:val="clear" w:color="auto" w:fill="FFFFFF" w:themeFill="background1"/>
      </w:tcPr>
    </w:tblStylePr>
    <w:tblStylePr w:type="lastCol">
      <w:tblPr/>
      <w:tcPr>
        <w:tcBorders>
          <w:top w:val="nil"/>
          <w:left w:val="single" w:color="CC8E6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tblBorders>
    </w:tblPr>
    <w:tblStylePr w:type="firstRow">
      <w:rPr>
        <w:sz w:val="24"/>
        <w:szCs w:val="24"/>
      </w:rPr>
      <w:tblPr/>
      <w:tcPr>
        <w:tcBorders>
          <w:top w:val="nil"/>
          <w:left w:val="nil"/>
          <w:bottom w:val="single" w:color="7A6A60" w:themeColor="accent3" w:sz="24" w:space="0"/>
          <w:right w:val="nil"/>
          <w:insideH w:val="nil"/>
          <w:insideV w:val="nil"/>
        </w:tcBorders>
        <w:shd w:val="clear" w:color="auto" w:fill="FFFFFF" w:themeFill="background1"/>
      </w:tcPr>
    </w:tblStylePr>
    <w:tblStylePr w:type="lastRow">
      <w:tblPr/>
      <w:tcPr>
        <w:tcBorders>
          <w:top w:val="single" w:color="7A6A60"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A6A60" w:themeColor="accent3" w:sz="8" w:space="0"/>
          <w:insideH w:val="nil"/>
          <w:insideV w:val="nil"/>
        </w:tcBorders>
        <w:shd w:val="clear" w:color="auto" w:fill="FFFFFF" w:themeFill="background1"/>
      </w:tcPr>
    </w:tblStylePr>
    <w:tblStylePr w:type="lastCol">
      <w:tblPr/>
      <w:tcPr>
        <w:tcBorders>
          <w:top w:val="nil"/>
          <w:left w:val="single" w:color="7A6A60"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tblBorders>
    </w:tblPr>
    <w:tblStylePr w:type="firstRow">
      <w:rPr>
        <w:sz w:val="24"/>
        <w:szCs w:val="24"/>
      </w:rPr>
      <w:tblPr/>
      <w:tcPr>
        <w:tcBorders>
          <w:top w:val="nil"/>
          <w:left w:val="nil"/>
          <w:bottom w:val="single" w:color="B4936D" w:themeColor="accent4" w:sz="24" w:space="0"/>
          <w:right w:val="nil"/>
          <w:insideH w:val="nil"/>
          <w:insideV w:val="nil"/>
        </w:tcBorders>
        <w:shd w:val="clear" w:color="auto" w:fill="FFFFFF" w:themeFill="background1"/>
      </w:tcPr>
    </w:tblStylePr>
    <w:tblStylePr w:type="lastRow">
      <w:tblPr/>
      <w:tcPr>
        <w:tcBorders>
          <w:top w:val="single" w:color="B4936D"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4936D" w:themeColor="accent4" w:sz="8" w:space="0"/>
          <w:insideH w:val="nil"/>
          <w:insideV w:val="nil"/>
        </w:tcBorders>
        <w:shd w:val="clear" w:color="auto" w:fill="FFFFFF" w:themeFill="background1"/>
      </w:tcPr>
    </w:tblStylePr>
    <w:tblStylePr w:type="lastCol">
      <w:tblPr/>
      <w:tcPr>
        <w:tcBorders>
          <w:top w:val="nil"/>
          <w:left w:val="single" w:color="B4936D"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tblBorders>
    </w:tblPr>
    <w:tblStylePr w:type="firstRow">
      <w:rPr>
        <w:sz w:val="24"/>
        <w:szCs w:val="24"/>
      </w:rPr>
      <w:tblPr/>
      <w:tcPr>
        <w:tcBorders>
          <w:top w:val="nil"/>
          <w:left w:val="nil"/>
          <w:bottom w:val="single" w:color="67787B" w:themeColor="accent5" w:sz="24" w:space="0"/>
          <w:right w:val="nil"/>
          <w:insideH w:val="nil"/>
          <w:insideV w:val="nil"/>
        </w:tcBorders>
        <w:shd w:val="clear" w:color="auto" w:fill="FFFFFF" w:themeFill="background1"/>
      </w:tcPr>
    </w:tblStylePr>
    <w:tblStylePr w:type="lastRow">
      <w:tblPr/>
      <w:tcPr>
        <w:tcBorders>
          <w:top w:val="single" w:color="67787B"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7787B" w:themeColor="accent5" w:sz="8" w:space="0"/>
          <w:insideH w:val="nil"/>
          <w:insideV w:val="nil"/>
        </w:tcBorders>
        <w:shd w:val="clear" w:color="auto" w:fill="FFFFFF" w:themeFill="background1"/>
      </w:tcPr>
    </w:tblStylePr>
    <w:tblStylePr w:type="lastCol">
      <w:tblPr/>
      <w:tcPr>
        <w:tcBorders>
          <w:top w:val="nil"/>
          <w:left w:val="single" w:color="67787B"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tblBorders>
    </w:tblPr>
    <w:tblStylePr w:type="firstRow">
      <w:rPr>
        <w:sz w:val="24"/>
        <w:szCs w:val="24"/>
      </w:rPr>
      <w:tblPr/>
      <w:tcPr>
        <w:tcBorders>
          <w:top w:val="nil"/>
          <w:left w:val="nil"/>
          <w:bottom w:val="single" w:color="9D936F" w:themeColor="accent6" w:sz="24" w:space="0"/>
          <w:right w:val="nil"/>
          <w:insideH w:val="nil"/>
          <w:insideV w:val="nil"/>
        </w:tcBorders>
        <w:shd w:val="clear" w:color="auto" w:fill="FFFFFF" w:themeFill="background1"/>
      </w:tcPr>
    </w:tblStylePr>
    <w:tblStylePr w:type="lastRow">
      <w:tblPr/>
      <w:tcPr>
        <w:tcBorders>
          <w:top w:val="single" w:color="9D936F"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D936F" w:themeColor="accent6" w:sz="8" w:space="0"/>
          <w:insideH w:val="nil"/>
          <w:insideV w:val="nil"/>
        </w:tcBorders>
        <w:shd w:val="clear" w:color="auto" w:fill="FFFFFF" w:themeFill="background1"/>
      </w:tcPr>
    </w:tblStylePr>
    <w:tblStylePr w:type="lastCol">
      <w:tblPr/>
      <w:tcPr>
        <w:tcBorders>
          <w:top w:val="nil"/>
          <w:left w:val="single" w:color="9D936F"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color="9EB0C1" w:themeColor="accent1" w:themeTint="bf" w:sz="8" w:space="0"/>
        <w:left w:val="single" w:color="9EB0C1" w:themeColor="accent1" w:themeTint="bf" w:sz="8" w:space="0"/>
        <w:bottom w:val="single" w:color="9EB0C1" w:themeColor="accent1" w:themeTint="bf" w:sz="8" w:space="0"/>
        <w:right w:val="single" w:color="9EB0C1" w:themeColor="accent1" w:themeTint="bf" w:sz="8" w:space="0"/>
        <w:insideH w:val="single" w:color="9EB0C1" w:themeColor="accent1" w:themeTint="bf" w:sz="8" w:space="0"/>
      </w:tblBorders>
    </w:tblPr>
    <w:tblStylePr w:type="firstRow">
      <w:pPr>
        <w:spacing w:before="0" w:after="0" w:line="240" w:lineRule="auto"/>
      </w:pPr>
      <w:rPr>
        <w:b/>
        <w:bCs/>
        <w:color w:themeColor="background1"/>
      </w:rPr>
      <w:tblPr/>
      <w:tcPr>
        <w:tcBorders>
          <w:top w:val="single" w:color="9EB0C1" w:themeColor="accent1" w:sz="8" w:space="0"/>
          <w:left w:val="single" w:color="9EB0C1" w:themeColor="accent1" w:sz="8" w:space="0"/>
          <w:bottom w:val="single" w:color="9EB0C1" w:themeColor="accent1" w:sz="8" w:space="0"/>
          <w:right w:val="single" w:color="9EB0C1" w:themeColor="accent1" w:sz="8" w:space="0"/>
          <w:insideH w:val="nil"/>
          <w:insideV w:val="nil"/>
        </w:tcBorders>
        <w:shd w:val="clear" w:color="auto" w:fill="7E97AD" w:themeFill="accent1"/>
      </w:tcPr>
    </w:tblStylePr>
    <w:tblStylePr w:type="lastRow">
      <w:pPr>
        <w:spacing w:before="0" w:after="0" w:line="240" w:lineRule="auto"/>
      </w:pPr>
      <w:rPr>
        <w:b/>
        <w:bCs/>
      </w:rPr>
      <w:tblPr/>
      <w:tcPr>
        <w:tcBorders>
          <w:top w:val="double" w:color="9EB0C1" w:themeColor="accent1" w:sz="6" w:space="0"/>
          <w:left w:val="single" w:color="9EB0C1" w:themeColor="accent1" w:sz="8" w:space="0"/>
          <w:bottom w:val="single" w:color="9EB0C1" w:themeColor="accent1" w:sz="8" w:space="0"/>
          <w:right w:val="single" w:color="9EB0C1"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color="D8AA87" w:themeColor="accent2" w:themeTint="bf" w:sz="8" w:space="0"/>
        <w:left w:val="single" w:color="D8AA87" w:themeColor="accent2" w:themeTint="bf" w:sz="8" w:space="0"/>
        <w:bottom w:val="single" w:color="D8AA87" w:themeColor="accent2" w:themeTint="bf" w:sz="8" w:space="0"/>
        <w:right w:val="single" w:color="D8AA87" w:themeColor="accent2" w:themeTint="bf" w:sz="8" w:space="0"/>
        <w:insideH w:val="single" w:color="D8AA87" w:themeColor="accent2" w:themeTint="bf" w:sz="8" w:space="0"/>
      </w:tblBorders>
    </w:tblPr>
    <w:tblStylePr w:type="firstRow">
      <w:pPr>
        <w:spacing w:before="0" w:after="0" w:line="240" w:lineRule="auto"/>
      </w:pPr>
      <w:rPr>
        <w:b/>
        <w:bCs/>
        <w:color w:themeColor="background1"/>
      </w:rPr>
      <w:tblPr/>
      <w:tcPr>
        <w:tcBorders>
          <w:top w:val="single" w:color="D8AA87" w:themeColor="accent2" w:sz="8" w:space="0"/>
          <w:left w:val="single" w:color="D8AA87" w:themeColor="accent2" w:sz="8" w:space="0"/>
          <w:bottom w:val="single" w:color="D8AA87" w:themeColor="accent2" w:sz="8" w:space="0"/>
          <w:right w:val="single" w:color="D8AA87" w:themeColor="accent2" w:sz="8" w:space="0"/>
          <w:insideH w:val="nil"/>
          <w:insideV w:val="nil"/>
        </w:tcBorders>
        <w:shd w:val="clear" w:color="auto" w:fill="CC8E60" w:themeFill="accent2"/>
      </w:tcPr>
    </w:tblStylePr>
    <w:tblStylePr w:type="lastRow">
      <w:pPr>
        <w:spacing w:before="0" w:after="0" w:line="240" w:lineRule="auto"/>
      </w:pPr>
      <w:rPr>
        <w:b/>
        <w:bCs/>
      </w:rPr>
      <w:tblPr/>
      <w:tcPr>
        <w:tcBorders>
          <w:top w:val="double" w:color="D8AA87" w:themeColor="accent2" w:sz="6" w:space="0"/>
          <w:left w:val="single" w:color="D8AA87" w:themeColor="accent2" w:sz="8" w:space="0"/>
          <w:bottom w:val="single" w:color="D8AA87" w:themeColor="accent2" w:sz="8" w:space="0"/>
          <w:right w:val="single" w:color="D8AA87"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color="9E8E84" w:themeColor="accent3" w:themeTint="bf" w:sz="8" w:space="0"/>
        <w:left w:val="single" w:color="9E8E84" w:themeColor="accent3" w:themeTint="bf" w:sz="8" w:space="0"/>
        <w:bottom w:val="single" w:color="9E8E84" w:themeColor="accent3" w:themeTint="bf" w:sz="8" w:space="0"/>
        <w:right w:val="single" w:color="9E8E84" w:themeColor="accent3" w:themeTint="bf" w:sz="8" w:space="0"/>
        <w:insideH w:val="single" w:color="9E8E84" w:themeColor="accent3" w:themeTint="bf" w:sz="8" w:space="0"/>
      </w:tblBorders>
    </w:tblPr>
    <w:tblStylePr w:type="firstRow">
      <w:pPr>
        <w:spacing w:before="0" w:after="0" w:line="240" w:lineRule="auto"/>
      </w:pPr>
      <w:rPr>
        <w:b/>
        <w:bCs/>
        <w:color w:themeColor="background1"/>
      </w:rPr>
      <w:tblPr/>
      <w:tcPr>
        <w:tcBorders>
          <w:top w:val="single" w:color="9E8E84" w:themeColor="accent3" w:sz="8" w:space="0"/>
          <w:left w:val="single" w:color="9E8E84" w:themeColor="accent3" w:sz="8" w:space="0"/>
          <w:bottom w:val="single" w:color="9E8E84" w:themeColor="accent3" w:sz="8" w:space="0"/>
          <w:right w:val="single" w:color="9E8E84" w:themeColor="accent3" w:sz="8" w:space="0"/>
          <w:insideH w:val="nil"/>
          <w:insideV w:val="nil"/>
        </w:tcBorders>
        <w:shd w:val="clear" w:color="auto" w:fill="7A6A60" w:themeFill="accent3"/>
      </w:tcPr>
    </w:tblStylePr>
    <w:tblStylePr w:type="lastRow">
      <w:pPr>
        <w:spacing w:before="0" w:after="0" w:line="240" w:lineRule="auto"/>
      </w:pPr>
      <w:rPr>
        <w:b/>
        <w:bCs/>
      </w:rPr>
      <w:tblPr/>
      <w:tcPr>
        <w:tcBorders>
          <w:top w:val="double" w:color="9E8E84" w:themeColor="accent3" w:sz="6" w:space="0"/>
          <w:left w:val="single" w:color="9E8E84" w:themeColor="accent3" w:sz="8" w:space="0"/>
          <w:bottom w:val="single" w:color="9E8E84" w:themeColor="accent3" w:sz="8" w:space="0"/>
          <w:right w:val="single" w:color="9E8E84"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color="C6AD91" w:themeColor="accent4" w:themeTint="bf" w:sz="8" w:space="0"/>
        <w:left w:val="single" w:color="C6AD91" w:themeColor="accent4" w:themeTint="bf" w:sz="8" w:space="0"/>
        <w:bottom w:val="single" w:color="C6AD91" w:themeColor="accent4" w:themeTint="bf" w:sz="8" w:space="0"/>
        <w:right w:val="single" w:color="C6AD91" w:themeColor="accent4" w:themeTint="bf" w:sz="8" w:space="0"/>
        <w:insideH w:val="single" w:color="C6AD91" w:themeColor="accent4" w:themeTint="bf" w:sz="8" w:space="0"/>
      </w:tblBorders>
    </w:tblPr>
    <w:tblStylePr w:type="firstRow">
      <w:pPr>
        <w:spacing w:before="0" w:after="0" w:line="240" w:lineRule="auto"/>
      </w:pPr>
      <w:rPr>
        <w:b/>
        <w:bCs/>
        <w:color w:themeColor="background1"/>
      </w:rPr>
      <w:tblPr/>
      <w:tcPr>
        <w:tcBorders>
          <w:top w:val="single" w:color="C6AD91" w:themeColor="accent4" w:sz="8" w:space="0"/>
          <w:left w:val="single" w:color="C6AD91" w:themeColor="accent4" w:sz="8" w:space="0"/>
          <w:bottom w:val="single" w:color="C6AD91" w:themeColor="accent4" w:sz="8" w:space="0"/>
          <w:right w:val="single" w:color="C6AD91" w:themeColor="accent4" w:sz="8" w:space="0"/>
          <w:insideH w:val="nil"/>
          <w:insideV w:val="nil"/>
        </w:tcBorders>
        <w:shd w:val="clear" w:color="auto" w:fill="B4936D" w:themeFill="accent4"/>
      </w:tcPr>
    </w:tblStylePr>
    <w:tblStylePr w:type="lastRow">
      <w:pPr>
        <w:spacing w:before="0" w:after="0" w:line="240" w:lineRule="auto"/>
      </w:pPr>
      <w:rPr>
        <w:b/>
        <w:bCs/>
      </w:rPr>
      <w:tblPr/>
      <w:tcPr>
        <w:tcBorders>
          <w:top w:val="double" w:color="C6AD91" w:themeColor="accent4" w:sz="6" w:space="0"/>
          <w:left w:val="single" w:color="C6AD91" w:themeColor="accent4" w:sz="8" w:space="0"/>
          <w:bottom w:val="single" w:color="C6AD91" w:themeColor="accent4" w:sz="8" w:space="0"/>
          <w:right w:val="single" w:color="C6AD91"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color="8B9B9E" w:themeColor="accent5" w:themeTint="bf" w:sz="8" w:space="0"/>
        <w:left w:val="single" w:color="8B9B9E" w:themeColor="accent5" w:themeTint="bf" w:sz="8" w:space="0"/>
        <w:bottom w:val="single" w:color="8B9B9E" w:themeColor="accent5" w:themeTint="bf" w:sz="8" w:space="0"/>
        <w:right w:val="single" w:color="8B9B9E" w:themeColor="accent5" w:themeTint="bf" w:sz="8" w:space="0"/>
        <w:insideH w:val="single" w:color="8B9B9E" w:themeColor="accent5" w:themeTint="bf" w:sz="8" w:space="0"/>
      </w:tblBorders>
    </w:tblPr>
    <w:tblStylePr w:type="firstRow">
      <w:pPr>
        <w:spacing w:before="0" w:after="0" w:line="240" w:lineRule="auto"/>
      </w:pPr>
      <w:rPr>
        <w:b/>
        <w:bCs/>
        <w:color w:themeColor="background1"/>
      </w:rPr>
      <w:tblPr/>
      <w:tcPr>
        <w:tcBorders>
          <w:top w:val="single" w:color="8B9B9E" w:themeColor="accent5" w:sz="8" w:space="0"/>
          <w:left w:val="single" w:color="8B9B9E" w:themeColor="accent5" w:sz="8" w:space="0"/>
          <w:bottom w:val="single" w:color="8B9B9E" w:themeColor="accent5" w:sz="8" w:space="0"/>
          <w:right w:val="single" w:color="8B9B9E" w:themeColor="accent5" w:sz="8" w:space="0"/>
          <w:insideH w:val="nil"/>
          <w:insideV w:val="nil"/>
        </w:tcBorders>
        <w:shd w:val="clear" w:color="auto" w:fill="67787B" w:themeFill="accent5"/>
      </w:tcPr>
    </w:tblStylePr>
    <w:tblStylePr w:type="lastRow">
      <w:pPr>
        <w:spacing w:before="0" w:after="0" w:line="240" w:lineRule="auto"/>
      </w:pPr>
      <w:rPr>
        <w:b/>
        <w:bCs/>
      </w:rPr>
      <w:tblPr/>
      <w:tcPr>
        <w:tcBorders>
          <w:top w:val="double" w:color="8B9B9E" w:themeColor="accent5" w:sz="6" w:space="0"/>
          <w:left w:val="single" w:color="8B9B9E" w:themeColor="accent5" w:sz="8" w:space="0"/>
          <w:bottom w:val="single" w:color="8B9B9E" w:themeColor="accent5" w:sz="8" w:space="0"/>
          <w:right w:val="single" w:color="8B9B9E"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color="B5AE93" w:themeColor="accent6" w:themeTint="bf" w:sz="8" w:space="0"/>
        <w:left w:val="single" w:color="B5AE93" w:themeColor="accent6" w:themeTint="bf" w:sz="8" w:space="0"/>
        <w:bottom w:val="single" w:color="B5AE93" w:themeColor="accent6" w:themeTint="bf" w:sz="8" w:space="0"/>
        <w:right w:val="single" w:color="B5AE93" w:themeColor="accent6" w:themeTint="bf" w:sz="8" w:space="0"/>
        <w:insideH w:val="single" w:color="B5AE93" w:themeColor="accent6" w:themeTint="bf" w:sz="8" w:space="0"/>
      </w:tblBorders>
    </w:tblPr>
    <w:tblStylePr w:type="firstRow">
      <w:pPr>
        <w:spacing w:before="0" w:after="0" w:line="240" w:lineRule="auto"/>
      </w:pPr>
      <w:rPr>
        <w:b/>
        <w:bCs/>
        <w:color w:themeColor="background1"/>
      </w:rPr>
      <w:tblPr/>
      <w:tcPr>
        <w:tcBorders>
          <w:top w:val="single" w:color="B5AE93" w:themeColor="accent6" w:sz="8" w:space="0"/>
          <w:left w:val="single" w:color="B5AE93" w:themeColor="accent6" w:sz="8" w:space="0"/>
          <w:bottom w:val="single" w:color="B5AE93" w:themeColor="accent6" w:sz="8" w:space="0"/>
          <w:right w:val="single" w:color="B5AE93" w:themeColor="accent6" w:sz="8" w:space="0"/>
          <w:insideH w:val="nil"/>
          <w:insideV w:val="nil"/>
        </w:tcBorders>
        <w:shd w:val="clear" w:color="auto" w:fill="9D936F" w:themeFill="accent6"/>
      </w:tcPr>
    </w:tblStylePr>
    <w:tblStylePr w:type="lastRow">
      <w:pPr>
        <w:spacing w:before="0" w:after="0" w:line="240" w:lineRule="auto"/>
      </w:pPr>
      <w:rPr>
        <w:b/>
        <w:bCs/>
      </w:rPr>
      <w:tblPr/>
      <w:tcPr>
        <w:tcBorders>
          <w:top w:val="double" w:color="B5AE93" w:themeColor="accent6" w:sz="6" w:space="0"/>
          <w:left w:val="single" w:color="B5AE93" w:themeColor="accent6" w:sz="8" w:space="0"/>
          <w:bottom w:val="single" w:color="B5AE93" w:themeColor="accent6" w:sz="8" w:space="0"/>
          <w:right w:val="single" w:color="B5AE93"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7E97AD" w:themeFill="accent1"/>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7E97AD" w:themeFill="accent1"/>
      </w:tcPr>
    </w:tblStylePr>
    <w:tblStylePr w:type="lastCol">
      <w:rPr>
        <w:b/>
        <w:bCs/>
        <w:color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CC8E60" w:themeFill="accent2"/>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CC8E60" w:themeFill="accent2"/>
      </w:tcPr>
    </w:tblStylePr>
    <w:tblStylePr w:type="lastCol">
      <w:rPr>
        <w:b/>
        <w:bCs/>
        <w:color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7A6A60" w:themeFill="accent3"/>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7A6A60" w:themeFill="accent3"/>
      </w:tcPr>
    </w:tblStylePr>
    <w:tblStylePr w:type="lastCol">
      <w:rPr>
        <w:b/>
        <w:bCs/>
        <w:color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B4936D" w:themeFill="accent4"/>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B4936D" w:themeFill="accent4"/>
      </w:tcPr>
    </w:tblStylePr>
    <w:tblStylePr w:type="lastCol">
      <w:rPr>
        <w:b/>
        <w:bCs/>
        <w:color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67787B" w:themeFill="accent5"/>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67787B" w:themeFill="accent5"/>
      </w:tcPr>
    </w:tblStylePr>
    <w:tblStylePr w:type="lastCol">
      <w:rPr>
        <w:b/>
        <w:bCs/>
        <w:color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9D936F" w:themeFill="accent6"/>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9D936F" w:themeFill="accent6"/>
      </w:tcPr>
    </w:tblStylePr>
    <w:tblStylePr w:type="lastCol">
      <w:rPr>
        <w:b/>
        <w:bCs/>
        <w:color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Table3Deffects1">
    <w:name w:val="Table 3D effects 1"/>
    <w:basedOn w:val="TableNormal"/>
    <w:uiPriority w:val="99"/>
    <w:semiHidden/>
    <w:unhideWhenUsed/>
    <w:pPr>
      <w:spacing w:line="300" w:lineRule="auto"/>
    </w:pPr>
    <w:rPr/>
    <w:tcPr>
      <w:shd w:val="solid" w:color="C0C0C0" w:fill="FFFFFF"/>
    </w:tcPr>
    <w:tblStylePr w:type="firstRow">
      <w:rPr>
        <w:b/>
        <w:bCs/>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pPr>
      <w:spacing w:line="300" w:lineRule="auto"/>
    </w:pPr>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pPr>
      <w:spacing w:line="300" w:lineRule="auto"/>
    </w:pPr>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tblPr/>
      <w:tcPr>
        <w:shd w:val="solid" w:color="C0C0C0" w:fill="FFFFFF"/>
      </w:tcPr>
    </w:tblStylePr>
    <w:tblStylePr w:type="band2Vert">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pPr>
      <w:spacing w:line="300" w:lineRule="auto"/>
    </w:pPr>
    <w:rPr/>
    <w:tblPr>
      <w:tblBorders>
        <w:top w:val="single" w:color="000000" w:sz="12" w:space="0"/>
        <w:bottom w:val="single" w:color="000000" w:sz="12" w:space="0"/>
      </w:tblBorders>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pPr>
      <w:spacing w:line="300" w:lineRule="auto"/>
    </w:pPr>
    <w:rPr/>
    <w:tblPr>
      <w:tblBorders>
        <w:top w:val="single" w:color="000000" w:sz="12" w:space="0"/>
        <w:bottom w:val="single" w:color="000000" w:sz="12" w:space="0"/>
      </w:tblBorders>
    </w:tblPr>
    <w:tcPr>
      <w:shd w:val="clear" w:color="auto" w:fill="auto"/>
    </w:tcPr>
    <w:tblStylePr w:type="firstRow">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pPr>
      <w:spacing w:line="300" w:lineRule="auto"/>
    </w:pPr>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rPr>
      <w:tblPr/>
      <w:tcPr>
        <w:tcBorders>
          <w:bottom w:val="single" w:color="000000" w:sz="6" w:space="0"/>
          <w:tl2br w:val="none" w:color="auto" w:sz="0" w:space="0"/>
          <w:tr2bl w:val="none" w:color="auto" w:sz="0" w:space="0"/>
        </w:tcBorders>
        <w:shd w:val="solid" w:color="000080" w:fill="FFFFFF"/>
      </w:tcPr>
    </w:tblStylePr>
    <w:tblStylePr w:type="lastRow">
      <w:rPr/>
      <w:tblPr/>
      <w:tcPr>
        <w:tcBorders>
          <w:top w:val="single" w:color="000000" w:sz="12" w:space="0"/>
          <w:tl2br w:val="none" w:color="auto" w:sz="0" w:space="0"/>
          <w:tr2bl w:val="none" w:color="auto" w:sz="0" w:space="0"/>
        </w:tcBorders>
        <w:shd w:val="solid" w:color="FFFFFF" w:fill="FFFFFF"/>
      </w:tcPr>
    </w:tblStylePr>
    <w:tblStylePr w:type="firstCol">
      <w:rPr>
        <w:b/>
        <w:bCs/>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pPr>
      <w:spacing w:line="300" w:lineRule="auto"/>
    </w:pPr>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rPr>
      <w:tblPr/>
      <w:tcPr>
        <w:tcBorders>
          <w:bottom w:val="single" w:color="000000" w:sz="6" w:space="0"/>
          <w:tl2br w:val="none" w:color="auto" w:sz="0" w:space="0"/>
          <w:tr2bl w:val="none" w:color="auto" w:sz="0" w:space="0"/>
        </w:tcBorders>
        <w:shd w:val="pct50" w:color="000080" w:fill="FFFFFF"/>
      </w:tcPr>
    </w:tblStylePr>
    <w:tblStylePr w:type="lastRow">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pPr>
      <w:spacing w:line="300" w:lineRule="auto"/>
    </w:pPr>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rPr>
      <w:tblPr/>
      <w:tcPr>
        <w:tcBorders>
          <w:tl2br w:val="none" w:color="auto" w:sz="0" w:space="0"/>
          <w:tr2bl w:val="none" w:color="auto" w:sz="0" w:space="0"/>
        </w:tcBorders>
        <w:shd w:val="solid" w:color="000000" w:fill="FFFFFF"/>
      </w:tcPr>
    </w:tblStylePr>
    <w:tblStylePr w:type="firstCol">
      <w:rPr>
        <w:b/>
        <w:bCs/>
        <w:i/>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pPr>
      <w:spacing w:line="300" w:lineRule="auto"/>
    </w:pPr>
    <w:rPr/>
    <w:tblPr>
      <w:tblBorders>
        <w:bottom w:val="single" w:color="000000" w:sz="12" w:space="0"/>
      </w:tblBorders>
    </w:tblPr>
    <w:tcPr>
      <w:shd w:val="pct20" w:color="FFFF00" w:fill="FFFFFF"/>
    </w:tcPr>
    <w:tblStylePr w:type="firstRow">
      <w:rPr>
        <w:b/>
        <w:bCs/>
        <w:i/>
      </w:rPr>
      <w:tblPr/>
      <w:tcPr>
        <w:tcBorders>
          <w:bottom w:val="single" w:color="000000" w:sz="12" w:space="0"/>
          <w:tl2br w:val="none" w:color="auto" w:sz="0" w:space="0"/>
          <w:tr2bl w:val="none" w:color="auto" w:sz="0" w:space="0"/>
        </w:tcBorders>
        <w:shd w:val="solid" w:color="800000" w:fill="FFFFFF"/>
      </w:tcPr>
    </w:tblStylePr>
    <w:tblStylePr w:type="firstCol">
      <w:rPr>
        <w:b/>
        <w:bCs/>
        <w:i/>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pPr>
      <w:spacing w:line="300" w:lineRule="auto"/>
    </w:pPr>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pPr>
      <w:spacing w:line="300" w:lineRule="auto"/>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tblPr/>
      <w:tcPr>
        <w:shd w:val="pct25" w:color="000000" w:fill="FFFFFF"/>
      </w:tcPr>
    </w:tblStylePr>
    <w:tblStylePr w:type="band2Vert">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pPr>
      <w:spacing w:line="300" w:lineRule="auto"/>
    </w:pPr>
    <w:rPr>
      <w:b/>
      <w:bCs/>
    </w:rPr>
    <w:tblPr>
      <w:tblStyleColBandSize w:val="1"/>
    </w:tblPr>
    <w:tblStylePr w:type="firstRow">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tblPr/>
      <w:tcPr>
        <w:shd w:val="pct30" w:color="000000" w:fill="FFFFFF"/>
      </w:tcPr>
    </w:tblStylePr>
    <w:tblStylePr w:type="band2Vert">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pPr>
      <w:spacing w:line="300" w:lineRule="auto"/>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tblPr/>
      <w:tcPr>
        <w:shd w:val="solid" w:color="C0C0C0" w:fill="FFFFFF"/>
      </w:tcPr>
    </w:tblStylePr>
    <w:tblStylePr w:type="band2Vert">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pPr>
      <w:spacing w:line="300" w:lineRule="auto"/>
    </w:pPr>
    <w:rPr/>
    <w:tblPr>
      <w:tblStyleColBandSize w:val="1"/>
    </w:tblPr>
    <w:tblStylePr w:type="firstRow">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tblPr/>
      <w:tcPr>
        <w:shd w:val="pct50" w:color="008080" w:fill="FFFFFF"/>
      </w:tcPr>
    </w:tblStylePr>
    <w:tblStylePr w:type="band2Vert">
      <w:rPr/>
      <w:tblPr/>
      <w:tcPr>
        <w:shd w:val="pct10" w:color="000000" w:fill="FFFFFF"/>
      </w:tcPr>
    </w:tblStylePr>
  </w:style>
  <w:style w:type="table" w:styleId="TableColumns5">
    <w:name w:val="Table Columns 5"/>
    <w:basedOn w:val="TableNormal"/>
    <w:uiPriority w:val="99"/>
    <w:semiHidden/>
    <w:unhideWhenUsed/>
    <w:pPr>
      <w:spacing w:line="300" w:lineRule="auto"/>
    </w:pPr>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tblPr/>
      <w:tcPr>
        <w:shd w:val="solid" w:color="C0C0C0" w:fill="FFFFFF"/>
      </w:tcPr>
    </w:tblStylePr>
    <w:tblStylePr w:type="band2Vert">
      <w:rPr/>
      <w:tblPr/>
    </w:tblStylePr>
  </w:style>
  <w:style w:type="table" w:styleId="TableContemporary">
    <w:name w:val="Table Contemporary"/>
    <w:basedOn w:val="TableNormal"/>
    <w:uiPriority w:val="99"/>
    <w:semiHidden/>
    <w:unhideWhenUsed/>
    <w:pPr>
      <w:spacing w:line="300" w:lineRule="auto"/>
    </w:pPr>
    <w:tblPr>
      <w:tblStyleRowBandSize w:val="1"/>
      <w:tblBorders>
        <w:insideH w:val="single" w:color="FFFFFF" w:sz="18" w:space="0"/>
        <w:insideV w:val="single" w:color="FFFFFF" w:sz="18" w:space="0"/>
      </w:tblBorders>
    </w:tblPr>
    <w:tblStylePr w:type="firstRow">
      <w:rPr>
        <w:b/>
        <w:bCs/>
      </w:rPr>
      <w:tblPr/>
      <w:tcPr>
        <w:tcBorders>
          <w:tl2br w:val="none" w:color="auto" w:sz="0" w:space="0"/>
          <w:tr2bl w:val="none" w:color="auto" w:sz="0" w:space="0"/>
        </w:tcBorders>
        <w:shd w:val="pct20" w:color="000000" w:fill="FFFFFF"/>
      </w:tcPr>
    </w:tblStylePr>
    <w:tblStylePr w:type="band1Horz">
      <w:rPr/>
      <w:tblPr/>
      <w:tcPr>
        <w:tcBorders>
          <w:tl2br w:val="none" w:color="auto" w:sz="0" w:space="0"/>
          <w:tr2bl w:val="none" w:color="auto" w:sz="0" w:space="0"/>
        </w:tcBorders>
        <w:shd w:val="pct5" w:color="000000" w:fill="FFFFFF"/>
      </w:tcPr>
    </w:tblStylePr>
    <w:tblStylePr w:type="band2Horz">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pPr>
      <w:spacing w:line="300" w:lineRule="auto"/>
    </w:pPr>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rPr>
      <w:tblPr/>
      <w:tcPr>
        <w:tcBorders>
          <w:tl2br w:val="none" w:color="auto" w:sz="0" w:space="0"/>
          <w:tr2bl w:val="none" w:color="auto" w:sz="0" w:space="0"/>
        </w:tcBorders>
      </w:tcPr>
    </w:tblStylePr>
  </w:style>
  <w:style w:type="table" w:styleId="TableGrid1">
    <w:name w:val="Table Grid 1"/>
    <w:basedOn w:val="TableNormal"/>
    <w:uiPriority w:val="99"/>
    <w:semiHidden/>
    <w:unhideWhenUsed/>
    <w:pPr>
      <w:spacing w:line="300" w:lineRule="auto"/>
    </w:pPr>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styleId="TableGrid2">
    <w:name w:val="Table Grid 2"/>
    <w:basedOn w:val="TableNormal"/>
    <w:uiPriority w:val="99"/>
    <w:semiHidden/>
    <w:unhideWhenUsed/>
    <w:pPr>
      <w:spacing w:line="300" w:lineRule="auto"/>
    </w:pPr>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pPr>
      <w:spacing w:line="300" w:lineRule="auto"/>
    </w:pPr>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pPr>
      <w:spacing w:line="300" w:lineRule="auto"/>
    </w:pPr>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op w:val="single" w:color="000000" w:sz="6" w:space="0"/>
          <w:tl2br w:val="none" w:color="auto" w:sz="0" w:space="0"/>
          <w:tr2bl w:val="none" w:color="auto" w:sz="0" w:space="0"/>
        </w:tcBorders>
        <w:shd w:val="pct30" w:color="FFFF00" w:fill="FFFFFF"/>
      </w:tcPr>
    </w:tblStylePr>
    <w:tblStylePr w:type="lastCol">
      <w:rPr>
        <w:b/>
        <w:bCs/>
      </w:rPr>
      <w:tblPr/>
      <w:tcPr>
        <w:tcBorders>
          <w:tl2br w:val="none" w:color="auto" w:sz="0" w:space="0"/>
          <w:tr2bl w:val="none" w:color="auto" w:sz="0" w:space="0"/>
        </w:tcBorders>
      </w:tcPr>
    </w:tblStylePr>
  </w:style>
  <w:style w:type="table" w:styleId="TableGrid5">
    <w:name w:val="Table Grid 5"/>
    <w:basedOn w:val="TableNormal"/>
    <w:uiPriority w:val="99"/>
    <w:semiHidden/>
    <w:unhideWhenUsed/>
    <w:pPr>
      <w:spacing w:line="300" w:lineRule="auto"/>
    </w:pPr>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pPr>
      <w:spacing w:line="300" w:lineRule="auto"/>
    </w:pPr>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pPr>
      <w:spacing w:line="300" w:lineRule="auto"/>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pPr>
      <w:spacing w:line="300" w:lineRule="auto"/>
    </w:pPr>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rPr>
      <w:tblPr/>
      <w:tcPr>
        <w:tcBorders>
          <w:tl2br w:val="none" w:color="auto" w:sz="0" w:space="0"/>
          <w:tr2bl w:val="none" w:color="auto" w:sz="0" w:space="0"/>
        </w:tcBorders>
        <w:shd w:val="solid" w:color="00008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List1">
    <w:name w:val="Table List 1"/>
    <w:basedOn w:val="TableNormal"/>
    <w:uiPriority w:val="99"/>
    <w:semiHidden/>
    <w:unhideWhenUsed/>
    <w:pPr>
      <w:spacing w:line="300" w:lineRule="auto"/>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tblPr/>
      <w:tcPr>
        <w:tcBorders>
          <w:tl2br w:val="none" w:color="auto" w:sz="0" w:space="0"/>
          <w:tr2bl w:val="none" w:color="auto" w:sz="0" w:space="0"/>
        </w:tcBorders>
        <w:shd w:val="solid" w:color="C0C0C0" w:fill="FFFFFF"/>
      </w:tcPr>
    </w:tblStylePr>
    <w:tblStylePr w:type="band2Horz">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pPr>
      <w:spacing w:line="300" w:lineRule="auto"/>
    </w:pPr>
    <w:tblPr>
      <w:tblStyleRowBandSize w:val="2"/>
      <w:tblBorders>
        <w:bottom w:val="single" w:color="808080" w:sz="12" w:space="0"/>
      </w:tblBorders>
    </w:tblPr>
    <w:tblStylePr w:type="firstRow">
      <w:rPr>
        <w:b/>
        <w:bCs/>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tblPr/>
      <w:tcPr>
        <w:tcBorders>
          <w:tl2br w:val="none" w:color="auto" w:sz="0" w:space="0"/>
          <w:tr2bl w:val="none" w:color="auto" w:sz="0" w:space="0"/>
        </w:tcBorders>
        <w:shd w:val="pct20" w:color="00FF00" w:fill="FFFFFF"/>
      </w:tcPr>
    </w:tblStylePr>
    <w:tblStylePr w:type="band2Horz">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pPr>
      <w:spacing w:line="300" w:lineRule="auto"/>
    </w:pPr>
    <w:rPr/>
    <w:tblPr>
      <w:tblBorders>
        <w:top w:val="single" w:color="000000" w:sz="12" w:space="0"/>
        <w:bottom w:val="single" w:color="000000" w:sz="12"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rPr>
      <w:tblPr/>
      <w:tcPr>
        <w:tcBorders>
          <w:tl2br w:val="none" w:color="auto" w:sz="0" w:space="0"/>
          <w:tr2bl w:val="none" w:color="auto" w:sz="0" w:space="0"/>
        </w:tcBorders>
      </w:tcPr>
    </w:tblStylePr>
  </w:style>
  <w:style w:type="table" w:styleId="TableList4">
    <w:name w:val="Table List 4"/>
    <w:basedOn w:val="TableNormal"/>
    <w:uiPriority w:val="99"/>
    <w:semiHidden/>
    <w:unhideWhenUsed/>
    <w:pPr>
      <w:spacing w:line="300" w:lineRule="auto"/>
    </w:pPr>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pPr>
      <w:spacing w:line="300" w:lineRule="auto"/>
    </w:pPr>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pPr>
      <w:spacing w:line="300" w:lineRule="auto"/>
    </w:pPr>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uiPriority w:val="99"/>
    <w:semiHidden/>
    <w:unhideWhenUsed/>
    <w:pPr>
      <w:spacing w:line="300" w:lineRule="auto"/>
    </w:pPr>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pPr>
      <w:spacing w:line="300" w:lineRule="auto"/>
    </w:pPr>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pPr>
      <w:spacing w:line="300" w:lineRule="auto"/>
    </w:pPr>
    <w:tblStylePr w:type="firstRow">
      <w:rPr>
        <w:b/>
        <w:bCs/>
      </w:rPr>
      <w:tblPr/>
      <w:tcPr>
        <w:tcBorders>
          <w:bottom w:val="single" w:color="000000" w:sz="12" w:space="0"/>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pPr>
      <w:spacing w:line="300" w:lineRule="auto"/>
    </w:pPr>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pPr>
      <w:spacing w:line="300" w:lineRule="auto"/>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pPr>
      <w:spacing w:line="30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pPr>
      <w:spacing w:line="300" w:lineRule="auto"/>
    </w:pPr>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cPr>
      <w:shd w:val="clear" w:color="auto" w:fill="auto"/>
    </w:tcPr>
    <w:tblStylePr w:type="firstRow">
      <w:rPr/>
      <w:tblPr/>
      <w:tcPr>
        <w:tcBorders>
          <w:tl2br w:val="none" w:color="auto" w:sz="0" w:space="0"/>
          <w:tr2bl w:val="none" w:color="auto" w:sz="0" w:space="0"/>
        </w:tcBorders>
      </w:tcPr>
    </w:tblStylePr>
  </w:style>
  <w:style w:type="table" w:styleId="TableWeb2">
    <w:name w:val="Table Web 2"/>
    <w:basedOn w:val="TableNormal"/>
    <w:uiPriority w:val="99"/>
    <w:semiHidden/>
    <w:unhideWhenUsed/>
    <w:pPr>
      <w:spacing w:line="300" w:lineRule="auto"/>
    </w:pPr>
    <w:r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cPr>
      <w:shd w:val="clear" w:color="auto" w:fill="auto"/>
    </w:tcPr>
    <w:tblStylePr w:type="firstRow">
      <w:rPr/>
      <w:tblPr/>
      <w:tcPr>
        <w:tcBorders>
          <w:tl2br w:val="none" w:color="auto" w:sz="0" w:space="0"/>
          <w:tr2bl w:val="none" w:color="auto" w:sz="0" w:space="0"/>
        </w:tcBorders>
      </w:tcPr>
    </w:tblStylePr>
  </w:style>
  <w:style w:type="table" w:styleId="TableWeb3">
    <w:name w:val="Table Web 3"/>
    <w:basedOn w:val="TableNormal"/>
    <w:uiPriority w:val="99"/>
    <w:semiHidden/>
    <w:unhideWhenUsed/>
    <w:pPr>
      <w:spacing w:line="300" w:lineRule="auto"/>
    </w:pPr>
    <w:rPr/>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cPr>
      <w:shd w:val="clear" w:color="auto" w:fill="auto"/>
    </w:tcPr>
    <w:tblStylePr w:type="firstRow">
      <w:rPr/>
      <w:tblPr/>
      <w:tcPr>
        <w:tcBorders>
          <w:tl2br w:val="none" w:color="auto" w:sz="0" w:space="0"/>
          <w:tr2bl w:val="none" w:color="auto" w:sz="0" w:space="0"/>
        </w:tcBorders>
      </w:tcPr>
    </w:tblStylePr>
  </w:style>
  <w:style w:type="table" w:customStyle="1" w:styleId="FinancialTable">
    <w:name w:val="Financial Table"/>
    <w:basedOn w:val="TableNormal"/>
    <w:uiPriority w:val="99"/>
    <w:pPr>
      <w:ind w:right="144"/>
      <w:spacing w:after="0" w:line="240" w:lineRule="auto"/>
    </w:pPr>
    <w:tblPr>
      <w:tblBorders>
        <w:insideH w:val="single" w:color="D9D9D9" w:themeColor="background1" w:sz="4" w:space="0"/>
      </w:tblBorders>
      <w:tblCellMar>
        <w:left w:w="0" w:type="dxa"/>
        <w:right w:w="0" w:type="dxa"/>
      </w:tblCellMar>
    </w:tblPr>
    <w:tblStylePr w:type="firstRow">
      <w:rPr>
        <w:rFonts w:asciiTheme="majorHAnsi" w:hAnsiTheme="majorHAnsi"/>
        <w:b w:val="0"/>
        <w:caps/>
        <w:smallCaps w:val="0"/>
        <w:color w:themeColor="accent1"/>
        <w:sz w:val="22"/>
      </w:rPr>
      <w:tblPr/>
    </w:tblStylePr>
    <w:tblStylePr w:type="firstCol">
      <w:rPr>
        <w:b/>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image" Target="media/image4.png"/><Relationship Id="rId9" Type="http://schemas.openxmlformats.org/officeDocument/2006/relationships/oleObject" Target="embeddings/oleObject4.bin"/><Relationship Id="rId10" Type="http://schemas.openxmlformats.org/officeDocument/2006/relationships/image" Target="media/image5.wmf"/><Relationship Id="rId11" Type="http://schemas.openxmlformats.org/officeDocument/2006/relationships/oleObject" Target="embeddings/oleObject5.bin"/><Relationship Id="rId12" Type="http://schemas.openxmlformats.org/officeDocument/2006/relationships/image" Target="media/image6.wmf"/><Relationship Id="rId13" Type="http://schemas.openxmlformats.org/officeDocument/2006/relationships/oleObject" Target="embeddings/oleObject6.bin"/><Relationship Id="rId14" Type="http://schemas.openxmlformats.org/officeDocument/2006/relationships/image" Target="media/image7.wm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oleObject" Target="embeddings/oleObject7.bin"/><Relationship Id="rId18" Type="http://schemas.openxmlformats.org/officeDocument/2006/relationships/image" Target="media/image8.wmf"/><Relationship Id="rId19" Type="http://schemas.openxmlformats.org/officeDocument/2006/relationships/image" Target="media/image9.png"/><Relationship Id="rId20" Type="http://schemas.openxmlformats.org/officeDocument/2006/relationships/image" Target="media/image9.png"/><Relationship Id="rId21" Type="http://schemas.openxmlformats.org/officeDocument/2006/relationships/oleObject" Target="embeddings/oleObject8.bin"/><Relationship Id="rId22" Type="http://schemas.openxmlformats.org/officeDocument/2006/relationships/image" Target="media/image10.wmf"/><Relationship Id="rId23" Type="http://schemas.openxmlformats.org/officeDocument/2006/relationships/oleObject" Target="embeddings/oleObject9.bin"/><Relationship Id="rId24" Type="http://schemas.openxmlformats.org/officeDocument/2006/relationships/image" Target="media/image11.wmf"/><Relationship Id="rId25" Type="http://schemas.openxmlformats.org/officeDocument/2006/relationships/oleObject" Target="embeddings/oleObject10.bin"/><Relationship Id="rId26" Type="http://schemas.openxmlformats.org/officeDocument/2006/relationships/image" Target="media/image12.wmf"/><Relationship Id="rId27" Type="http://schemas.openxmlformats.org/officeDocument/2006/relationships/hyperlink" Target="https://e-seimas.lrs.lt/rs/legalact/TAD/7b5b0592ca8411ed9b3c9397e1236c2a/" TargetMode="External"/><Relationship Id="rId28" Type="http://schemas.openxmlformats.org/officeDocument/2006/relationships/hyperlink" Target="https://e-seimas.lrs.lt/portal/legalAct/lt/ TAD/b574b900481b11e4ba2fc5e712e90cd4/asr" TargetMode="External"/><Relationship Id="rId29" Type="http://schemas.openxmlformats.org/officeDocument/2006/relationships/hyperlink" Target="https://www.hi.lt/uploads/Sveikatos stiprinimo centras/ SKL ataskaitos/ SSP_SKL_CD_2023_duomenu _suvestine_pagal_savivaldybes.pdf" TargetMode="External"/><Relationship Id="rId30" Type="http://schemas.openxmlformats.org/officeDocument/2006/relationships/hyperlink" Target="https://e-seimas.lrs.lt/portal/legalAct/lt/TAD/ a1d90172017c11eebc0bd16e3a4d3b97" TargetMode="External"/><Relationship Id="rId31" Type="http://schemas.openxmlformats.org/officeDocument/2006/relationships/hyperlink" Target="https://e-seimas.lrs.lt/portal/legalAct/lt/ TAD/65d00fa18d3911edb55e9d42c1579bdf" TargetMode="External"/><Relationship Id="rId32" Type="http://schemas.openxmlformats.org/officeDocument/2006/relationships/hyperlink" Target="https://e-seimas.lrs.lt/portal/legalAct/lt/TAD/ 979a1521d57c11ea8f4ce1816a470b26?jfwid=-yj5zr00nx" TargetMode="External"/><Relationship Id="rId33" Type="http://schemas.openxmlformats.org/officeDocument/2006/relationships/hyperlink" Target="https://e-seimas.lrs.lt/portal/legalAct/lt/ TAD/0285e6606cde11e99684a7f33a9827ac/asr" TargetMode="External"/><Relationship Id="rId34" Type="http://schemas.openxmlformats.org/officeDocument/2006/relationships/hyperlink" Target="https://e-seimas.lrs.lt/portal/legalAct/lt/TAD/f422f501129911ebbedbd456d2fb030d" TargetMode="External"/><Relationship Id="rId35" Type="http://schemas.openxmlformats.org/officeDocument/2006/relationships/hyperlink" Target="https://e-seimas.lrs.lt/portal/legalAct/lt/ TAD/25689912b18611ee8172b53a675305ab" TargetMode="External"/><Relationship Id="rId36" Type="http://schemas.openxmlformats.org/officeDocument/2006/relationships/hyperlink" Target="https://www.hi.lt/uploads/Products/product_389/ Saviudybi_prevencijos_koordinavimo_savivaldybse _TA_gairs_(2024)_.pdf" TargetMode="External"/><Relationship Id="rId37" Type="http://schemas.openxmlformats.org/officeDocument/2006/relationships/image" Target="media/image13.png"/><Relationship Id="rId38" Type="http://schemas.openxmlformats.org/officeDocument/2006/relationships/header" Target="header2.xml"/><Relationship Id="rId39" Type="http://schemas.openxmlformats.org/officeDocument/2006/relationships/header" Target="header3.xml"/><Relationship Id="rId40" Type="http://schemas.openxmlformats.org/officeDocument/2006/relationships/footer" Target="footer2.xml"/><Relationship Id="rId41" Type="http://schemas.openxmlformats.org/officeDocument/2006/relationships/footer" Target="footer3.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Relationship Id="rId46" Type="http://schemas.openxmlformats.org/officeDocument/2006/relationships/customXml" Target="../customXml/item1.xml"/><Relationship Id="rId47" Type="http://schemas.openxmlformats.org/officeDocument/2006/relationships/customXml" Target="../customXml/item2.xml"/><Relationship Id="rId48" Type="http://schemas.openxmlformats.org/officeDocument/2006/relationships/customXml" Target="../customXml/item3.xml"/><Relationship Id="rId49" Type="http://schemas.openxmlformats.org/officeDocument/2006/relationships/customXml" Target="../customXml/item4.xml"/>
</Relationships>
</file>

<file path=word/theme/theme1.xml><?xml version="1.0" encoding="utf-8"?>
<a:theme xmlns:a="http://schemas.openxmlformats.org/drawingml/2006/main" xmlns:r="http://schemas.openxmlformats.org/officeDocument/2006/relationships"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2024-09-30T00:00:00</PublishDate>
  <Abstract/>
  <CompanyAddress/>
  <CompanyPhone/>
  <CompanyFax/>
  <CompanyEmail/>
</CoverPageProperties>
</file>

<file path=customXml/item3.xml><?xml version="1.0" encoding="utf-8"?>
<FormTemplates xmlns="http://schemas.microsoft.com/sharepoint/v3/contenttype/forms">
  <Display>DocumentLibraryForm</Display>
  <Edit>AssetEditForm</Edit>
  <New>DocumentLibraryForm</New>
</FormTemplate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B27CB7C1-C068-4A8D-B0C4-E8FAD4EDD0A4}">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3.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TimelessReport</Template>
  <TotalTime>1</TotalTime>
  <Application>LibreOffice/7.6.4.1$Windows_X86_64 LibreOffice_project/e19e193f88cd6c0525a17fb7a176ed8e6a3e2aa1</Application>
  <AppVersion>15.0000</AppVersion>
  <Pages>88</Pages>
  <Words>13560</Words>
  <Characters>97997</Characters>
  <CharactersWithSpaces>109614</CharactersWithSpaces>
  <Paragraphs>1708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2025-03-18T08:26:00Z</dcterms:created>
  <dc:creator>astau</dc:creator>
  <dc:description/>
  <dc:language>en-US</dc:language>
  <cp:lastModifiedBy/>
  <cp:lastPrinted>2011-08-05T20:35:00Z</cp:lastPrinted>
  <dcterms:modified xsi:type="dcterms:W3CDTF">2025-03-18T10:37:01Z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