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7" w:type="dxa"/>
          <w:right w:w="107" w:type="dxa"/>
        </w:tblCellMar>
        <w:tblLook w:val="0000" w:firstRow="0" w:lastRow="0" w:firstColumn="0" w:lastColumn="0" w:noHBand="0" w:noVBand="0"/>
      </w:tblPr>
      <w:tblGrid>
        <w:gridCol w:w="4516"/>
        <w:gridCol w:w="1093"/>
        <w:gridCol w:w="8961"/>
      </w:tblGrid>
      <w:tr w:rsidR="00EA116B" w14:paraId="613B5FDE" w14:textId="77777777" w:rsidTr="00502610">
        <w:tc>
          <w:tcPr>
            <w:tcW w:w="1550" w:type="pct"/>
          </w:tcPr>
          <w:p w14:paraId="613B5FDB" w14:textId="77777777" w:rsidR="00EA116B" w:rsidRDefault="00EA116B">
            <w:pPr>
              <w:tabs>
                <w:tab w:val="left" w:pos="5387"/>
              </w:tabs>
              <w:jc w:val="center"/>
              <w:rPr>
                <w:sz w:val="22"/>
                <w:szCs w:val="22"/>
                <w:lang w:val="lt-LT"/>
              </w:rPr>
            </w:pPr>
          </w:p>
        </w:tc>
        <w:tc>
          <w:tcPr>
            <w:tcW w:w="375" w:type="pct"/>
          </w:tcPr>
          <w:p w14:paraId="613B5FDC" w14:textId="77777777" w:rsidR="00EA116B" w:rsidRDefault="00EA116B">
            <w:pPr>
              <w:tabs>
                <w:tab w:val="left" w:pos="5387"/>
              </w:tabs>
              <w:rPr>
                <w:sz w:val="22"/>
                <w:szCs w:val="22"/>
                <w:lang w:val="lt-LT"/>
              </w:rPr>
            </w:pPr>
          </w:p>
        </w:tc>
        <w:tc>
          <w:tcPr>
            <w:tcW w:w="3075" w:type="pct"/>
          </w:tcPr>
          <w:p w14:paraId="613B5FDD" w14:textId="77777777" w:rsidR="00EA116B" w:rsidRDefault="00EA116B" w:rsidP="0008192E">
            <w:pPr>
              <w:rPr>
                <w:sz w:val="22"/>
                <w:szCs w:val="22"/>
                <w:u w:val="single"/>
                <w:lang w:val="lt-LT"/>
              </w:rPr>
            </w:pPr>
          </w:p>
        </w:tc>
      </w:tr>
      <w:tr w:rsidR="00EA116B" w14:paraId="613B5FE2" w14:textId="77777777" w:rsidTr="00502610">
        <w:tc>
          <w:tcPr>
            <w:tcW w:w="1550" w:type="pct"/>
          </w:tcPr>
          <w:p w14:paraId="613B5FDF" w14:textId="77777777" w:rsidR="00EA116B" w:rsidRDefault="00EA116B">
            <w:pPr>
              <w:tabs>
                <w:tab w:val="left" w:pos="5387"/>
              </w:tabs>
              <w:jc w:val="center"/>
              <w:rPr>
                <w:sz w:val="22"/>
                <w:szCs w:val="22"/>
                <w:lang w:val="lt-LT"/>
              </w:rPr>
            </w:pPr>
          </w:p>
        </w:tc>
        <w:tc>
          <w:tcPr>
            <w:tcW w:w="375" w:type="pct"/>
          </w:tcPr>
          <w:p w14:paraId="613B5FE0" w14:textId="77777777" w:rsidR="00EA116B" w:rsidRDefault="00EA116B">
            <w:pPr>
              <w:tabs>
                <w:tab w:val="left" w:pos="5387"/>
              </w:tabs>
              <w:rPr>
                <w:sz w:val="22"/>
                <w:szCs w:val="22"/>
                <w:lang w:val="lt-LT"/>
              </w:rPr>
            </w:pPr>
          </w:p>
        </w:tc>
        <w:tc>
          <w:tcPr>
            <w:tcW w:w="3075" w:type="pct"/>
          </w:tcPr>
          <w:p w14:paraId="613B5FE1" w14:textId="79433C04" w:rsidR="00EA116B" w:rsidRDefault="00282DA4" w:rsidP="00CB5DAC">
            <w:pPr>
              <w:ind w:left="5211" w:hanging="26"/>
              <w:jc w:val="center"/>
              <w:rPr>
                <w:sz w:val="22"/>
                <w:szCs w:val="22"/>
                <w:lang w:val="lt-LT"/>
              </w:rPr>
            </w:pPr>
            <w:r>
              <w:rPr>
                <w:sz w:val="22"/>
                <w:szCs w:val="22"/>
                <w:lang w:val="lt-LT"/>
              </w:rPr>
              <w:t xml:space="preserve">                                              </w:t>
            </w:r>
          </w:p>
        </w:tc>
      </w:tr>
    </w:tbl>
    <w:p w14:paraId="613B5FEF" w14:textId="77777777" w:rsidR="00B65E97" w:rsidRPr="00A702D7" w:rsidRDefault="00B65E97" w:rsidP="00B65E97">
      <w:pPr>
        <w:jc w:val="center"/>
        <w:rPr>
          <w:b/>
          <w:lang w:val="lt-LT"/>
        </w:rPr>
      </w:pPr>
      <w:r w:rsidRPr="00A702D7">
        <w:rPr>
          <w:b/>
          <w:lang w:val="lt-LT"/>
        </w:rPr>
        <w:t xml:space="preserve"> NEPERTRAUKIAMO</w:t>
      </w:r>
      <w:r w:rsidR="004B5D37">
        <w:rPr>
          <w:b/>
          <w:lang w:val="lt-LT"/>
        </w:rPr>
        <w:t xml:space="preserve"> MAITINIMO ŠALTINIO</w:t>
      </w:r>
      <w:r w:rsidR="00B62B0B">
        <w:rPr>
          <w:b/>
          <w:lang w:val="lt-LT"/>
        </w:rPr>
        <w:t xml:space="preserve"> </w:t>
      </w:r>
      <w:r w:rsidRPr="00A702D7">
        <w:rPr>
          <w:b/>
          <w:lang w:val="lt-LT"/>
        </w:rPr>
        <w:t xml:space="preserve"> </w:t>
      </w:r>
      <w:bookmarkStart w:id="0" w:name="_GoBack"/>
      <w:bookmarkEnd w:id="0"/>
    </w:p>
    <w:p w14:paraId="613B5FF0" w14:textId="77777777" w:rsidR="00EA116B" w:rsidRPr="00B65E97" w:rsidRDefault="00B65E97" w:rsidP="00B65E97">
      <w:pPr>
        <w:pStyle w:val="Heading2"/>
      </w:pPr>
      <w:r>
        <w:t>TECHNINĖ SPECIFIKACIJA</w:t>
      </w:r>
    </w:p>
    <w:tbl>
      <w:tblPr>
        <w:tblW w:w="14175"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0915"/>
        <w:gridCol w:w="992"/>
        <w:gridCol w:w="1417"/>
      </w:tblGrid>
      <w:tr w:rsidR="001D4BC4" w14:paraId="613B5FF6" w14:textId="77777777" w:rsidTr="00F91AFB">
        <w:trPr>
          <w:tblHeader/>
        </w:trPr>
        <w:tc>
          <w:tcPr>
            <w:tcW w:w="851" w:type="dxa"/>
            <w:tcMar>
              <w:left w:w="57" w:type="dxa"/>
              <w:right w:w="57" w:type="dxa"/>
            </w:tcMar>
            <w:vAlign w:val="center"/>
          </w:tcPr>
          <w:p w14:paraId="613B5FF1" w14:textId="77777777" w:rsidR="001D4BC4" w:rsidRDefault="001D4BC4">
            <w:pPr>
              <w:jc w:val="center"/>
              <w:rPr>
                <w:b/>
                <w:sz w:val="22"/>
                <w:szCs w:val="22"/>
                <w:lang w:val="lt-LT"/>
              </w:rPr>
            </w:pPr>
            <w:r>
              <w:rPr>
                <w:b/>
                <w:sz w:val="22"/>
                <w:szCs w:val="22"/>
                <w:lang w:val="lt-LT"/>
              </w:rPr>
              <w:t>Eil. Nr.</w:t>
            </w:r>
          </w:p>
        </w:tc>
        <w:tc>
          <w:tcPr>
            <w:tcW w:w="10915" w:type="dxa"/>
            <w:tcMar>
              <w:left w:w="57" w:type="dxa"/>
              <w:right w:w="57" w:type="dxa"/>
            </w:tcMar>
            <w:vAlign w:val="center"/>
          </w:tcPr>
          <w:p w14:paraId="613B5FF2" w14:textId="77777777" w:rsidR="001D4BC4" w:rsidRDefault="001D4BC4">
            <w:pPr>
              <w:jc w:val="center"/>
              <w:rPr>
                <w:b/>
                <w:sz w:val="22"/>
                <w:szCs w:val="22"/>
                <w:lang w:val="lt-LT"/>
              </w:rPr>
            </w:pPr>
            <w:r>
              <w:rPr>
                <w:b/>
                <w:sz w:val="22"/>
                <w:szCs w:val="22"/>
                <w:lang w:val="lt-LT"/>
              </w:rPr>
              <w:t>Prekės pavadinimas ir charakteristika</w:t>
            </w:r>
          </w:p>
        </w:tc>
        <w:tc>
          <w:tcPr>
            <w:tcW w:w="992" w:type="dxa"/>
            <w:tcMar>
              <w:left w:w="57" w:type="dxa"/>
              <w:right w:w="57" w:type="dxa"/>
            </w:tcMar>
            <w:vAlign w:val="center"/>
          </w:tcPr>
          <w:p w14:paraId="613B5FF3" w14:textId="77777777" w:rsidR="001D4BC4" w:rsidRDefault="001D4BC4">
            <w:pPr>
              <w:jc w:val="center"/>
              <w:rPr>
                <w:b/>
                <w:sz w:val="22"/>
                <w:szCs w:val="22"/>
                <w:lang w:val="lt-LT"/>
              </w:rPr>
            </w:pPr>
            <w:r>
              <w:rPr>
                <w:b/>
                <w:sz w:val="22"/>
                <w:szCs w:val="22"/>
                <w:lang w:val="lt-LT"/>
              </w:rPr>
              <w:t>Mato vienetas</w:t>
            </w:r>
          </w:p>
        </w:tc>
        <w:tc>
          <w:tcPr>
            <w:tcW w:w="1417" w:type="dxa"/>
            <w:tcMar>
              <w:left w:w="57" w:type="dxa"/>
              <w:right w:w="57" w:type="dxa"/>
            </w:tcMar>
            <w:vAlign w:val="center"/>
          </w:tcPr>
          <w:p w14:paraId="613B5FF4" w14:textId="77777777" w:rsidR="001D4BC4" w:rsidRDefault="001D4BC4">
            <w:pPr>
              <w:jc w:val="center"/>
              <w:rPr>
                <w:b/>
                <w:sz w:val="22"/>
                <w:szCs w:val="22"/>
                <w:lang w:val="lt-LT"/>
              </w:rPr>
            </w:pPr>
            <w:r>
              <w:rPr>
                <w:b/>
                <w:sz w:val="22"/>
                <w:szCs w:val="22"/>
                <w:lang w:val="lt-LT"/>
              </w:rPr>
              <w:t>Reikalingas</w:t>
            </w:r>
          </w:p>
          <w:p w14:paraId="613B5FF5" w14:textId="77777777" w:rsidR="001D4BC4" w:rsidRDefault="001D4BC4">
            <w:pPr>
              <w:jc w:val="center"/>
              <w:rPr>
                <w:b/>
                <w:sz w:val="22"/>
                <w:szCs w:val="22"/>
                <w:lang w:val="lt-LT"/>
              </w:rPr>
            </w:pPr>
            <w:r>
              <w:rPr>
                <w:b/>
                <w:sz w:val="22"/>
                <w:szCs w:val="22"/>
                <w:lang w:val="lt-LT"/>
              </w:rPr>
              <w:t>kiekis</w:t>
            </w:r>
          </w:p>
        </w:tc>
      </w:tr>
      <w:tr w:rsidR="001D4BC4" w14:paraId="613B6011" w14:textId="77777777" w:rsidTr="00F91AFB">
        <w:tc>
          <w:tcPr>
            <w:tcW w:w="851" w:type="dxa"/>
            <w:tcMar>
              <w:left w:w="57" w:type="dxa"/>
              <w:right w:w="57" w:type="dxa"/>
            </w:tcMar>
            <w:vAlign w:val="center"/>
          </w:tcPr>
          <w:p w14:paraId="613B5FF7" w14:textId="77777777" w:rsidR="001D4BC4" w:rsidRDefault="001D4BC4" w:rsidP="0010478B">
            <w:pPr>
              <w:ind w:left="57"/>
              <w:jc w:val="center"/>
              <w:rPr>
                <w:color w:val="000000"/>
                <w:sz w:val="22"/>
                <w:szCs w:val="22"/>
                <w:lang w:val="lt-LT"/>
              </w:rPr>
            </w:pPr>
            <w:r>
              <w:rPr>
                <w:color w:val="000000"/>
                <w:sz w:val="22"/>
                <w:szCs w:val="22"/>
                <w:lang w:val="lt-LT"/>
              </w:rPr>
              <w:t>1.</w:t>
            </w:r>
          </w:p>
        </w:tc>
        <w:tc>
          <w:tcPr>
            <w:tcW w:w="10915" w:type="dxa"/>
            <w:tcMar>
              <w:left w:w="57" w:type="dxa"/>
              <w:right w:w="57" w:type="dxa"/>
            </w:tcMar>
          </w:tcPr>
          <w:p w14:paraId="613B5FF8" w14:textId="77777777" w:rsidR="008F3B17" w:rsidRPr="00884E52" w:rsidRDefault="00B62B0B" w:rsidP="00B77898">
            <w:pPr>
              <w:widowControl w:val="0"/>
              <w:shd w:val="clear" w:color="auto" w:fill="FFFFFF"/>
              <w:jc w:val="both"/>
              <w:rPr>
                <w:b/>
                <w:color w:val="000000"/>
                <w:spacing w:val="-4"/>
                <w:sz w:val="22"/>
                <w:szCs w:val="22"/>
                <w:lang w:val="lt-LT"/>
              </w:rPr>
            </w:pPr>
            <w:r w:rsidRPr="00884E52">
              <w:rPr>
                <w:b/>
                <w:color w:val="000000"/>
                <w:spacing w:val="-4"/>
                <w:sz w:val="22"/>
                <w:szCs w:val="22"/>
                <w:lang w:val="lt-LT"/>
              </w:rPr>
              <w:t>Nepertraukiamo el. energijos tiekimo šaltinis (UPS)</w:t>
            </w:r>
          </w:p>
          <w:p w14:paraId="613B5FF9" w14:textId="77777777" w:rsidR="00F51793" w:rsidRPr="00884E52" w:rsidRDefault="008D1D50" w:rsidP="00B77898">
            <w:pPr>
              <w:widowControl w:val="0"/>
              <w:shd w:val="clear" w:color="auto" w:fill="FFFFFF"/>
              <w:jc w:val="both"/>
              <w:rPr>
                <w:color w:val="000000"/>
                <w:spacing w:val="-4"/>
                <w:sz w:val="22"/>
                <w:szCs w:val="22"/>
                <w:lang w:val="lt-LT"/>
              </w:rPr>
            </w:pPr>
            <w:r w:rsidRPr="00884E52">
              <w:rPr>
                <w:b/>
                <w:color w:val="000000"/>
                <w:spacing w:val="-4"/>
                <w:sz w:val="22"/>
                <w:szCs w:val="22"/>
                <w:lang w:val="lt-LT"/>
              </w:rPr>
              <w:t>Nepertraukiamo maitinimo šaltinio (UPS) galingumas:</w:t>
            </w:r>
            <w:r w:rsidRPr="00884E52">
              <w:rPr>
                <w:color w:val="000000"/>
                <w:spacing w:val="-4"/>
                <w:sz w:val="22"/>
                <w:szCs w:val="22"/>
                <w:lang w:val="lt-LT"/>
              </w:rPr>
              <w:t xml:space="preserve"> </w:t>
            </w:r>
            <w:r w:rsidR="000E59CD" w:rsidRPr="00884E52">
              <w:rPr>
                <w:color w:val="000000"/>
                <w:spacing w:val="-4"/>
                <w:sz w:val="22"/>
                <w:szCs w:val="22"/>
                <w:lang w:val="lt-LT"/>
              </w:rPr>
              <w:t xml:space="preserve">  </w:t>
            </w:r>
            <w:r w:rsidR="00F91AFB" w:rsidRPr="00884E52">
              <w:rPr>
                <w:color w:val="000000"/>
                <w:spacing w:val="-4"/>
                <w:sz w:val="22"/>
                <w:szCs w:val="22"/>
                <w:lang w:val="lt-LT"/>
              </w:rPr>
              <w:t xml:space="preserve"> </w:t>
            </w:r>
            <w:r w:rsidRPr="00884E52">
              <w:rPr>
                <w:color w:val="000000"/>
                <w:spacing w:val="-4"/>
                <w:sz w:val="22"/>
                <w:szCs w:val="22"/>
                <w:lang w:val="lt-LT"/>
              </w:rPr>
              <w:t xml:space="preserve">Ne mažiau kaip 60 </w:t>
            </w:r>
            <w:proofErr w:type="spellStart"/>
            <w:r w:rsidRPr="00884E52">
              <w:rPr>
                <w:color w:val="000000"/>
                <w:spacing w:val="-4"/>
                <w:sz w:val="22"/>
                <w:szCs w:val="22"/>
                <w:lang w:val="lt-LT"/>
              </w:rPr>
              <w:t>kVA</w:t>
            </w:r>
            <w:proofErr w:type="spellEnd"/>
            <w:r w:rsidRPr="00884E52">
              <w:rPr>
                <w:color w:val="000000"/>
                <w:spacing w:val="-4"/>
                <w:sz w:val="22"/>
                <w:szCs w:val="22"/>
                <w:lang w:val="lt-LT"/>
              </w:rPr>
              <w:t>/60 kW</w:t>
            </w:r>
          </w:p>
          <w:p w14:paraId="613B5FFA" w14:textId="77777777" w:rsidR="008D1D50" w:rsidRPr="00884E52" w:rsidRDefault="008D1D50" w:rsidP="00B77898">
            <w:pPr>
              <w:widowControl w:val="0"/>
              <w:shd w:val="clear" w:color="auto" w:fill="FFFFFF"/>
              <w:jc w:val="both"/>
              <w:rPr>
                <w:color w:val="000000"/>
                <w:spacing w:val="-4"/>
                <w:sz w:val="22"/>
                <w:szCs w:val="22"/>
                <w:lang w:val="lt-LT"/>
              </w:rPr>
            </w:pPr>
            <w:r w:rsidRPr="00884E52">
              <w:rPr>
                <w:b/>
                <w:color w:val="000000"/>
                <w:spacing w:val="-4"/>
                <w:sz w:val="22"/>
                <w:szCs w:val="22"/>
                <w:lang w:val="lt-LT"/>
              </w:rPr>
              <w:t>Nepertraukiamo maitinimo šaltinio (UPS) tipas:</w:t>
            </w:r>
            <w:r w:rsidRPr="00884E52">
              <w:rPr>
                <w:color w:val="000000"/>
                <w:spacing w:val="-4"/>
                <w:sz w:val="22"/>
                <w:szCs w:val="22"/>
                <w:lang w:val="lt-LT"/>
              </w:rPr>
              <w:t xml:space="preserve"> </w:t>
            </w:r>
            <w:r w:rsidR="00F91AFB" w:rsidRPr="00884E52">
              <w:rPr>
                <w:color w:val="000000"/>
                <w:spacing w:val="-4"/>
                <w:sz w:val="22"/>
                <w:szCs w:val="22"/>
                <w:lang w:val="lt-LT"/>
              </w:rPr>
              <w:t xml:space="preserve"> </w:t>
            </w:r>
            <w:r w:rsidRPr="00884E52">
              <w:rPr>
                <w:color w:val="000000"/>
                <w:spacing w:val="-4"/>
                <w:sz w:val="22"/>
                <w:szCs w:val="22"/>
                <w:lang w:val="lt-LT"/>
              </w:rPr>
              <w:t xml:space="preserve">Įrenginys turi būti Online </w:t>
            </w:r>
            <w:proofErr w:type="spellStart"/>
            <w:r w:rsidRPr="00884E52">
              <w:rPr>
                <w:color w:val="000000"/>
                <w:spacing w:val="-4"/>
                <w:sz w:val="22"/>
                <w:szCs w:val="22"/>
                <w:lang w:val="lt-LT"/>
              </w:rPr>
              <w:t>Double</w:t>
            </w:r>
            <w:proofErr w:type="spellEnd"/>
            <w:r w:rsidRPr="00884E52">
              <w:rPr>
                <w:color w:val="000000"/>
                <w:spacing w:val="-4"/>
                <w:sz w:val="22"/>
                <w:szCs w:val="22"/>
                <w:lang w:val="lt-LT"/>
              </w:rPr>
              <w:t xml:space="preserve"> </w:t>
            </w:r>
            <w:proofErr w:type="spellStart"/>
            <w:r w:rsidRPr="00884E52">
              <w:rPr>
                <w:color w:val="000000"/>
                <w:spacing w:val="-4"/>
                <w:sz w:val="22"/>
                <w:szCs w:val="22"/>
                <w:lang w:val="lt-LT"/>
              </w:rPr>
              <w:t>Conversion</w:t>
            </w:r>
            <w:proofErr w:type="spellEnd"/>
            <w:r w:rsidRPr="00884E52">
              <w:rPr>
                <w:color w:val="000000"/>
                <w:spacing w:val="-4"/>
                <w:sz w:val="22"/>
                <w:szCs w:val="22"/>
                <w:lang w:val="lt-LT"/>
              </w:rPr>
              <w:t>, pagal VFI-SS-111 (EN 62040-3)</w:t>
            </w:r>
            <w:r w:rsidR="000E59CD" w:rsidRPr="00884E52">
              <w:rPr>
                <w:color w:val="000000"/>
                <w:spacing w:val="-4"/>
                <w:sz w:val="22"/>
                <w:szCs w:val="22"/>
                <w:lang w:val="lt-LT"/>
              </w:rPr>
              <w:t>.</w:t>
            </w:r>
          </w:p>
          <w:p w14:paraId="613B5FFB" w14:textId="77777777" w:rsidR="008D1D50" w:rsidRPr="00884E52" w:rsidRDefault="008D1D50" w:rsidP="00B77898">
            <w:pPr>
              <w:widowControl w:val="0"/>
              <w:shd w:val="clear" w:color="auto" w:fill="FFFFFF"/>
              <w:jc w:val="both"/>
              <w:rPr>
                <w:color w:val="000000"/>
                <w:spacing w:val="-4"/>
                <w:sz w:val="22"/>
                <w:szCs w:val="22"/>
                <w:lang w:val="lt-LT"/>
              </w:rPr>
            </w:pPr>
            <w:r w:rsidRPr="00884E52">
              <w:rPr>
                <w:b/>
                <w:color w:val="000000"/>
                <w:spacing w:val="-4"/>
                <w:sz w:val="22"/>
                <w:szCs w:val="22"/>
                <w:lang w:val="lt-LT"/>
              </w:rPr>
              <w:t xml:space="preserve">Įėjimo įtampa: </w:t>
            </w:r>
            <w:r w:rsidR="000E59CD" w:rsidRPr="00884E52">
              <w:rPr>
                <w:b/>
                <w:color w:val="000000"/>
                <w:spacing w:val="-4"/>
                <w:sz w:val="22"/>
                <w:szCs w:val="22"/>
                <w:lang w:val="lt-LT"/>
              </w:rPr>
              <w:t xml:space="preserve">  </w:t>
            </w:r>
            <w:r w:rsidR="001A4DFF" w:rsidRPr="00884E52">
              <w:rPr>
                <w:color w:val="000000"/>
                <w:spacing w:val="-4"/>
                <w:sz w:val="22"/>
                <w:szCs w:val="22"/>
                <w:lang w:val="lt-LT"/>
              </w:rPr>
              <w:t>380/400/415 V,</w:t>
            </w:r>
            <w:r w:rsidRPr="00884E52">
              <w:rPr>
                <w:color w:val="000000"/>
                <w:spacing w:val="-4"/>
                <w:sz w:val="22"/>
                <w:szCs w:val="22"/>
                <w:lang w:val="lt-LT"/>
              </w:rPr>
              <w:t xml:space="preserve"> ±</w:t>
            </w:r>
            <w:r w:rsidR="001A4DFF" w:rsidRPr="00884E52">
              <w:rPr>
                <w:color w:val="000000"/>
                <w:spacing w:val="-4"/>
                <w:sz w:val="22"/>
                <w:szCs w:val="22"/>
                <w:lang w:val="lt-LT"/>
              </w:rPr>
              <w:t xml:space="preserve"> 20</w:t>
            </w:r>
            <w:r w:rsidRPr="00884E52">
              <w:rPr>
                <w:color w:val="000000"/>
                <w:spacing w:val="-4"/>
                <w:sz w:val="22"/>
                <w:szCs w:val="22"/>
                <w:lang w:val="lt-LT"/>
              </w:rPr>
              <w:t>%</w:t>
            </w:r>
          </w:p>
          <w:p w14:paraId="613B5FFC" w14:textId="77777777" w:rsidR="008D1D50" w:rsidRPr="00884E52" w:rsidRDefault="008D1D50" w:rsidP="00B77898">
            <w:pPr>
              <w:widowControl w:val="0"/>
              <w:shd w:val="clear" w:color="auto" w:fill="FFFFFF"/>
              <w:jc w:val="both"/>
              <w:rPr>
                <w:color w:val="000000"/>
                <w:spacing w:val="-4"/>
                <w:sz w:val="22"/>
                <w:szCs w:val="22"/>
                <w:lang w:val="lt-LT"/>
              </w:rPr>
            </w:pPr>
            <w:r w:rsidRPr="00884E52">
              <w:rPr>
                <w:b/>
                <w:color w:val="000000"/>
                <w:spacing w:val="-4"/>
                <w:sz w:val="22"/>
                <w:szCs w:val="22"/>
                <w:lang w:val="lt-LT"/>
              </w:rPr>
              <w:t xml:space="preserve">Įėjimo dažnis: </w:t>
            </w:r>
            <w:r w:rsidR="000E59CD" w:rsidRPr="00884E52">
              <w:rPr>
                <w:b/>
                <w:color w:val="000000"/>
                <w:spacing w:val="-4"/>
                <w:sz w:val="22"/>
                <w:szCs w:val="22"/>
                <w:lang w:val="lt-LT"/>
              </w:rPr>
              <w:t xml:space="preserve">  </w:t>
            </w:r>
            <w:r w:rsidR="002740A1" w:rsidRPr="00884E52">
              <w:rPr>
                <w:color w:val="000000"/>
                <w:spacing w:val="-4"/>
                <w:sz w:val="22"/>
                <w:szCs w:val="22"/>
                <w:lang w:val="lt-LT"/>
              </w:rPr>
              <w:t>50/60 Hz ± 0,1</w:t>
            </w:r>
            <w:r w:rsidRPr="00884E52">
              <w:rPr>
                <w:color w:val="000000"/>
                <w:spacing w:val="-4"/>
                <w:sz w:val="22"/>
                <w:szCs w:val="22"/>
                <w:lang w:val="lt-LT"/>
              </w:rPr>
              <w:t>%</w:t>
            </w:r>
          </w:p>
          <w:p w14:paraId="613B5FFD" w14:textId="77777777" w:rsidR="008D1D50" w:rsidRPr="00884E52" w:rsidRDefault="008D1D50" w:rsidP="00B77898">
            <w:pPr>
              <w:widowControl w:val="0"/>
              <w:shd w:val="clear" w:color="auto" w:fill="FFFFFF"/>
              <w:jc w:val="both"/>
              <w:rPr>
                <w:color w:val="000000"/>
                <w:spacing w:val="-4"/>
                <w:sz w:val="22"/>
                <w:szCs w:val="22"/>
                <w:lang w:val="lt-LT"/>
              </w:rPr>
            </w:pPr>
            <w:r w:rsidRPr="00884E52">
              <w:rPr>
                <w:b/>
                <w:color w:val="000000"/>
                <w:spacing w:val="-4"/>
                <w:sz w:val="22"/>
                <w:szCs w:val="22"/>
                <w:lang w:val="lt-LT"/>
              </w:rPr>
              <w:t>Įėjimo galios faktorius:</w:t>
            </w:r>
            <w:r w:rsidRPr="00884E52">
              <w:rPr>
                <w:color w:val="000000"/>
                <w:spacing w:val="-4"/>
                <w:sz w:val="22"/>
                <w:szCs w:val="22"/>
                <w:lang w:val="lt-LT"/>
              </w:rPr>
              <w:tab/>
            </w:r>
            <w:r w:rsidR="000E59CD" w:rsidRPr="00884E52">
              <w:rPr>
                <w:color w:val="000000"/>
                <w:spacing w:val="-4"/>
                <w:sz w:val="22"/>
                <w:szCs w:val="22"/>
                <w:lang w:val="lt-LT"/>
              </w:rPr>
              <w:t xml:space="preserve">  </w:t>
            </w:r>
            <w:r w:rsidRPr="00884E52">
              <w:rPr>
                <w:color w:val="000000"/>
                <w:spacing w:val="-4"/>
                <w:sz w:val="22"/>
                <w:szCs w:val="22"/>
                <w:lang w:val="lt-LT"/>
              </w:rPr>
              <w:t>&gt;0,99</w:t>
            </w:r>
          </w:p>
          <w:p w14:paraId="613B5FFE" w14:textId="77777777" w:rsidR="008D1D50" w:rsidRPr="00884E52" w:rsidRDefault="008D1D50" w:rsidP="00B77898">
            <w:pPr>
              <w:widowControl w:val="0"/>
              <w:shd w:val="clear" w:color="auto" w:fill="FFFFFF"/>
              <w:jc w:val="both"/>
              <w:rPr>
                <w:color w:val="000000"/>
                <w:spacing w:val="-4"/>
                <w:sz w:val="22"/>
                <w:szCs w:val="22"/>
                <w:lang w:val="lt-LT"/>
              </w:rPr>
            </w:pPr>
            <w:r w:rsidRPr="00884E52">
              <w:rPr>
                <w:b/>
                <w:color w:val="000000"/>
                <w:spacing w:val="-4"/>
                <w:sz w:val="22"/>
                <w:szCs w:val="22"/>
                <w:lang w:val="lt-LT"/>
              </w:rPr>
              <w:t xml:space="preserve">Įėjimo </w:t>
            </w:r>
            <w:proofErr w:type="spellStart"/>
            <w:r w:rsidRPr="00884E52">
              <w:rPr>
                <w:b/>
                <w:color w:val="000000"/>
                <w:spacing w:val="-4"/>
                <w:sz w:val="22"/>
                <w:szCs w:val="22"/>
                <w:lang w:val="lt-LT"/>
              </w:rPr>
              <w:t>THDi</w:t>
            </w:r>
            <w:proofErr w:type="spellEnd"/>
            <w:r w:rsidRPr="00884E52">
              <w:rPr>
                <w:color w:val="000000"/>
                <w:spacing w:val="-4"/>
                <w:sz w:val="22"/>
                <w:szCs w:val="22"/>
                <w:lang w:val="lt-LT"/>
              </w:rPr>
              <w:t>:</w:t>
            </w:r>
            <w:r w:rsidR="000E59CD" w:rsidRPr="00884E52">
              <w:rPr>
                <w:color w:val="000000"/>
                <w:spacing w:val="-4"/>
                <w:sz w:val="22"/>
                <w:szCs w:val="22"/>
                <w:lang w:val="lt-LT"/>
              </w:rPr>
              <w:t xml:space="preserve">  </w:t>
            </w:r>
            <w:r w:rsidRPr="00884E52">
              <w:rPr>
                <w:color w:val="000000"/>
                <w:spacing w:val="-4"/>
                <w:sz w:val="22"/>
                <w:szCs w:val="22"/>
                <w:lang w:val="lt-LT"/>
              </w:rPr>
              <w:t xml:space="preserve"> &lt;3%</w:t>
            </w:r>
          </w:p>
          <w:p w14:paraId="613B5FFF" w14:textId="77777777" w:rsidR="008D1D50" w:rsidRPr="00884E52" w:rsidRDefault="008D1D50" w:rsidP="00B77898">
            <w:pPr>
              <w:widowControl w:val="0"/>
              <w:shd w:val="clear" w:color="auto" w:fill="FFFFFF"/>
              <w:jc w:val="both"/>
              <w:rPr>
                <w:color w:val="000000"/>
                <w:spacing w:val="-4"/>
                <w:sz w:val="22"/>
                <w:szCs w:val="22"/>
                <w:lang w:val="lt-LT"/>
              </w:rPr>
            </w:pPr>
            <w:r w:rsidRPr="00884E52">
              <w:rPr>
                <w:b/>
                <w:color w:val="000000"/>
                <w:spacing w:val="-4"/>
                <w:sz w:val="22"/>
                <w:szCs w:val="22"/>
                <w:lang w:val="lt-LT"/>
              </w:rPr>
              <w:t>Išėjimo galios faktorius:</w:t>
            </w:r>
            <w:r w:rsidRPr="00884E52">
              <w:rPr>
                <w:color w:val="000000"/>
                <w:spacing w:val="-4"/>
                <w:sz w:val="22"/>
                <w:szCs w:val="22"/>
                <w:lang w:val="lt-LT"/>
              </w:rPr>
              <w:t xml:space="preserve"> </w:t>
            </w:r>
            <w:r w:rsidR="000E59CD" w:rsidRPr="00884E52">
              <w:rPr>
                <w:color w:val="000000"/>
                <w:spacing w:val="-4"/>
                <w:sz w:val="22"/>
                <w:szCs w:val="22"/>
                <w:lang w:val="lt-LT"/>
              </w:rPr>
              <w:t xml:space="preserve">  </w:t>
            </w:r>
            <w:r w:rsidRPr="00884E52">
              <w:rPr>
                <w:color w:val="000000"/>
                <w:spacing w:val="-4"/>
                <w:sz w:val="22"/>
                <w:szCs w:val="22"/>
                <w:lang w:val="lt-LT"/>
              </w:rPr>
              <w:t>1,0</w:t>
            </w:r>
          </w:p>
          <w:p w14:paraId="613B6000" w14:textId="77777777" w:rsidR="008D1D50" w:rsidRPr="00884E52" w:rsidRDefault="008D1D50" w:rsidP="00B77898">
            <w:pPr>
              <w:widowControl w:val="0"/>
              <w:shd w:val="clear" w:color="auto" w:fill="FFFFFF"/>
              <w:jc w:val="both"/>
              <w:rPr>
                <w:color w:val="000000"/>
                <w:spacing w:val="-4"/>
                <w:sz w:val="22"/>
                <w:szCs w:val="22"/>
                <w:lang w:val="lt-LT"/>
              </w:rPr>
            </w:pPr>
            <w:r w:rsidRPr="00884E52">
              <w:rPr>
                <w:b/>
                <w:color w:val="000000"/>
                <w:spacing w:val="-4"/>
                <w:sz w:val="22"/>
                <w:szCs w:val="22"/>
                <w:lang w:val="lt-LT"/>
              </w:rPr>
              <w:t>Išėjimo įtampa</w:t>
            </w:r>
            <w:r w:rsidRPr="00884E52">
              <w:rPr>
                <w:color w:val="000000"/>
                <w:spacing w:val="-4"/>
                <w:sz w:val="22"/>
                <w:szCs w:val="22"/>
                <w:lang w:val="lt-LT"/>
              </w:rPr>
              <w:t>:</w:t>
            </w:r>
            <w:r w:rsidRPr="00884E52">
              <w:rPr>
                <w:color w:val="000000"/>
                <w:spacing w:val="-4"/>
                <w:sz w:val="22"/>
                <w:szCs w:val="22"/>
                <w:lang w:val="lt-LT"/>
              </w:rPr>
              <w:tab/>
            </w:r>
            <w:r w:rsidR="000E59CD" w:rsidRPr="00884E52">
              <w:rPr>
                <w:color w:val="000000"/>
                <w:spacing w:val="-4"/>
                <w:sz w:val="22"/>
                <w:szCs w:val="22"/>
                <w:lang w:val="lt-LT"/>
              </w:rPr>
              <w:t xml:space="preserve">  </w:t>
            </w:r>
            <w:r w:rsidRPr="00884E52">
              <w:rPr>
                <w:color w:val="000000"/>
                <w:spacing w:val="-4"/>
                <w:sz w:val="22"/>
                <w:szCs w:val="22"/>
                <w:lang w:val="lt-LT"/>
              </w:rPr>
              <w:t>380/400/415 V</w:t>
            </w:r>
          </w:p>
          <w:p w14:paraId="613B6001" w14:textId="77777777" w:rsidR="008D1D50" w:rsidRPr="00884E52" w:rsidRDefault="008D1D50" w:rsidP="008D1D50">
            <w:pPr>
              <w:widowControl w:val="0"/>
              <w:shd w:val="clear" w:color="auto" w:fill="FFFFFF"/>
              <w:jc w:val="both"/>
              <w:rPr>
                <w:color w:val="000000"/>
                <w:spacing w:val="-4"/>
                <w:sz w:val="22"/>
                <w:szCs w:val="22"/>
                <w:lang w:val="lt-LT"/>
              </w:rPr>
            </w:pPr>
            <w:r w:rsidRPr="00884E52">
              <w:rPr>
                <w:b/>
                <w:color w:val="000000"/>
                <w:spacing w:val="-4"/>
                <w:sz w:val="22"/>
                <w:szCs w:val="22"/>
                <w:lang w:val="lt-LT"/>
              </w:rPr>
              <w:t>Išėjimo įtampos reguliavimas</w:t>
            </w:r>
            <w:r w:rsidRPr="00884E52">
              <w:rPr>
                <w:color w:val="000000"/>
                <w:spacing w:val="-4"/>
                <w:sz w:val="22"/>
                <w:szCs w:val="22"/>
                <w:lang w:val="lt-LT"/>
              </w:rPr>
              <w:t xml:space="preserve">: </w:t>
            </w:r>
            <w:r w:rsidR="000E59CD" w:rsidRPr="00884E52">
              <w:rPr>
                <w:color w:val="000000"/>
                <w:spacing w:val="-4"/>
                <w:sz w:val="22"/>
                <w:szCs w:val="22"/>
                <w:lang w:val="lt-LT"/>
              </w:rPr>
              <w:t xml:space="preserve">  </w:t>
            </w:r>
            <w:r w:rsidRPr="00884E52">
              <w:rPr>
                <w:color w:val="000000"/>
                <w:spacing w:val="-4"/>
                <w:sz w:val="22"/>
                <w:szCs w:val="22"/>
                <w:lang w:val="lt-LT"/>
              </w:rPr>
              <w:t>Statinis ± 1%, Dinaminis ± 3%</w:t>
            </w:r>
          </w:p>
          <w:p w14:paraId="613B6002" w14:textId="77777777" w:rsidR="008D1D50" w:rsidRPr="00884E52" w:rsidRDefault="008D1D50" w:rsidP="000E59CD">
            <w:pPr>
              <w:widowControl w:val="0"/>
              <w:shd w:val="clear" w:color="auto" w:fill="FFFFFF"/>
              <w:jc w:val="both"/>
              <w:rPr>
                <w:color w:val="000000"/>
                <w:spacing w:val="-4"/>
                <w:sz w:val="22"/>
                <w:szCs w:val="22"/>
                <w:lang w:val="lt-LT"/>
              </w:rPr>
            </w:pPr>
            <w:r w:rsidRPr="00884E52">
              <w:rPr>
                <w:b/>
                <w:color w:val="000000"/>
                <w:spacing w:val="-4"/>
                <w:sz w:val="22"/>
                <w:szCs w:val="22"/>
                <w:lang w:val="lt-LT"/>
              </w:rPr>
              <w:t>Išėjimo dažnis:</w:t>
            </w:r>
            <w:r w:rsidRPr="00884E52">
              <w:rPr>
                <w:color w:val="000000"/>
                <w:spacing w:val="-4"/>
                <w:sz w:val="22"/>
                <w:szCs w:val="22"/>
                <w:lang w:val="lt-LT"/>
              </w:rPr>
              <w:tab/>
            </w:r>
            <w:r w:rsidR="000E59CD" w:rsidRPr="00884E52">
              <w:rPr>
                <w:color w:val="000000"/>
                <w:spacing w:val="-4"/>
                <w:sz w:val="22"/>
                <w:szCs w:val="22"/>
                <w:lang w:val="lt-LT"/>
              </w:rPr>
              <w:t xml:space="preserve">  </w:t>
            </w:r>
            <w:r w:rsidRPr="00884E52">
              <w:rPr>
                <w:color w:val="000000"/>
                <w:spacing w:val="-4"/>
                <w:sz w:val="22"/>
                <w:szCs w:val="22"/>
                <w:lang w:val="lt-LT"/>
              </w:rPr>
              <w:t>50/60 Hz ± 0,1%</w:t>
            </w:r>
          </w:p>
          <w:p w14:paraId="613B6003" w14:textId="77777777" w:rsidR="000E59CD" w:rsidRPr="00884E52" w:rsidRDefault="000E59CD" w:rsidP="000E59CD">
            <w:pPr>
              <w:widowControl w:val="0"/>
              <w:shd w:val="clear" w:color="auto" w:fill="FFFFFF"/>
              <w:jc w:val="both"/>
              <w:rPr>
                <w:color w:val="000000"/>
                <w:spacing w:val="-4"/>
                <w:sz w:val="22"/>
                <w:szCs w:val="22"/>
                <w:lang w:val="lt-LT"/>
              </w:rPr>
            </w:pPr>
            <w:r w:rsidRPr="00884E52">
              <w:rPr>
                <w:b/>
                <w:color w:val="000000"/>
                <w:spacing w:val="-4"/>
                <w:sz w:val="22"/>
                <w:szCs w:val="22"/>
                <w:lang w:val="lt-LT"/>
              </w:rPr>
              <w:t xml:space="preserve">Efektyvumas </w:t>
            </w:r>
            <w:proofErr w:type="spellStart"/>
            <w:r w:rsidRPr="00884E52">
              <w:rPr>
                <w:b/>
                <w:color w:val="000000"/>
                <w:spacing w:val="-4"/>
                <w:sz w:val="22"/>
                <w:szCs w:val="22"/>
                <w:lang w:val="lt-LT"/>
              </w:rPr>
              <w:t>On</w:t>
            </w:r>
            <w:proofErr w:type="spellEnd"/>
            <w:r w:rsidRPr="00884E52">
              <w:rPr>
                <w:b/>
                <w:color w:val="000000"/>
                <w:spacing w:val="-4"/>
                <w:sz w:val="22"/>
                <w:szCs w:val="22"/>
                <w:lang w:val="lt-LT"/>
              </w:rPr>
              <w:t>-Line režime</w:t>
            </w:r>
            <w:r w:rsidRPr="00884E52">
              <w:rPr>
                <w:color w:val="000000"/>
                <w:spacing w:val="-4"/>
                <w:sz w:val="22"/>
                <w:szCs w:val="22"/>
                <w:lang w:val="lt-LT"/>
              </w:rPr>
              <w:t>:</w:t>
            </w:r>
            <w:r w:rsidRPr="00884E52">
              <w:rPr>
                <w:color w:val="000000"/>
                <w:spacing w:val="-4"/>
                <w:sz w:val="22"/>
                <w:szCs w:val="22"/>
                <w:lang w:val="lt-LT"/>
              </w:rPr>
              <w:tab/>
              <w:t>≥ 95,8%</w:t>
            </w:r>
          </w:p>
          <w:p w14:paraId="613B6004" w14:textId="77777777" w:rsidR="000E59CD" w:rsidRPr="00884E52" w:rsidRDefault="000E59CD" w:rsidP="000E59CD">
            <w:pPr>
              <w:widowControl w:val="0"/>
              <w:shd w:val="clear" w:color="auto" w:fill="FFFFFF"/>
              <w:jc w:val="both"/>
              <w:rPr>
                <w:color w:val="000000"/>
                <w:spacing w:val="-4"/>
                <w:sz w:val="22"/>
                <w:szCs w:val="22"/>
                <w:lang w:val="lt-LT"/>
              </w:rPr>
            </w:pPr>
            <w:r w:rsidRPr="00884E52">
              <w:rPr>
                <w:b/>
                <w:color w:val="000000"/>
                <w:spacing w:val="-4"/>
                <w:sz w:val="22"/>
                <w:szCs w:val="22"/>
                <w:lang w:val="lt-LT"/>
              </w:rPr>
              <w:t>Efektyvumas EKO režime</w:t>
            </w:r>
            <w:r w:rsidRPr="00884E52">
              <w:rPr>
                <w:color w:val="000000"/>
                <w:spacing w:val="-4"/>
                <w:sz w:val="22"/>
                <w:szCs w:val="22"/>
                <w:lang w:val="lt-LT"/>
              </w:rPr>
              <w:t>:</w:t>
            </w:r>
            <w:r w:rsidRPr="00884E52">
              <w:rPr>
                <w:color w:val="000000"/>
                <w:spacing w:val="-4"/>
                <w:sz w:val="22"/>
                <w:szCs w:val="22"/>
                <w:lang w:val="lt-LT"/>
              </w:rPr>
              <w:tab/>
              <w:t>≥ 99%</w:t>
            </w:r>
          </w:p>
          <w:p w14:paraId="613B6005" w14:textId="77777777" w:rsidR="00814237" w:rsidRPr="00884E52" w:rsidRDefault="00814237" w:rsidP="000E59CD">
            <w:pPr>
              <w:widowControl w:val="0"/>
              <w:shd w:val="clear" w:color="auto" w:fill="FFFFFF"/>
              <w:jc w:val="both"/>
              <w:rPr>
                <w:color w:val="000000"/>
                <w:spacing w:val="-4"/>
                <w:sz w:val="22"/>
                <w:szCs w:val="22"/>
                <w:lang w:val="lt-LT"/>
              </w:rPr>
            </w:pPr>
            <w:r w:rsidRPr="00884E52">
              <w:rPr>
                <w:b/>
                <w:color w:val="000000"/>
                <w:spacing w:val="-4"/>
                <w:sz w:val="22"/>
                <w:szCs w:val="22"/>
                <w:lang w:val="lt-LT"/>
              </w:rPr>
              <w:t xml:space="preserve">Baterijų tarnavimo amžius:   </w:t>
            </w:r>
            <w:r w:rsidRPr="00884E52">
              <w:rPr>
                <w:color w:val="000000"/>
                <w:spacing w:val="-4"/>
                <w:sz w:val="22"/>
                <w:szCs w:val="22"/>
                <w:lang w:val="lt-LT"/>
              </w:rPr>
              <w:t xml:space="preserve">10-12 metų pagal </w:t>
            </w:r>
            <w:proofErr w:type="spellStart"/>
            <w:r w:rsidRPr="00884E52">
              <w:rPr>
                <w:color w:val="000000"/>
                <w:spacing w:val="-4"/>
                <w:sz w:val="22"/>
                <w:szCs w:val="22"/>
                <w:lang w:val="lt-LT"/>
              </w:rPr>
              <w:t>Eurobat</w:t>
            </w:r>
            <w:proofErr w:type="spellEnd"/>
            <w:r w:rsidRPr="00884E52">
              <w:rPr>
                <w:color w:val="000000"/>
                <w:spacing w:val="-4"/>
                <w:sz w:val="22"/>
                <w:szCs w:val="22"/>
                <w:lang w:val="lt-LT"/>
              </w:rPr>
              <w:t>;</w:t>
            </w:r>
          </w:p>
          <w:p w14:paraId="613B6006" w14:textId="77777777" w:rsidR="00814237" w:rsidRPr="00884E52" w:rsidRDefault="00814237" w:rsidP="000E59CD">
            <w:pPr>
              <w:widowControl w:val="0"/>
              <w:shd w:val="clear" w:color="auto" w:fill="FFFFFF"/>
              <w:jc w:val="both"/>
              <w:rPr>
                <w:color w:val="000000"/>
                <w:spacing w:val="-4"/>
                <w:sz w:val="22"/>
                <w:szCs w:val="22"/>
                <w:lang w:val="lt-LT"/>
              </w:rPr>
            </w:pPr>
            <w:r w:rsidRPr="00884E52">
              <w:rPr>
                <w:b/>
                <w:color w:val="000000"/>
                <w:spacing w:val="-4"/>
                <w:sz w:val="22"/>
                <w:szCs w:val="22"/>
                <w:lang w:val="lt-LT"/>
              </w:rPr>
              <w:t>Baterijų temperatūra skaičiuojant autonomijos laiką:</w:t>
            </w:r>
            <w:r w:rsidRPr="00884E52">
              <w:rPr>
                <w:color w:val="000000"/>
                <w:spacing w:val="-4"/>
                <w:sz w:val="22"/>
                <w:szCs w:val="22"/>
                <w:lang w:val="lt-LT"/>
              </w:rPr>
              <w:t xml:space="preserve">   </w:t>
            </w:r>
            <w:r w:rsidRPr="00884E52">
              <w:rPr>
                <w:sz w:val="22"/>
                <w:szCs w:val="22"/>
                <w:lang w:val="lv-LV"/>
              </w:rPr>
              <w:t>20°C</w:t>
            </w:r>
            <w:r w:rsidRPr="00884E52">
              <w:rPr>
                <w:color w:val="000000"/>
                <w:spacing w:val="-4"/>
                <w:sz w:val="22"/>
                <w:szCs w:val="22"/>
                <w:lang w:val="lt-LT"/>
              </w:rPr>
              <w:t xml:space="preserve"> ± 5%;</w:t>
            </w:r>
          </w:p>
          <w:p w14:paraId="613B6007" w14:textId="77777777" w:rsidR="007C660F" w:rsidRPr="00884E52" w:rsidRDefault="007C660F" w:rsidP="000E59CD">
            <w:pPr>
              <w:widowControl w:val="0"/>
              <w:shd w:val="clear" w:color="auto" w:fill="FFFFFF"/>
              <w:jc w:val="both"/>
              <w:rPr>
                <w:color w:val="000000"/>
                <w:spacing w:val="-4"/>
                <w:sz w:val="22"/>
                <w:szCs w:val="22"/>
                <w:lang w:val="lt-LT"/>
              </w:rPr>
            </w:pPr>
            <w:r w:rsidRPr="00884E52">
              <w:rPr>
                <w:b/>
                <w:color w:val="000000"/>
                <w:spacing w:val="-4"/>
                <w:sz w:val="22"/>
                <w:szCs w:val="22"/>
                <w:lang w:val="lt-LT"/>
              </w:rPr>
              <w:t xml:space="preserve">Baterijų autonomijos laikas:   </w:t>
            </w:r>
            <w:r w:rsidRPr="00884E52">
              <w:rPr>
                <w:color w:val="000000"/>
                <w:spacing w:val="-4"/>
                <w:sz w:val="22"/>
                <w:szCs w:val="22"/>
                <w:lang w:val="lt-LT"/>
              </w:rPr>
              <w:t>Autonomijos laikas turi išlikti nepakitęs 2 metus po eksploatacijos pradžios;</w:t>
            </w:r>
          </w:p>
          <w:p w14:paraId="613B6008" w14:textId="77777777" w:rsidR="000E59CD" w:rsidRPr="00884E52" w:rsidRDefault="000E59CD" w:rsidP="000E59CD">
            <w:pPr>
              <w:widowControl w:val="0"/>
              <w:shd w:val="clear" w:color="auto" w:fill="FFFFFF"/>
              <w:jc w:val="both"/>
              <w:rPr>
                <w:color w:val="000000"/>
                <w:spacing w:val="-4"/>
                <w:sz w:val="22"/>
                <w:szCs w:val="22"/>
                <w:lang w:val="lt-LT"/>
              </w:rPr>
            </w:pPr>
            <w:r w:rsidRPr="00884E52">
              <w:rPr>
                <w:b/>
                <w:color w:val="000000"/>
                <w:spacing w:val="-4"/>
                <w:sz w:val="22"/>
                <w:szCs w:val="22"/>
                <w:lang w:val="lt-LT"/>
              </w:rPr>
              <w:t>Nepertraukiamo elektros energijos tiekimo trukmė</w:t>
            </w:r>
            <w:r w:rsidR="00F91AFB" w:rsidRPr="00884E52">
              <w:rPr>
                <w:color w:val="000000"/>
                <w:spacing w:val="-4"/>
                <w:sz w:val="22"/>
                <w:szCs w:val="22"/>
                <w:lang w:val="lt-LT"/>
              </w:rPr>
              <w:t xml:space="preserve">:    </w:t>
            </w:r>
            <w:r w:rsidRPr="00884E52">
              <w:rPr>
                <w:color w:val="000000"/>
                <w:spacing w:val="-4"/>
                <w:sz w:val="22"/>
                <w:szCs w:val="22"/>
                <w:lang w:val="lt-LT"/>
              </w:rPr>
              <w:t>Ne mažiau nei 7 minutės, esant maksimaliam apkrovimui.</w:t>
            </w:r>
          </w:p>
          <w:p w14:paraId="613B6009" w14:textId="77777777" w:rsidR="000E59CD" w:rsidRPr="00884E52" w:rsidRDefault="000E59CD" w:rsidP="000E59CD">
            <w:pPr>
              <w:widowControl w:val="0"/>
              <w:shd w:val="clear" w:color="auto" w:fill="FFFFFF"/>
              <w:jc w:val="both"/>
              <w:rPr>
                <w:color w:val="000000"/>
                <w:spacing w:val="-4"/>
                <w:sz w:val="22"/>
                <w:szCs w:val="22"/>
                <w:lang w:val="lt-LT"/>
              </w:rPr>
            </w:pPr>
            <w:r w:rsidRPr="00884E52">
              <w:rPr>
                <w:b/>
                <w:color w:val="000000"/>
                <w:spacing w:val="-4"/>
                <w:sz w:val="22"/>
                <w:szCs w:val="22"/>
                <w:lang w:val="lt-LT"/>
              </w:rPr>
              <w:t>Sertifikavimas</w:t>
            </w:r>
            <w:r w:rsidRPr="00884E52">
              <w:rPr>
                <w:color w:val="000000"/>
                <w:spacing w:val="-4"/>
                <w:sz w:val="22"/>
                <w:szCs w:val="22"/>
                <w:lang w:val="lt-LT"/>
              </w:rPr>
              <w:t>:   Turi atitikti EN 62040-2, IEC 62040-1-1, EN 62040-3, CE, 2014/35/EU, 2014/30/EU arba lygiaverčius standartus ir direktyvas.</w:t>
            </w:r>
          </w:p>
          <w:p w14:paraId="613B600A" w14:textId="77777777" w:rsidR="000E59CD" w:rsidRPr="00884E52" w:rsidRDefault="000E59CD" w:rsidP="000E59CD">
            <w:pPr>
              <w:widowControl w:val="0"/>
              <w:shd w:val="clear" w:color="auto" w:fill="FFFFFF"/>
              <w:jc w:val="both"/>
              <w:rPr>
                <w:color w:val="000000"/>
                <w:spacing w:val="-4"/>
                <w:sz w:val="22"/>
                <w:szCs w:val="22"/>
                <w:lang w:val="lt-LT"/>
              </w:rPr>
            </w:pPr>
            <w:r w:rsidRPr="00884E52">
              <w:rPr>
                <w:b/>
                <w:color w:val="000000"/>
                <w:spacing w:val="-4"/>
                <w:sz w:val="22"/>
                <w:szCs w:val="22"/>
                <w:lang w:val="lt-LT"/>
              </w:rPr>
              <w:t>Sąsajos</w:t>
            </w:r>
            <w:r w:rsidRPr="00884E52">
              <w:rPr>
                <w:color w:val="000000"/>
                <w:spacing w:val="-4"/>
                <w:sz w:val="22"/>
                <w:szCs w:val="22"/>
                <w:lang w:val="lt-LT"/>
              </w:rPr>
              <w:t xml:space="preserve">:  </w:t>
            </w:r>
            <w:r w:rsidR="00F91AFB" w:rsidRPr="00884E52">
              <w:rPr>
                <w:color w:val="000000"/>
                <w:spacing w:val="-4"/>
                <w:sz w:val="22"/>
                <w:szCs w:val="22"/>
                <w:lang w:val="lt-LT"/>
              </w:rPr>
              <w:t xml:space="preserve"> </w:t>
            </w:r>
            <w:r w:rsidRPr="00884E52">
              <w:rPr>
                <w:color w:val="000000"/>
                <w:spacing w:val="-4"/>
                <w:sz w:val="22"/>
                <w:szCs w:val="22"/>
                <w:lang w:val="lt-LT"/>
              </w:rPr>
              <w:t>Turi būti RJ-45 arba lygiaverčiai prievadai, UPS valdymui ir stebėjimui.</w:t>
            </w:r>
            <w:r w:rsidR="007C660F" w:rsidRPr="00884E52">
              <w:rPr>
                <w:color w:val="000000"/>
                <w:spacing w:val="-4"/>
                <w:sz w:val="22"/>
                <w:szCs w:val="22"/>
                <w:lang w:val="lt-LT"/>
              </w:rPr>
              <w:t xml:space="preserve"> Užtikrinant kibernetinį saugumą, komunikacijos korta turi veikti naudojant saugius protokolus šifruojančius ryšį SSL, SNMP V3;</w:t>
            </w:r>
          </w:p>
          <w:p w14:paraId="613B600B" w14:textId="77777777" w:rsidR="000E59CD" w:rsidRPr="00884E52" w:rsidRDefault="000E59CD" w:rsidP="000E59CD">
            <w:pPr>
              <w:widowControl w:val="0"/>
              <w:shd w:val="clear" w:color="auto" w:fill="FFFFFF"/>
              <w:jc w:val="both"/>
              <w:rPr>
                <w:color w:val="000000"/>
                <w:spacing w:val="-4"/>
                <w:sz w:val="22"/>
                <w:szCs w:val="22"/>
                <w:lang w:val="lt-LT"/>
              </w:rPr>
            </w:pPr>
            <w:r w:rsidRPr="00884E52">
              <w:rPr>
                <w:b/>
                <w:color w:val="000000"/>
                <w:spacing w:val="-4"/>
                <w:sz w:val="22"/>
                <w:szCs w:val="22"/>
                <w:lang w:val="lt-LT"/>
              </w:rPr>
              <w:t>Informacinė valdymo panelė</w:t>
            </w:r>
            <w:r w:rsidRPr="00884E52">
              <w:rPr>
                <w:color w:val="000000"/>
                <w:spacing w:val="-4"/>
                <w:sz w:val="22"/>
                <w:szCs w:val="22"/>
                <w:lang w:val="lt-LT"/>
              </w:rPr>
              <w:t>:</w:t>
            </w:r>
            <w:r w:rsidRPr="00884E52">
              <w:rPr>
                <w:color w:val="000000"/>
                <w:spacing w:val="-4"/>
                <w:sz w:val="22"/>
                <w:szCs w:val="22"/>
                <w:lang w:val="lt-LT"/>
              </w:rPr>
              <w:tab/>
              <w:t>LCD jutiminis ekranas su LED indikacijomis pateikianti informaciją apie įrenginio būseną, baterijų įkrovimo lygį,  likusią veikimo trukmę, įėjimo įtampą ir dažnį, išėjimo įtampą ir dažnį, apkrovos lygį, temperatūrą, įspėjimus.</w:t>
            </w:r>
          </w:p>
          <w:p w14:paraId="613B600C" w14:textId="77777777" w:rsidR="000E59CD" w:rsidRPr="00884E52" w:rsidRDefault="000E59CD" w:rsidP="000E59CD">
            <w:pPr>
              <w:widowControl w:val="0"/>
              <w:shd w:val="clear" w:color="auto" w:fill="FFFFFF"/>
              <w:jc w:val="both"/>
              <w:rPr>
                <w:color w:val="000000"/>
                <w:spacing w:val="-4"/>
                <w:sz w:val="22"/>
                <w:szCs w:val="22"/>
                <w:lang w:val="lt-LT"/>
              </w:rPr>
            </w:pPr>
            <w:r w:rsidRPr="00884E52">
              <w:rPr>
                <w:b/>
                <w:color w:val="000000"/>
                <w:spacing w:val="-4"/>
                <w:sz w:val="22"/>
                <w:szCs w:val="22"/>
                <w:lang w:val="lt-LT"/>
              </w:rPr>
              <w:t>Valdymo programinė įranga</w:t>
            </w:r>
            <w:r w:rsidRPr="00884E52">
              <w:rPr>
                <w:color w:val="000000"/>
                <w:spacing w:val="-4"/>
                <w:sz w:val="22"/>
                <w:szCs w:val="22"/>
                <w:lang w:val="lt-LT"/>
              </w:rPr>
              <w:t>:</w:t>
            </w:r>
            <w:r w:rsidRPr="00884E52">
              <w:rPr>
                <w:color w:val="000000"/>
                <w:spacing w:val="-4"/>
                <w:sz w:val="22"/>
                <w:szCs w:val="22"/>
                <w:lang w:val="lt-LT"/>
              </w:rPr>
              <w:tab/>
              <w:t xml:space="preserve">Turi būti pateikta (ir įtraukta į pasiūlymą) valdymo programinė įranga – </w:t>
            </w:r>
            <w:proofErr w:type="spellStart"/>
            <w:r w:rsidRPr="00884E52">
              <w:rPr>
                <w:color w:val="000000"/>
                <w:spacing w:val="-4"/>
                <w:sz w:val="22"/>
                <w:szCs w:val="22"/>
                <w:lang w:val="lt-LT"/>
              </w:rPr>
              <w:t>web</w:t>
            </w:r>
            <w:proofErr w:type="spellEnd"/>
            <w:r w:rsidRPr="00884E52">
              <w:rPr>
                <w:color w:val="000000"/>
                <w:spacing w:val="-4"/>
                <w:sz w:val="22"/>
                <w:szCs w:val="22"/>
                <w:lang w:val="lt-LT"/>
              </w:rPr>
              <w:t xml:space="preserve"> tipo aplikacija arba lygiavertė, suderinama perkančiosios organizacijo</w:t>
            </w:r>
            <w:r w:rsidR="000348D6" w:rsidRPr="00884E52">
              <w:rPr>
                <w:color w:val="000000"/>
                <w:spacing w:val="-4"/>
                <w:sz w:val="22"/>
                <w:szCs w:val="22"/>
                <w:lang w:val="lt-LT"/>
              </w:rPr>
              <w:t>s naudojamomis Windows</w:t>
            </w:r>
            <w:r w:rsidRPr="00884E52">
              <w:rPr>
                <w:color w:val="000000"/>
                <w:spacing w:val="-4"/>
                <w:sz w:val="22"/>
                <w:szCs w:val="22"/>
                <w:lang w:val="lt-LT"/>
              </w:rPr>
              <w:t xml:space="preserve"> operacinėmis sistemomis.</w:t>
            </w:r>
          </w:p>
          <w:p w14:paraId="613B600D" w14:textId="77777777" w:rsidR="000E59CD" w:rsidRPr="00884E52" w:rsidRDefault="000E59CD" w:rsidP="000E59CD">
            <w:pPr>
              <w:widowControl w:val="0"/>
              <w:shd w:val="clear" w:color="auto" w:fill="FFFFFF"/>
              <w:jc w:val="both"/>
              <w:rPr>
                <w:color w:val="000000"/>
                <w:spacing w:val="-4"/>
                <w:sz w:val="22"/>
                <w:szCs w:val="22"/>
                <w:lang w:val="lt-LT"/>
              </w:rPr>
            </w:pPr>
            <w:r w:rsidRPr="00884E52">
              <w:rPr>
                <w:color w:val="000000"/>
                <w:spacing w:val="-4"/>
                <w:sz w:val="22"/>
                <w:szCs w:val="22"/>
                <w:lang w:val="lt-LT"/>
              </w:rPr>
              <w:t>Turi palaikyti įrenginių stebėjimą, perspėjimus, automatinį serverių išjungimą sutrikus elektros tiekimui.</w:t>
            </w:r>
            <w:r w:rsidR="007C660F" w:rsidRPr="00884E52">
              <w:rPr>
                <w:color w:val="000000"/>
                <w:spacing w:val="-4"/>
                <w:sz w:val="22"/>
                <w:szCs w:val="22"/>
                <w:lang w:val="lt-LT"/>
              </w:rPr>
              <w:t xml:space="preserve"> </w:t>
            </w:r>
          </w:p>
          <w:p w14:paraId="613B600E" w14:textId="77777777" w:rsidR="000E59CD" w:rsidRPr="008F3B17" w:rsidRDefault="003D75B0" w:rsidP="003D75B0">
            <w:pPr>
              <w:widowControl w:val="0"/>
              <w:shd w:val="clear" w:color="auto" w:fill="FFFFFF"/>
              <w:jc w:val="both"/>
              <w:rPr>
                <w:color w:val="000000"/>
                <w:spacing w:val="-4"/>
                <w:sz w:val="22"/>
                <w:szCs w:val="22"/>
                <w:lang w:val="lt-LT"/>
              </w:rPr>
            </w:pPr>
            <w:r w:rsidRPr="00884E52">
              <w:rPr>
                <w:b/>
                <w:color w:val="000000"/>
                <w:spacing w:val="-4"/>
                <w:sz w:val="22"/>
                <w:szCs w:val="22"/>
                <w:lang w:val="lt-LT"/>
              </w:rPr>
              <w:t>Konstrukcija ir suderinamumas</w:t>
            </w:r>
            <w:r w:rsidR="00E01E1F" w:rsidRPr="00884E52">
              <w:rPr>
                <w:color w:val="000000"/>
                <w:spacing w:val="-4"/>
                <w:sz w:val="22"/>
                <w:szCs w:val="22"/>
                <w:lang w:val="lt-LT"/>
              </w:rPr>
              <w:t xml:space="preserve">:   </w:t>
            </w:r>
            <w:r w:rsidRPr="00884E52">
              <w:rPr>
                <w:sz w:val="22"/>
                <w:szCs w:val="22"/>
                <w:lang w:val="lt-LT"/>
              </w:rPr>
              <w:t xml:space="preserve">Triukšmingumas – ne didesnis negu 65 </w:t>
            </w:r>
            <w:proofErr w:type="spellStart"/>
            <w:r w:rsidRPr="00884E52">
              <w:rPr>
                <w:sz w:val="22"/>
                <w:szCs w:val="22"/>
                <w:lang w:val="lt-LT"/>
              </w:rPr>
              <w:t>dBA</w:t>
            </w:r>
            <w:proofErr w:type="spellEnd"/>
            <w:r w:rsidRPr="00884E52">
              <w:rPr>
                <w:sz w:val="22"/>
                <w:szCs w:val="22"/>
                <w:lang w:val="lt-LT"/>
              </w:rPr>
              <w:t xml:space="preserve">, darbinė temperatūra – nuo 0 iki +40 laipsnių </w:t>
            </w:r>
            <w:proofErr w:type="spellStart"/>
            <w:r w:rsidRPr="00884E52">
              <w:rPr>
                <w:sz w:val="22"/>
                <w:szCs w:val="22"/>
                <w:lang w:val="lt-LT"/>
              </w:rPr>
              <w:t>celsijaus</w:t>
            </w:r>
            <w:proofErr w:type="spellEnd"/>
            <w:r w:rsidRPr="00884E52">
              <w:rPr>
                <w:sz w:val="22"/>
                <w:szCs w:val="22"/>
                <w:lang w:val="lt-LT"/>
              </w:rPr>
              <w:t>.</w:t>
            </w:r>
          </w:p>
        </w:tc>
        <w:tc>
          <w:tcPr>
            <w:tcW w:w="992" w:type="dxa"/>
            <w:tcMar>
              <w:left w:w="57" w:type="dxa"/>
              <w:right w:w="57" w:type="dxa"/>
            </w:tcMar>
            <w:vAlign w:val="center"/>
          </w:tcPr>
          <w:p w14:paraId="613B600F" w14:textId="77777777" w:rsidR="001D4BC4" w:rsidRDefault="001D4BC4" w:rsidP="0010478B">
            <w:pPr>
              <w:jc w:val="center"/>
              <w:rPr>
                <w:color w:val="000000"/>
                <w:sz w:val="22"/>
                <w:szCs w:val="22"/>
                <w:lang w:val="lt-LT"/>
              </w:rPr>
            </w:pPr>
            <w:r>
              <w:rPr>
                <w:color w:val="000000"/>
                <w:sz w:val="22"/>
                <w:szCs w:val="22"/>
                <w:lang w:val="lt-LT"/>
              </w:rPr>
              <w:t>vnt.</w:t>
            </w:r>
          </w:p>
        </w:tc>
        <w:tc>
          <w:tcPr>
            <w:tcW w:w="1417" w:type="dxa"/>
            <w:tcMar>
              <w:left w:w="57" w:type="dxa"/>
              <w:right w:w="57" w:type="dxa"/>
            </w:tcMar>
            <w:vAlign w:val="center"/>
          </w:tcPr>
          <w:p w14:paraId="613B6010" w14:textId="77777777" w:rsidR="001D4BC4" w:rsidRDefault="002740A1" w:rsidP="0010478B">
            <w:pPr>
              <w:jc w:val="center"/>
              <w:rPr>
                <w:color w:val="000000"/>
                <w:sz w:val="22"/>
                <w:szCs w:val="22"/>
                <w:lang w:val="lt-LT"/>
              </w:rPr>
            </w:pPr>
            <w:r>
              <w:rPr>
                <w:color w:val="000000"/>
                <w:sz w:val="22"/>
                <w:szCs w:val="22"/>
                <w:lang w:val="lt-LT"/>
              </w:rPr>
              <w:t>3</w:t>
            </w:r>
          </w:p>
        </w:tc>
      </w:tr>
    </w:tbl>
    <w:p w14:paraId="613B6012" w14:textId="77777777" w:rsidR="00502610" w:rsidRDefault="00502610">
      <w:pPr>
        <w:widowControl w:val="0"/>
        <w:rPr>
          <w:sz w:val="22"/>
          <w:szCs w:val="22"/>
          <w:lang w:val="lt-LT"/>
        </w:rPr>
      </w:pPr>
    </w:p>
    <w:p w14:paraId="613B6013" w14:textId="77777777" w:rsidR="00EA116B" w:rsidRDefault="00CC38F2" w:rsidP="00CC38F2">
      <w:pPr>
        <w:widowControl w:val="0"/>
        <w:spacing w:before="60"/>
        <w:jc w:val="both"/>
        <w:rPr>
          <w:bCs/>
          <w:color w:val="000000"/>
          <w:spacing w:val="-4"/>
          <w:sz w:val="22"/>
          <w:szCs w:val="20"/>
          <w:lang w:val="lt-LT"/>
        </w:rPr>
      </w:pPr>
      <w:r>
        <w:rPr>
          <w:bCs/>
          <w:color w:val="000000"/>
          <w:spacing w:val="-4"/>
          <w:sz w:val="22"/>
          <w:szCs w:val="20"/>
          <w:lang w:val="lt-LT"/>
        </w:rPr>
        <w:lastRenderedPageBreak/>
        <w:t xml:space="preserve">       </w:t>
      </w:r>
    </w:p>
    <w:p w14:paraId="613B6014" w14:textId="77777777" w:rsidR="00A96BC1" w:rsidRPr="008D736D" w:rsidRDefault="00A96BC1" w:rsidP="00A96BC1">
      <w:pPr>
        <w:ind w:right="141"/>
        <w:jc w:val="both"/>
        <w:rPr>
          <w:sz w:val="22"/>
          <w:szCs w:val="22"/>
          <w:lang w:val="lt-LT"/>
        </w:rPr>
      </w:pPr>
      <w:r w:rsidRPr="008D736D">
        <w:rPr>
          <w:sz w:val="22"/>
          <w:szCs w:val="22"/>
          <w:u w:val="single"/>
          <w:lang w:val="lt-LT"/>
        </w:rPr>
        <w:t>Bendrieji reikalavimai</w:t>
      </w:r>
      <w:r w:rsidRPr="008D736D">
        <w:rPr>
          <w:sz w:val="22"/>
          <w:szCs w:val="22"/>
          <w:lang w:val="lt-LT"/>
        </w:rPr>
        <w:t>:</w:t>
      </w:r>
    </w:p>
    <w:p w14:paraId="613B6015" w14:textId="77777777" w:rsidR="00A96BC1" w:rsidRPr="008D736D" w:rsidRDefault="00A96BC1" w:rsidP="00A96BC1">
      <w:pPr>
        <w:ind w:right="141" w:hanging="567"/>
        <w:jc w:val="both"/>
        <w:rPr>
          <w:sz w:val="22"/>
          <w:szCs w:val="22"/>
          <w:lang w:val="lt-LT"/>
        </w:rPr>
      </w:pPr>
    </w:p>
    <w:p w14:paraId="613B6016" w14:textId="77777777" w:rsidR="00A96BC1" w:rsidRPr="008D736D" w:rsidRDefault="00A96BC1" w:rsidP="00A96BC1">
      <w:pPr>
        <w:pStyle w:val="Body2"/>
        <w:numPr>
          <w:ilvl w:val="0"/>
          <w:numId w:val="4"/>
        </w:numPr>
        <w:spacing w:after="0"/>
        <w:rPr>
          <w:rFonts w:cs="Times New Roman"/>
          <w:lang w:val="lt-LT"/>
        </w:rPr>
      </w:pPr>
      <w:r w:rsidRPr="00A96BC1">
        <w:rPr>
          <w:rFonts w:cs="Times New Roman"/>
          <w:lang w:val="lt-LT"/>
        </w:rPr>
        <w:t>Pristatant</w:t>
      </w:r>
      <w:r w:rsidRPr="008D736D">
        <w:rPr>
          <w:rFonts w:cs="Times New Roman"/>
          <w:lang w:val="lt-LT"/>
        </w:rPr>
        <w:t xml:space="preserve"> prekę būtina pateikti naudojimo instrukciją </w:t>
      </w:r>
      <w:r w:rsidRPr="008D736D">
        <w:rPr>
          <w:rFonts w:cs="Times New Roman"/>
          <w:b/>
          <w:lang w:val="lt-LT"/>
        </w:rPr>
        <w:t>lietuvių ir anglų kalbomis</w:t>
      </w:r>
      <w:r w:rsidRPr="008D736D">
        <w:rPr>
          <w:rFonts w:cs="Times New Roman"/>
          <w:lang w:val="lt-LT"/>
        </w:rPr>
        <w:t xml:space="preserve"> kartu su serviso dokumentacija </w:t>
      </w:r>
      <w:r w:rsidRPr="008D736D">
        <w:rPr>
          <w:rFonts w:cs="Times New Roman"/>
          <w:b/>
          <w:lang w:val="lt-LT"/>
        </w:rPr>
        <w:t>anglų kalba.</w:t>
      </w:r>
    </w:p>
    <w:p w14:paraId="613B6017" w14:textId="77777777" w:rsidR="00A96BC1" w:rsidRPr="00A96BC1" w:rsidRDefault="00A96BC1" w:rsidP="00A96BC1">
      <w:pPr>
        <w:pStyle w:val="NormalWeb"/>
        <w:numPr>
          <w:ilvl w:val="0"/>
          <w:numId w:val="4"/>
        </w:numPr>
        <w:spacing w:before="0" w:beforeAutospacing="0" w:after="40" w:afterAutospacing="0"/>
        <w:ind w:right="-1"/>
        <w:jc w:val="both"/>
        <w:rPr>
          <w:color w:val="000000"/>
          <w:sz w:val="22"/>
          <w:szCs w:val="22"/>
        </w:rPr>
      </w:pPr>
      <w:r w:rsidRPr="006C5248">
        <w:rPr>
          <w:sz w:val="22"/>
          <w:szCs w:val="22"/>
        </w:rPr>
        <w:t xml:space="preserve">Tiekėjas </w:t>
      </w:r>
      <w:r w:rsidRPr="006C5248">
        <w:rPr>
          <w:b/>
          <w:bCs/>
          <w:sz w:val="22"/>
          <w:szCs w:val="22"/>
        </w:rPr>
        <w:t>kartus su pasiūlymu</w:t>
      </w:r>
      <w:r w:rsidRPr="006C5248">
        <w:rPr>
          <w:sz w:val="22"/>
          <w:szCs w:val="22"/>
        </w:rPr>
        <w:t xml:space="preserve"> turi pateikti d</w:t>
      </w:r>
      <w:r w:rsidRPr="00A96BC1">
        <w:rPr>
          <w:color w:val="000000"/>
          <w:sz w:val="22"/>
          <w:szCs w:val="22"/>
        </w:rPr>
        <w:t>okumentą, patvirtinantį, kad tiekėjas yra oficialus siūlomos įrangos gamintojo atstovas arba turi rašytinį susitarimą su tokiu atstovu dėl prekybos šia įranga.</w:t>
      </w:r>
    </w:p>
    <w:p w14:paraId="613B6018" w14:textId="77777777" w:rsidR="00A96BC1" w:rsidRPr="00A96BC1" w:rsidRDefault="00A96BC1" w:rsidP="00A96BC1">
      <w:pPr>
        <w:pStyle w:val="NormalWeb"/>
        <w:numPr>
          <w:ilvl w:val="0"/>
          <w:numId w:val="4"/>
        </w:numPr>
        <w:spacing w:before="0" w:beforeAutospacing="0" w:after="40" w:afterAutospacing="0"/>
        <w:ind w:right="-1"/>
        <w:jc w:val="both"/>
        <w:rPr>
          <w:color w:val="000000"/>
          <w:sz w:val="22"/>
          <w:szCs w:val="22"/>
        </w:rPr>
      </w:pPr>
      <w:r w:rsidRPr="00A96BC1">
        <w:rPr>
          <w:color w:val="000000"/>
          <w:sz w:val="22"/>
          <w:szCs w:val="22"/>
        </w:rPr>
        <w:t xml:space="preserve">Tiekėjas </w:t>
      </w:r>
      <w:r w:rsidRPr="006C5248">
        <w:rPr>
          <w:b/>
          <w:bCs/>
          <w:sz w:val="22"/>
          <w:szCs w:val="22"/>
        </w:rPr>
        <w:t>kartu su pasiūlymu</w:t>
      </w:r>
      <w:r w:rsidRPr="006C5248">
        <w:rPr>
          <w:sz w:val="22"/>
          <w:szCs w:val="22"/>
        </w:rPr>
        <w:t xml:space="preserve"> </w:t>
      </w:r>
      <w:r w:rsidRPr="00A96BC1">
        <w:rPr>
          <w:color w:val="000000"/>
          <w:sz w:val="22"/>
          <w:szCs w:val="22"/>
        </w:rPr>
        <w:t xml:space="preserve">turi pateikti dokumentą, patvirtinantį, kad tiekėjas yra įrangos gamintojo įgaliotas atlikti siūlomos </w:t>
      </w:r>
      <w:r w:rsidRPr="00A96BC1">
        <w:rPr>
          <w:color w:val="000000"/>
          <w:sz w:val="22"/>
          <w:szCs w:val="22"/>
          <w:u w:val="single"/>
        </w:rPr>
        <w:t>įrangos garantinį aptarnavimą garantinio laikotarpio metu</w:t>
      </w:r>
      <w:r w:rsidRPr="00A96BC1">
        <w:rPr>
          <w:color w:val="000000"/>
          <w:sz w:val="22"/>
          <w:szCs w:val="22"/>
        </w:rPr>
        <w:t xml:space="preserve"> arba turi rašytinį susitarimą su kitu ūkio subjektu, kuris atliks šios įrangos </w:t>
      </w:r>
      <w:r w:rsidRPr="00A96BC1">
        <w:rPr>
          <w:color w:val="000000"/>
          <w:sz w:val="22"/>
          <w:szCs w:val="22"/>
          <w:u w:val="single"/>
        </w:rPr>
        <w:t>garantinį aptarnavimą</w:t>
      </w:r>
      <w:r w:rsidRPr="00A96BC1">
        <w:rPr>
          <w:i/>
          <w:color w:val="000000"/>
          <w:sz w:val="22"/>
          <w:szCs w:val="22"/>
        </w:rPr>
        <w:t>.</w:t>
      </w:r>
    </w:p>
    <w:p w14:paraId="613B6019" w14:textId="77777777" w:rsidR="00A96BC1" w:rsidRPr="00884E52" w:rsidRDefault="00A96BC1" w:rsidP="00A96BC1">
      <w:pPr>
        <w:pStyle w:val="NormalWeb"/>
        <w:numPr>
          <w:ilvl w:val="0"/>
          <w:numId w:val="4"/>
        </w:numPr>
        <w:spacing w:before="0" w:beforeAutospacing="0" w:after="40" w:afterAutospacing="0"/>
        <w:ind w:right="-2"/>
        <w:jc w:val="both"/>
        <w:rPr>
          <w:sz w:val="22"/>
          <w:szCs w:val="22"/>
        </w:rPr>
      </w:pPr>
      <w:r w:rsidRPr="00884E52">
        <w:rPr>
          <w:sz w:val="22"/>
          <w:szCs w:val="22"/>
        </w:rPr>
        <w:t xml:space="preserve">Tiekėjas turi pateikti dokumentus </w:t>
      </w:r>
      <w:r w:rsidRPr="00884E52">
        <w:rPr>
          <w:b/>
          <w:bCs/>
          <w:sz w:val="22"/>
          <w:szCs w:val="22"/>
        </w:rPr>
        <w:t>kartu su pasiūlymu</w:t>
      </w:r>
      <w:r w:rsidRPr="00884E52">
        <w:rPr>
          <w:sz w:val="22"/>
          <w:szCs w:val="22"/>
        </w:rPr>
        <w:t>,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884E52">
        <w:rPr>
          <w:i/>
          <w:iCs/>
          <w:sz w:val="22"/>
          <w:szCs w:val="22"/>
        </w:rPr>
        <w:t>pdf</w:t>
      </w:r>
      <w:proofErr w:type="spellEnd"/>
      <w:r w:rsidRPr="00884E52">
        <w:rPr>
          <w:sz w:val="22"/>
          <w:szCs w:val="22"/>
        </w:rPr>
        <w:t xml:space="preserve"> formatu). Prekių katalogai ir aprašymai pateikiami lietuvių kalba arba gali būti pateikiami anglų kalba. Jei atitinkami dokumentai yra išduoti kita, nei reikalaujama, kalba (lietuvių ar anglų), kartu turi būti pateiktas vertimas į lietuvių kalbą. Taip pat tiekėjas turi pateikti nuorodas į gamintojo interneto tinklalapį (jei toks yra), kuriame perkančiosios organizacijos vertintojai galėtų patikrinti teikiamų duomenų autentiškumą.</w:t>
      </w:r>
    </w:p>
    <w:p w14:paraId="613B601A" w14:textId="77777777" w:rsidR="00B23F0C" w:rsidRPr="00884E52" w:rsidRDefault="00B23F0C" w:rsidP="00B23F0C">
      <w:pPr>
        <w:pStyle w:val="NormalWeb"/>
        <w:numPr>
          <w:ilvl w:val="0"/>
          <w:numId w:val="4"/>
        </w:numPr>
        <w:spacing w:before="0" w:beforeAutospacing="0" w:after="40" w:afterAutospacing="0"/>
        <w:ind w:right="-2"/>
        <w:jc w:val="both"/>
        <w:rPr>
          <w:sz w:val="22"/>
          <w:szCs w:val="22"/>
        </w:rPr>
      </w:pPr>
      <w:r w:rsidRPr="00884E52">
        <w:rPr>
          <w:sz w:val="22"/>
          <w:szCs w:val="22"/>
        </w:rPr>
        <w:t xml:space="preserve">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4.4.4.5 punktu, siūlomos prekės, jų sudedamosios dalys ir (ar) jų pakuotė turi būti pažymėtos </w:t>
      </w:r>
      <w:proofErr w:type="spellStart"/>
      <w:r w:rsidRPr="00884E52">
        <w:rPr>
          <w:sz w:val="22"/>
          <w:szCs w:val="22"/>
        </w:rPr>
        <w:t>Mėbijaus</w:t>
      </w:r>
      <w:proofErr w:type="spellEnd"/>
      <w:r w:rsidRPr="00884E52">
        <w:rPr>
          <w:sz w:val="22"/>
          <w:szCs w:val="22"/>
        </w:rPr>
        <w:t xml:space="preserve"> (</w:t>
      </w:r>
      <w:proofErr w:type="spellStart"/>
      <w:r w:rsidRPr="00884E52">
        <w:rPr>
          <w:sz w:val="22"/>
          <w:szCs w:val="22"/>
        </w:rPr>
        <w:t>Mobius</w:t>
      </w:r>
      <w:proofErr w:type="spellEnd"/>
      <w:r w:rsidRPr="00884E52">
        <w:rPr>
          <w:sz w:val="22"/>
          <w:szCs w:val="22"/>
        </w:rPr>
        <w:t>) juostos ar lygiaverčiu simboliu, patvirtinančiu, kad prekė ir (ar) jo pakuotė yra pagaminta iš medžiagų, kurias galima perdirbti.</w:t>
      </w:r>
      <w:r w:rsidR="00BD7B8C" w:rsidRPr="00884E52">
        <w:rPr>
          <w:sz w:val="22"/>
          <w:szCs w:val="22"/>
        </w:rPr>
        <w:t xml:space="preserve"> </w:t>
      </w:r>
      <w:r w:rsidR="00BD7B8C" w:rsidRPr="00884E52">
        <w:rPr>
          <w:b/>
          <w:sz w:val="22"/>
          <w:szCs w:val="22"/>
        </w:rPr>
        <w:t>Pateikite tai patvirtinančius dokumentus ir/ar nuotraukas.</w:t>
      </w:r>
    </w:p>
    <w:p w14:paraId="613B601B" w14:textId="77777777" w:rsidR="00A96BC1" w:rsidRDefault="00A96BC1" w:rsidP="00A96BC1">
      <w:pPr>
        <w:pStyle w:val="ListParagraph"/>
        <w:numPr>
          <w:ilvl w:val="0"/>
          <w:numId w:val="4"/>
        </w:numPr>
        <w:ind w:right="-1"/>
        <w:jc w:val="both"/>
        <w:rPr>
          <w:sz w:val="22"/>
          <w:lang w:val="lt-LT"/>
        </w:rPr>
      </w:pPr>
      <w:r w:rsidRPr="00884E52">
        <w:rPr>
          <w:sz w:val="22"/>
          <w:lang w:val="lt-LT"/>
        </w:rPr>
        <w:t xml:space="preserve">Visoms nurodytoms konkrečioms medžiagoms ir/ar konkretiems pavadinimams, standartams ir pan. taikoma „arba lygiavertis“. Tiekėjas, siūlantis lygiavertę prekę privalo </w:t>
      </w:r>
      <w:r w:rsidRPr="00884E52">
        <w:rPr>
          <w:b/>
          <w:bCs/>
          <w:sz w:val="22"/>
          <w:lang w:val="lt-LT"/>
        </w:rPr>
        <w:t>savo pasiūlyme</w:t>
      </w:r>
      <w:r w:rsidRPr="00884E52">
        <w:rPr>
          <w:sz w:val="22"/>
          <w:lang w:val="lt-LT"/>
        </w:rPr>
        <w:t xml:space="preserve"> patikimomis priemonėmis įrodyti, kad siūloma prekė yra lygiavertė ir atitinka techninėje specifikacijoje keliamus reikalavimus.</w:t>
      </w:r>
    </w:p>
    <w:p w14:paraId="4F06E695" w14:textId="015B3E18" w:rsidR="005D0FD6" w:rsidRPr="00884E52" w:rsidRDefault="005D0FD6" w:rsidP="005D0FD6">
      <w:pPr>
        <w:pStyle w:val="ListParagraph"/>
        <w:numPr>
          <w:ilvl w:val="0"/>
          <w:numId w:val="4"/>
        </w:numPr>
        <w:ind w:right="-1"/>
        <w:jc w:val="both"/>
        <w:rPr>
          <w:sz w:val="22"/>
          <w:lang w:val="lt-LT"/>
        </w:rPr>
      </w:pPr>
      <w:r w:rsidRPr="005D0FD6">
        <w:rPr>
          <w:sz w:val="22"/>
          <w:lang w:val="lt-LT"/>
        </w:rPr>
        <w:t>Remiantis Lietuvos Respublikos Vyriausybės 2022 m. kovo 30 d. nutarimu Nr. 280, tiekėjas privalo nesiūlyti įrangos  VALSTYBIŲ AR TERITORIJŲ, KURIŲ TIEKĖJAI, JŲ SUBTIEKĖJAI, ŪKIO SUBJEKTAI, KURIŲ PAJĖGUMAIS YRA REMIAMASI, GAMINTOJAI, TECHNINĖS AR PROGRAMINĖS ĮRANGOS PRIEŽIŪRĄ IR PALAIKYMĄ VYKDANTYS ASMENYS AR JUOS KONTROLIUOJANTYS ASMENYS NELAIKOMI PATIKIMAIS.</w:t>
      </w:r>
    </w:p>
    <w:p w14:paraId="613B601C" w14:textId="77777777" w:rsidR="00F91AFB" w:rsidRDefault="00F91AFB" w:rsidP="00F91AFB">
      <w:pPr>
        <w:spacing w:line="360" w:lineRule="auto"/>
        <w:ind w:left="3534" w:firstLine="720"/>
        <w:rPr>
          <w:sz w:val="22"/>
          <w:szCs w:val="22"/>
          <w:lang w:val="lt-LT"/>
        </w:rPr>
      </w:pPr>
    </w:p>
    <w:sectPr w:rsidR="00F91AFB" w:rsidSect="00502610">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C0BF0"/>
    <w:multiLevelType w:val="hybridMultilevel"/>
    <w:tmpl w:val="3294E852"/>
    <w:lvl w:ilvl="0" w:tplc="413AC286">
      <w:start w:val="1"/>
      <w:numFmt w:val="decimal"/>
      <w:lvlText w:val="%1."/>
      <w:lvlJc w:val="left"/>
      <w:pPr>
        <w:tabs>
          <w:tab w:val="num" w:pos="1438"/>
        </w:tabs>
        <w:ind w:left="1438" w:hanging="360"/>
      </w:pPr>
      <w:rPr>
        <w:rFonts w:hint="default"/>
      </w:r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1"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3C31B44"/>
    <w:multiLevelType w:val="hybridMultilevel"/>
    <w:tmpl w:val="64CC6208"/>
    <w:lvl w:ilvl="0" w:tplc="A5E856AA">
      <w:start w:val="1"/>
      <w:numFmt w:val="decimal"/>
      <w:lvlText w:val="%1."/>
      <w:lvlJc w:val="left"/>
      <w:pPr>
        <w:tabs>
          <w:tab w:val="num" w:pos="502"/>
        </w:tabs>
        <w:ind w:left="502" w:hanging="360"/>
      </w:pPr>
    </w:lvl>
    <w:lvl w:ilvl="1" w:tplc="DDCC91DA">
      <w:start w:val="1"/>
      <w:numFmt w:val="bullet"/>
      <w:lvlText w:val=""/>
      <w:lvlJc w:val="left"/>
      <w:pPr>
        <w:tabs>
          <w:tab w:val="num" w:pos="1440"/>
        </w:tabs>
        <w:ind w:left="1440" w:hanging="360"/>
      </w:pPr>
      <w:rPr>
        <w:rFonts w:ascii="Symbol" w:hAnsi="Symbol" w:hint="default"/>
      </w:rPr>
    </w:lvl>
    <w:lvl w:ilvl="2" w:tplc="9842ABE8">
      <w:start w:val="9"/>
      <w:numFmt w:val="bullet"/>
      <w:lvlText w:val="-"/>
      <w:lvlJc w:val="left"/>
      <w:pPr>
        <w:tabs>
          <w:tab w:val="num" w:pos="2340"/>
        </w:tabs>
        <w:ind w:left="2340" w:hanging="360"/>
      </w:pPr>
      <w:rPr>
        <w:rFonts w:ascii="Times New Roman" w:eastAsia="Times New Roman" w:hAnsi="Times New Roman" w:cs="Times New Roman" w:hint="default"/>
      </w:r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B5"/>
    <w:rsid w:val="000076AE"/>
    <w:rsid w:val="0002188F"/>
    <w:rsid w:val="0003471A"/>
    <w:rsid w:val="000348D6"/>
    <w:rsid w:val="00056A28"/>
    <w:rsid w:val="0008192E"/>
    <w:rsid w:val="000C758A"/>
    <w:rsid w:val="000D4032"/>
    <w:rsid w:val="000E4A12"/>
    <w:rsid w:val="000E59CD"/>
    <w:rsid w:val="000F3EE5"/>
    <w:rsid w:val="0010478B"/>
    <w:rsid w:val="00133E31"/>
    <w:rsid w:val="001646B5"/>
    <w:rsid w:val="00183B4F"/>
    <w:rsid w:val="00185766"/>
    <w:rsid w:val="0019557C"/>
    <w:rsid w:val="001A122D"/>
    <w:rsid w:val="001A4DFF"/>
    <w:rsid w:val="001D4BC4"/>
    <w:rsid w:val="001F4962"/>
    <w:rsid w:val="002740A1"/>
    <w:rsid w:val="00282DA4"/>
    <w:rsid w:val="002E7E9A"/>
    <w:rsid w:val="003064BA"/>
    <w:rsid w:val="003518F0"/>
    <w:rsid w:val="00365EE5"/>
    <w:rsid w:val="003D75B0"/>
    <w:rsid w:val="00432282"/>
    <w:rsid w:val="004439DD"/>
    <w:rsid w:val="004A3759"/>
    <w:rsid w:val="004B5D37"/>
    <w:rsid w:val="004B73A3"/>
    <w:rsid w:val="004D2915"/>
    <w:rsid w:val="00502610"/>
    <w:rsid w:val="00521198"/>
    <w:rsid w:val="005A2835"/>
    <w:rsid w:val="005D0FD6"/>
    <w:rsid w:val="00634E13"/>
    <w:rsid w:val="00683EB2"/>
    <w:rsid w:val="006A5392"/>
    <w:rsid w:val="006C452E"/>
    <w:rsid w:val="00701039"/>
    <w:rsid w:val="007C2196"/>
    <w:rsid w:val="007C660F"/>
    <w:rsid w:val="007D0B7D"/>
    <w:rsid w:val="007E53CA"/>
    <w:rsid w:val="007E7D58"/>
    <w:rsid w:val="00814237"/>
    <w:rsid w:val="008713C9"/>
    <w:rsid w:val="0087349F"/>
    <w:rsid w:val="00883D52"/>
    <w:rsid w:val="00884E52"/>
    <w:rsid w:val="00890779"/>
    <w:rsid w:val="008A5550"/>
    <w:rsid w:val="008A7428"/>
    <w:rsid w:val="008D1D50"/>
    <w:rsid w:val="008F3B17"/>
    <w:rsid w:val="0091629A"/>
    <w:rsid w:val="0094589E"/>
    <w:rsid w:val="00A509DD"/>
    <w:rsid w:val="00A62AFF"/>
    <w:rsid w:val="00A702D7"/>
    <w:rsid w:val="00A8491D"/>
    <w:rsid w:val="00A93E30"/>
    <w:rsid w:val="00A96BC1"/>
    <w:rsid w:val="00AD787C"/>
    <w:rsid w:val="00AF60CD"/>
    <w:rsid w:val="00B073BA"/>
    <w:rsid w:val="00B23F0C"/>
    <w:rsid w:val="00B55AF5"/>
    <w:rsid w:val="00B62B0B"/>
    <w:rsid w:val="00B65E97"/>
    <w:rsid w:val="00B77898"/>
    <w:rsid w:val="00BD7B8C"/>
    <w:rsid w:val="00C12F76"/>
    <w:rsid w:val="00C44E8E"/>
    <w:rsid w:val="00CA0976"/>
    <w:rsid w:val="00CB5DAC"/>
    <w:rsid w:val="00CC38F2"/>
    <w:rsid w:val="00D3028D"/>
    <w:rsid w:val="00D3549D"/>
    <w:rsid w:val="00D444B9"/>
    <w:rsid w:val="00D55366"/>
    <w:rsid w:val="00D9176F"/>
    <w:rsid w:val="00DA2D5A"/>
    <w:rsid w:val="00DB01C6"/>
    <w:rsid w:val="00DE79DD"/>
    <w:rsid w:val="00E01E1F"/>
    <w:rsid w:val="00E8535F"/>
    <w:rsid w:val="00EA116B"/>
    <w:rsid w:val="00EE718B"/>
    <w:rsid w:val="00F21F33"/>
    <w:rsid w:val="00F31104"/>
    <w:rsid w:val="00F31911"/>
    <w:rsid w:val="00F51793"/>
    <w:rsid w:val="00F91AFB"/>
    <w:rsid w:val="00FB1012"/>
    <w:rsid w:val="00FB17DC"/>
    <w:rsid w:val="00FE1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B5FDB"/>
  <w15:docId w15:val="{EDA52706-D55C-4147-8B30-2F3BD326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9DD"/>
    <w:rPr>
      <w:sz w:val="24"/>
      <w:szCs w:val="24"/>
      <w:lang w:val="en-GB"/>
    </w:rPr>
  </w:style>
  <w:style w:type="paragraph" w:styleId="Heading1">
    <w:name w:val="heading 1"/>
    <w:basedOn w:val="Normal"/>
    <w:next w:val="Normal"/>
    <w:qFormat/>
    <w:rsid w:val="004439DD"/>
    <w:pPr>
      <w:keepNext/>
      <w:widowControl w:val="0"/>
      <w:shd w:val="clear" w:color="auto" w:fill="FFFFFF"/>
      <w:jc w:val="right"/>
      <w:outlineLvl w:val="0"/>
    </w:pPr>
    <w:rPr>
      <w:b/>
      <w:color w:val="000000"/>
      <w:sz w:val="22"/>
      <w:szCs w:val="22"/>
      <w:lang w:val="lt-LT"/>
    </w:rPr>
  </w:style>
  <w:style w:type="paragraph" w:styleId="Heading2">
    <w:name w:val="heading 2"/>
    <w:basedOn w:val="Normal"/>
    <w:next w:val="Normal"/>
    <w:qFormat/>
    <w:rsid w:val="004439DD"/>
    <w:pPr>
      <w:keepNext/>
      <w:spacing w:before="360" w:after="240"/>
      <w:jc w:val="center"/>
      <w:outlineLvl w:val="1"/>
    </w:pPr>
    <w:rPr>
      <w:b/>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6BC1"/>
    <w:pPr>
      <w:spacing w:before="100" w:beforeAutospacing="1" w:after="100" w:afterAutospacing="1"/>
    </w:pPr>
    <w:rPr>
      <w:lang w:val="lt-LT" w:eastAsia="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etai Char"/>
    <w:link w:val="ListParagraph"/>
    <w:uiPriority w:val="34"/>
    <w:qFormat/>
    <w:locked/>
    <w:rsid w:val="00A96BC1"/>
    <w:rPr>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Buletai,Bullet EY,List Paragraph1,List Paragraph111,Paragraph"/>
    <w:basedOn w:val="Normal"/>
    <w:link w:val="ListParagraphChar"/>
    <w:uiPriority w:val="34"/>
    <w:qFormat/>
    <w:rsid w:val="00A96BC1"/>
    <w:pPr>
      <w:suppressAutoHyphens/>
      <w:ind w:left="720"/>
    </w:pPr>
    <w:rPr>
      <w:sz w:val="20"/>
      <w:szCs w:val="20"/>
      <w:bdr w:val="none" w:sz="0" w:space="0" w:color="auto" w:frame="1"/>
      <w:lang w:eastAsia="ar-SA"/>
    </w:rPr>
  </w:style>
  <w:style w:type="paragraph" w:customStyle="1" w:styleId="Body2">
    <w:name w:val="Body 2"/>
    <w:rsid w:val="00A96BC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42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78E61-03B6-4606-9D74-E07F955D44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0C2839-9A85-44F4-8BB5-44DC878A63DD}">
  <ds:schemaRefs>
    <ds:schemaRef ds:uri="http://schemas.microsoft.com/sharepoint/v3/contenttype/forms"/>
  </ds:schemaRefs>
</ds:datastoreItem>
</file>

<file path=customXml/itemProps3.xml><?xml version="1.0" encoding="utf-8"?>
<ds:datastoreItem xmlns:ds="http://schemas.openxmlformats.org/officeDocument/2006/customXml" ds:itemID="{74EF40C1-42CE-4C71-9F23-D0F804472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3187</Words>
  <Characters>1817</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TVIRTINU:</vt:lpstr>
    </vt:vector>
  </TitlesOfParts>
  <Company>KMUK</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Tiekimas</dc:creator>
  <cp:lastModifiedBy>Lina Glebė</cp:lastModifiedBy>
  <cp:revision>3</cp:revision>
  <cp:lastPrinted>2014-01-30T07:57:00Z</cp:lastPrinted>
  <dcterms:created xsi:type="dcterms:W3CDTF">2025-03-17T14:05:00Z</dcterms:created>
  <dcterms:modified xsi:type="dcterms:W3CDTF">2025-03-18T12:17:00Z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