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C44D76B" w14:textId="77777777" w:rsidR="0058610D" w:rsidRDefault="006A6AAD" w:rsidP="00416E78">
      <w:pPr>
        <w:jc w:val="center"/>
        <w:rPr>
          <w:b/>
          <w:sz w:val="28"/>
          <w:szCs w:val="28"/>
        </w:rPr>
      </w:pPr>
      <w:r>
        <w:rPr>
          <w:b/>
          <w:sz w:val="28"/>
          <w:szCs w:val="28"/>
        </w:rPr>
        <w:t xml:space="preserve">KLIMATINĖ KAMERA </w:t>
      </w:r>
    </w:p>
    <w:p w14:paraId="70812FFC" w14:textId="350FDAAC" w:rsidR="0058610D" w:rsidRDefault="006A6AAD" w:rsidP="00416E78">
      <w:pPr>
        <w:jc w:val="center"/>
        <w:rPr>
          <w:b/>
          <w:sz w:val="28"/>
          <w:szCs w:val="28"/>
        </w:rPr>
      </w:pPr>
      <w:r>
        <w:rPr>
          <w:b/>
          <w:sz w:val="28"/>
          <w:szCs w:val="28"/>
        </w:rPr>
        <w:t xml:space="preserve">(SU </w:t>
      </w:r>
      <w:r w:rsidR="0058610D">
        <w:rPr>
          <w:b/>
          <w:sz w:val="28"/>
          <w:szCs w:val="28"/>
        </w:rPr>
        <w:t>UV, TEMPERATŪROS IR DRĖGNUMO PARAMETRŲ VALDYMU)</w:t>
      </w:r>
    </w:p>
    <w:p w14:paraId="4B0F97B0" w14:textId="08278E0D"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7A25EB59" w:rsidR="00B736E3" w:rsidRPr="00304A53" w:rsidRDefault="00D0419A" w:rsidP="00990349">
            <w:pPr>
              <w:jc w:val="both"/>
              <w:rPr>
                <w:rFonts w:cstheme="minorHAnsi"/>
              </w:rPr>
            </w:pPr>
            <w:r w:rsidRPr="00D0419A">
              <w:rPr>
                <w:rFonts w:cstheme="minorHAnsi"/>
              </w:rPr>
              <w:t>Klimatinė kamera su UV, temperatūros ir drėgnumo parametrų valdymu</w:t>
            </w:r>
            <w:r w:rsidR="00990349">
              <w:rPr>
                <w:rFonts w:cstheme="minorHAnsi"/>
              </w:rPr>
              <w:t xml:space="preserve"> </w:t>
            </w:r>
            <w:r w:rsidR="00304A53">
              <w:t>(</w:t>
            </w:r>
            <w:r w:rsidR="00DD4FF5">
              <w:t xml:space="preserve">įskaitant </w:t>
            </w:r>
            <w:r w:rsidR="00B736E3" w:rsidRPr="00304A53">
              <w:rPr>
                <w:rFonts w:cstheme="minorHAnsi"/>
              </w:rPr>
              <w:t>j</w:t>
            </w:r>
            <w:r w:rsidR="00E445EC">
              <w:rPr>
                <w:rFonts w:cstheme="minorHAnsi"/>
              </w:rPr>
              <w:t>o</w:t>
            </w:r>
            <w:r w:rsidR="00990349">
              <w:rPr>
                <w:rFonts w:cstheme="minorHAnsi"/>
              </w:rPr>
              <w:t>s</w:t>
            </w:r>
            <w:r w:rsidR="00B736E3" w:rsidRPr="00304A53">
              <w:rPr>
                <w:rFonts w:cstheme="minorHAnsi"/>
              </w:rPr>
              <w:t xml:space="preserve"> 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įdiegim</w:t>
            </w:r>
            <w:r w:rsidR="00DD4FF5">
              <w:rPr>
                <w:rFonts w:cstheme="minorHAnsi"/>
              </w:rPr>
              <w:t>ą</w:t>
            </w:r>
            <w:r w:rsidR="00B736E3" w:rsidRPr="00304A53">
              <w:rPr>
                <w:rFonts w:cstheme="minorHAnsi"/>
              </w:rPr>
              <w:t>, išbandym</w:t>
            </w:r>
            <w:r w:rsidR="00DD4FF5">
              <w:rPr>
                <w:rFonts w:cstheme="minorHAnsi"/>
              </w:rPr>
              <w:t xml:space="preserve">ą, </w:t>
            </w:r>
            <w:r w:rsidR="00B736E3" w:rsidRPr="00304A53">
              <w:rPr>
                <w:rFonts w:cstheme="minorHAnsi"/>
              </w:rPr>
              <w:t>veikimo ir valdymo funkcijų pademonstravim</w:t>
            </w:r>
            <w:r w:rsidR="00C61B31">
              <w:rPr>
                <w:rFonts w:cstheme="minorHAnsi"/>
              </w:rPr>
              <w:t>ą</w:t>
            </w:r>
            <w:r w:rsidR="00C73075">
              <w:rPr>
                <w:rFonts w:cstheme="minorHAnsi"/>
              </w:rPr>
              <w:t>, Pirkėjo darbuotojų apmokym</w:t>
            </w:r>
            <w:r w:rsidR="00C61B31">
              <w:rPr>
                <w:rFonts w:cstheme="minorHAnsi"/>
              </w:rPr>
              <w:t>ą</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77777777"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 xml:space="preserve">irkimo sąlygų 2 priede „Techninė specifikacija“ nurodyta lentelė „Detalios techninės specifikacijos“.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w:t>
      </w:r>
      <w:r w:rsidRPr="0045180C">
        <w:rPr>
          <w:rFonts w:eastAsia="Calibri"/>
          <w:sz w:val="22"/>
          <w:szCs w:val="22"/>
        </w:rPr>
        <w:lastRenderedPageBreak/>
        <w:t xml:space="preserve">(ar)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FCE0" w14:textId="77777777" w:rsidR="00834CFD" w:rsidRDefault="00834CFD" w:rsidP="00D5620E">
      <w:r>
        <w:separator/>
      </w:r>
    </w:p>
  </w:endnote>
  <w:endnote w:type="continuationSeparator" w:id="0">
    <w:p w14:paraId="24FDA896" w14:textId="77777777" w:rsidR="00834CFD" w:rsidRDefault="00834CFD"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7AA8" w14:textId="77777777" w:rsidR="00834CFD" w:rsidRDefault="00834CFD" w:rsidP="00D5620E">
      <w:r>
        <w:separator/>
      </w:r>
    </w:p>
  </w:footnote>
  <w:footnote w:type="continuationSeparator" w:id="0">
    <w:p w14:paraId="205EEB0F" w14:textId="77777777" w:rsidR="00834CFD" w:rsidRDefault="00834CFD"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028"/>
    <w:rsid w:val="00507D8B"/>
    <w:rsid w:val="00513444"/>
    <w:rsid w:val="005237AF"/>
    <w:rsid w:val="005257E7"/>
    <w:rsid w:val="00525F3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8610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A6AAD"/>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34CFD"/>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0349"/>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11B9"/>
    <w:rsid w:val="00BE1307"/>
    <w:rsid w:val="00BE42FA"/>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7CB2"/>
    <w:rsid w:val="00CE3CF8"/>
    <w:rsid w:val="00CE4142"/>
    <w:rsid w:val="00CE4F23"/>
    <w:rsid w:val="00CE7EF3"/>
    <w:rsid w:val="00CF0EED"/>
    <w:rsid w:val="00CF2275"/>
    <w:rsid w:val="00D0419A"/>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5524</Words>
  <Characters>3149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199</cp:revision>
  <dcterms:created xsi:type="dcterms:W3CDTF">2024-08-26T11:23:00Z</dcterms:created>
  <dcterms:modified xsi:type="dcterms:W3CDTF">2025-03-12T09:03:00Z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