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2D6F479" w:rsidR="00B90F6F" w:rsidRPr="00DE1869" w:rsidRDefault="00466E2B" w:rsidP="009B380A">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9B380A">
              <w:t>4</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0B8C90E3"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DB0419">
        <w:rPr>
          <w:rFonts w:cs="Times New Roman"/>
          <w:bCs/>
          <w:lang w:val="lt-LT"/>
        </w:rPr>
        <w:t>„</w:t>
      </w:r>
      <w:proofErr w:type="spellStart"/>
      <w:r w:rsidR="00844676">
        <w:rPr>
          <w:rFonts w:eastAsia="LiberationSerif-Bold" w:cs="Times New Roman"/>
          <w:b/>
          <w:bCs/>
          <w:lang w:val="lt-LT" w:eastAsia="lt-LT"/>
        </w:rPr>
        <w:t>Fototerapijos</w:t>
      </w:r>
      <w:proofErr w:type="spellEnd"/>
      <w:r w:rsidR="00844676">
        <w:rPr>
          <w:rFonts w:eastAsia="LiberationSerif-Bold" w:cs="Times New Roman"/>
          <w:b/>
          <w:bCs/>
          <w:lang w:val="lt-LT" w:eastAsia="lt-LT"/>
        </w:rPr>
        <w:t xml:space="preserve"> įranga naujagimiams</w:t>
      </w:r>
      <w:r w:rsidR="00B71C39">
        <w:rPr>
          <w:rFonts w:cs="Times New Roman"/>
          <w:b/>
          <w:bCs/>
          <w:lang w:val="lt-LT" w:eastAsia="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2"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2"/>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76DBCCDB" w:rsidR="00BC2C75" w:rsidRPr="00317562"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0435D7EF" w14:textId="77777777" w:rsidR="00C33505" w:rsidRPr="00BC65E0" w:rsidRDefault="00C33505" w:rsidP="00C33505">
      <w:pPr>
        <w:pStyle w:val="Body2"/>
        <w:spacing w:after="0"/>
        <w:rPr>
          <w:rFonts w:cs="Times New Roman"/>
          <w:color w:val="00000A"/>
          <w:shd w:val="clear" w:color="auto" w:fill="FFFFFF"/>
          <w:lang w:val="lt-LT"/>
        </w:rPr>
      </w:pPr>
      <w:bookmarkStart w:id="3" w:name="_GoBack"/>
      <w:bookmarkEnd w:id="3"/>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LiberationSerif-Bold">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66970F37" w:rsidR="00564B50" w:rsidRDefault="00564B50">
        <w:pPr>
          <w:pStyle w:val="Footer"/>
          <w:jc w:val="right"/>
        </w:pPr>
        <w:r>
          <w:fldChar w:fldCharType="begin"/>
        </w:r>
        <w:r>
          <w:instrText>PAGE   \* MERGEFORMAT</w:instrText>
        </w:r>
        <w:r>
          <w:fldChar w:fldCharType="separate"/>
        </w:r>
        <w:r w:rsidR="00D455FE">
          <w:rPr>
            <w:noProof/>
          </w:rPr>
          <w:t>3</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60806"/>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2741"/>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17562"/>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6C66"/>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4676"/>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55FE"/>
    <w:rsid w:val="00D46768"/>
    <w:rsid w:val="00D4705F"/>
    <w:rsid w:val="00D50FF1"/>
    <w:rsid w:val="00D51452"/>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419"/>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C000D"/>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51D6A"/>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74DA-2B9D-4998-B5F8-02FC96B6C50C}">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831EC5-93AD-40BC-BEDE-54576C9C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5030</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4</cp:revision>
  <cp:lastPrinted>2021-03-17T09:19:00Z</cp:lastPrinted>
  <dcterms:created xsi:type="dcterms:W3CDTF">2025-03-18T13:40:00Z</dcterms:created>
  <dcterms:modified xsi:type="dcterms:W3CDTF">2025-03-18T13:41:00Z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