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EEE2" w14:textId="39273365" w:rsidR="00FF7CB9" w:rsidRPr="00FF7CB9" w:rsidRDefault="00E04C3F" w:rsidP="00675B9C">
      <w:pPr>
        <w:spacing w:after="0" w:line="240" w:lineRule="auto"/>
        <w:ind w:left="10800" w:hanging="452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EF42CA">
        <w:rPr>
          <w:rFonts w:ascii="Times New Roman" w:hAnsi="Times New Roman"/>
          <w:b/>
          <w:sz w:val="24"/>
          <w:szCs w:val="24"/>
          <w:lang w:val="lt-LT"/>
        </w:rPr>
        <w:t>9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52D37D5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22C3B727" w14:textId="77777777" w:rsidR="00FF7CB9" w:rsidRDefault="00FF7CB9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495625AA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8EFC41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7141D428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574F8C6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73786951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70"/>
        <w:gridCol w:w="2126"/>
        <w:gridCol w:w="2693"/>
        <w:gridCol w:w="6126"/>
      </w:tblGrid>
      <w:tr w:rsidR="00DD7694" w:rsidRPr="00E82522" w14:paraId="69F4134D" w14:textId="77777777" w:rsidTr="00AA7B95">
        <w:tc>
          <w:tcPr>
            <w:tcW w:w="675" w:type="dxa"/>
            <w:vAlign w:val="center"/>
          </w:tcPr>
          <w:p w14:paraId="6D6D3AC4" w14:textId="77777777" w:rsidR="00DD7694" w:rsidRPr="00E82522" w:rsidRDefault="00DD769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870" w:type="dxa"/>
            <w:vAlign w:val="center"/>
          </w:tcPr>
          <w:p w14:paraId="1274523D" w14:textId="77777777" w:rsidR="00DD7694" w:rsidRPr="00E82522" w:rsidRDefault="00DD769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26" w:type="dxa"/>
            <w:vAlign w:val="center"/>
          </w:tcPr>
          <w:p w14:paraId="1383AA55" w14:textId="77777777" w:rsidR="00DD7694" w:rsidRPr="00E82522" w:rsidRDefault="00DD769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693" w:type="dxa"/>
            <w:vAlign w:val="center"/>
          </w:tcPr>
          <w:p w14:paraId="3D2A2CE3" w14:textId="77777777" w:rsidR="00DD7694" w:rsidRPr="00E82522" w:rsidRDefault="00DD769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126" w:type="dxa"/>
            <w:vAlign w:val="center"/>
          </w:tcPr>
          <w:p w14:paraId="1608C82D" w14:textId="77777777" w:rsidR="00DD7694" w:rsidRPr="00541262" w:rsidRDefault="00AA7B95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kvalifikaciją ir profesinę patirtį</w:t>
            </w:r>
          </w:p>
        </w:tc>
      </w:tr>
      <w:tr w:rsidR="00975640" w:rsidRPr="00975640" w14:paraId="49946A02" w14:textId="77777777" w:rsidTr="00AA7B95">
        <w:tc>
          <w:tcPr>
            <w:tcW w:w="675" w:type="dxa"/>
          </w:tcPr>
          <w:p w14:paraId="53957093" w14:textId="77777777" w:rsidR="00975640" w:rsidRPr="00132116" w:rsidRDefault="00975640" w:rsidP="00975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70" w:type="dxa"/>
          </w:tcPr>
          <w:p w14:paraId="270C9E0E" w14:textId="77777777" w:rsidR="00975640" w:rsidRPr="00132116" w:rsidRDefault="00975640" w:rsidP="00975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2A185315" w14:textId="7FE70A2F" w:rsidR="00975640" w:rsidRPr="00FE1BD1" w:rsidRDefault="00975640" w:rsidP="00975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BD1">
              <w:rPr>
                <w:rFonts w:ascii="Times New Roman" w:hAnsi="Times New Roman"/>
                <w:sz w:val="24"/>
                <w:szCs w:val="24"/>
                <w:lang w:val="lt-LT"/>
              </w:rPr>
              <w:t>Statinio  projekto vadovas</w:t>
            </w:r>
          </w:p>
        </w:tc>
        <w:tc>
          <w:tcPr>
            <w:tcW w:w="2693" w:type="dxa"/>
          </w:tcPr>
          <w:p w14:paraId="023817DC" w14:textId="77777777" w:rsidR="00975640" w:rsidRPr="00551261" w:rsidRDefault="00975640" w:rsidP="00975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126" w:type="dxa"/>
          </w:tcPr>
          <w:p w14:paraId="50E8764C" w14:textId="77777777" w:rsidR="00975640" w:rsidRPr="002A2B0C" w:rsidRDefault="00975640" w:rsidP="00975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Reikalavimo atitikčiai pagrįsti pateikiami </w:t>
            </w:r>
            <w:r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1775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išduoti kvalifikacijos atestatai ar (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specialistui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 užsienio) </w:t>
            </w:r>
            <w:r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F58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išduotas teisės pripažinimo dokumentas.</w:t>
            </w:r>
          </w:p>
          <w:p w14:paraId="010F0FD7" w14:textId="77777777" w:rsidR="00975640" w:rsidRDefault="00975640" w:rsidP="00975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Pateikiamos skaitmeninės dokumentų kopijos.</w:t>
            </w:r>
          </w:p>
          <w:p w14:paraId="111ABB69" w14:textId="77777777" w:rsidR="00975640" w:rsidRPr="00551261" w:rsidRDefault="00975640" w:rsidP="00975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5640" w:rsidRPr="00975640" w14:paraId="019FDFB2" w14:textId="77777777" w:rsidTr="00AA7B95">
        <w:trPr>
          <w:trHeight w:val="70"/>
        </w:trPr>
        <w:tc>
          <w:tcPr>
            <w:tcW w:w="675" w:type="dxa"/>
          </w:tcPr>
          <w:p w14:paraId="5DB3B7C6" w14:textId="77777777" w:rsidR="00975640" w:rsidRDefault="00975640" w:rsidP="00975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870" w:type="dxa"/>
          </w:tcPr>
          <w:p w14:paraId="529E1A18" w14:textId="77777777" w:rsidR="00975640" w:rsidRPr="00132116" w:rsidRDefault="00975640" w:rsidP="00975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65BEB87" w14:textId="5D7EB2F8" w:rsidR="00975640" w:rsidRPr="00FE1BD1" w:rsidRDefault="00975640" w:rsidP="00975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BD1">
              <w:rPr>
                <w:rFonts w:ascii="Times New Roman" w:hAnsi="Times New Roman"/>
                <w:sz w:val="24"/>
                <w:szCs w:val="24"/>
                <w:lang w:val="lt-LT"/>
              </w:rPr>
              <w:t>Statinio statybos vadovas</w:t>
            </w:r>
          </w:p>
        </w:tc>
        <w:tc>
          <w:tcPr>
            <w:tcW w:w="2693" w:type="dxa"/>
          </w:tcPr>
          <w:p w14:paraId="5F676798" w14:textId="77777777" w:rsidR="00975640" w:rsidRPr="00551261" w:rsidRDefault="00975640" w:rsidP="00975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126" w:type="dxa"/>
          </w:tcPr>
          <w:p w14:paraId="39DF507F" w14:textId="77777777" w:rsidR="00975640" w:rsidRPr="002A2B0C" w:rsidRDefault="00975640" w:rsidP="00975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Reikalavimo atitikčiai pagrįsti pateikiami </w:t>
            </w:r>
            <w:r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1775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išduoti kvalifikacijos atestatai ar (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specialistui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 užsienio) </w:t>
            </w:r>
            <w:r w:rsidRPr="000B7832">
              <w:rPr>
                <w:rFonts w:ascii="Times New Roman" w:hAnsi="Times New Roman"/>
                <w:sz w:val="24"/>
                <w:szCs w:val="24"/>
                <w:lang w:val="lt-LT"/>
              </w:rPr>
              <w:t>VšĮ Statybos sektoriaus vystymo agentūros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F584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(buv. VĮ Statybos produkcijos sertifikavimo centro) </w:t>
            </w: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išduotas teisės pripažinimo dokumentas.</w:t>
            </w:r>
          </w:p>
          <w:p w14:paraId="041DADC4" w14:textId="471FE41D" w:rsidR="00975640" w:rsidRPr="00551261" w:rsidRDefault="00975640" w:rsidP="00975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2B0C">
              <w:rPr>
                <w:rFonts w:ascii="Times New Roman" w:hAnsi="Times New Roman"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6D555893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33DFFC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724B12C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45ADAAB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327C18FC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5DD74CD8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7ABD762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06728713" w14:textId="77777777" w:rsidR="00650921" w:rsidRPr="00132116" w:rsidRDefault="00650921" w:rsidP="00650921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72B4876A" w14:textId="77777777" w:rsidR="00650921" w:rsidRDefault="00650921" w:rsidP="00650921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12BBF176" w14:textId="285ABB0E" w:rsidR="00650921" w:rsidRPr="00FF7CB9" w:rsidRDefault="00650921" w:rsidP="00650921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ir pridėti reikalaujamus dokumentus, kaip nurodyta </w:t>
      </w:r>
      <w:r>
        <w:rPr>
          <w:rFonts w:ascii="Times New Roman" w:hAnsi="Times New Roman"/>
          <w:sz w:val="24"/>
          <w:szCs w:val="24"/>
          <w:lang w:val="lt-LT"/>
        </w:rPr>
        <w:t>pirkimo</w:t>
      </w:r>
      <w:r w:rsidRPr="00D1612A">
        <w:rPr>
          <w:rFonts w:ascii="Times New Roman" w:hAnsi="Times New Roman"/>
          <w:sz w:val="24"/>
          <w:szCs w:val="24"/>
          <w:lang w:val="lt-LT"/>
        </w:rPr>
        <w:t xml:space="preserve"> sąlygų 1</w:t>
      </w:r>
      <w:r w:rsidR="006668C6">
        <w:rPr>
          <w:rFonts w:ascii="Times New Roman" w:hAnsi="Times New Roman"/>
          <w:sz w:val="24"/>
          <w:szCs w:val="24"/>
          <w:lang w:val="lt-LT"/>
        </w:rPr>
        <w:t>6</w:t>
      </w:r>
      <w:r w:rsidRPr="00D1612A">
        <w:rPr>
          <w:rFonts w:ascii="Times New Roman" w:hAnsi="Times New Roman"/>
          <w:sz w:val="24"/>
          <w:szCs w:val="24"/>
          <w:lang w:val="lt-LT"/>
        </w:rPr>
        <w:t>.</w:t>
      </w:r>
      <w:r w:rsidR="0027380A">
        <w:rPr>
          <w:rFonts w:ascii="Times New Roman" w:hAnsi="Times New Roman"/>
          <w:sz w:val="24"/>
          <w:szCs w:val="24"/>
          <w:lang w:val="lt-LT"/>
        </w:rPr>
        <w:t>2</w:t>
      </w:r>
      <w:r w:rsidRPr="00D1612A">
        <w:rPr>
          <w:rFonts w:ascii="Times New Roman" w:hAnsi="Times New Roman"/>
          <w:sz w:val="24"/>
          <w:szCs w:val="24"/>
          <w:lang w:val="lt-LT"/>
        </w:rPr>
        <w:t xml:space="preserve"> punkte</w:t>
      </w:r>
      <w:r w:rsidRPr="00E82522">
        <w:rPr>
          <w:rFonts w:ascii="Times New Roman" w:hAnsi="Times New Roman"/>
          <w:sz w:val="24"/>
          <w:szCs w:val="24"/>
          <w:lang w:val="lt-LT"/>
        </w:rPr>
        <w:t>.</w:t>
      </w:r>
    </w:p>
    <w:p w14:paraId="4F2AEA66" w14:textId="77777777" w:rsidR="00650921" w:rsidRDefault="00650921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sectPr w:rsidR="00650921" w:rsidSect="00E82522">
      <w:headerReference w:type="default" r:id="rId6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654C" w14:textId="77777777" w:rsidR="00145FB8" w:rsidRDefault="00145FB8" w:rsidP="00E82522">
      <w:pPr>
        <w:spacing w:after="0" w:line="240" w:lineRule="auto"/>
      </w:pPr>
      <w:r>
        <w:separator/>
      </w:r>
    </w:p>
  </w:endnote>
  <w:endnote w:type="continuationSeparator" w:id="0">
    <w:p w14:paraId="4101EE21" w14:textId="77777777" w:rsidR="00145FB8" w:rsidRDefault="00145FB8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30DE" w14:textId="77777777" w:rsidR="00145FB8" w:rsidRDefault="00145FB8" w:rsidP="00E82522">
      <w:pPr>
        <w:spacing w:after="0" w:line="240" w:lineRule="auto"/>
      </w:pPr>
      <w:r>
        <w:separator/>
      </w:r>
    </w:p>
  </w:footnote>
  <w:footnote w:type="continuationSeparator" w:id="0">
    <w:p w14:paraId="55432738" w14:textId="77777777" w:rsidR="00145FB8" w:rsidRDefault="00145FB8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92C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243">
      <w:rPr>
        <w:noProof/>
      </w:rPr>
      <w:t>2</w:t>
    </w:r>
    <w:r>
      <w:fldChar w:fldCharType="end"/>
    </w:r>
  </w:p>
  <w:p w14:paraId="47DF0E2C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25EA4"/>
    <w:rsid w:val="000A020E"/>
    <w:rsid w:val="00132116"/>
    <w:rsid w:val="00145FB8"/>
    <w:rsid w:val="00186FFA"/>
    <w:rsid w:val="001E1C83"/>
    <w:rsid w:val="001F146F"/>
    <w:rsid w:val="001F540F"/>
    <w:rsid w:val="00200C80"/>
    <w:rsid w:val="0020266D"/>
    <w:rsid w:val="0027380A"/>
    <w:rsid w:val="002C1616"/>
    <w:rsid w:val="002F18EA"/>
    <w:rsid w:val="0035689B"/>
    <w:rsid w:val="00391220"/>
    <w:rsid w:val="003925EF"/>
    <w:rsid w:val="003F0908"/>
    <w:rsid w:val="003F1776"/>
    <w:rsid w:val="00411647"/>
    <w:rsid w:val="004740DE"/>
    <w:rsid w:val="004768CD"/>
    <w:rsid w:val="00495645"/>
    <w:rsid w:val="00495FE8"/>
    <w:rsid w:val="004E1498"/>
    <w:rsid w:val="00532B09"/>
    <w:rsid w:val="00541262"/>
    <w:rsid w:val="00551261"/>
    <w:rsid w:val="00581A2E"/>
    <w:rsid w:val="005A60E3"/>
    <w:rsid w:val="005C58EE"/>
    <w:rsid w:val="005D59B7"/>
    <w:rsid w:val="005D7B4D"/>
    <w:rsid w:val="005E29C5"/>
    <w:rsid w:val="005E6243"/>
    <w:rsid w:val="00620A21"/>
    <w:rsid w:val="006242AC"/>
    <w:rsid w:val="0062791F"/>
    <w:rsid w:val="00631A00"/>
    <w:rsid w:val="0064045B"/>
    <w:rsid w:val="00650921"/>
    <w:rsid w:val="006604D6"/>
    <w:rsid w:val="006618B1"/>
    <w:rsid w:val="006668C6"/>
    <w:rsid w:val="00671B8A"/>
    <w:rsid w:val="00675B9C"/>
    <w:rsid w:val="00694852"/>
    <w:rsid w:val="006F434A"/>
    <w:rsid w:val="00726D18"/>
    <w:rsid w:val="00731339"/>
    <w:rsid w:val="00756056"/>
    <w:rsid w:val="00764CA5"/>
    <w:rsid w:val="00766490"/>
    <w:rsid w:val="00775D4D"/>
    <w:rsid w:val="007B34FE"/>
    <w:rsid w:val="0080690C"/>
    <w:rsid w:val="00814710"/>
    <w:rsid w:val="0085197E"/>
    <w:rsid w:val="00861BFB"/>
    <w:rsid w:val="0088793F"/>
    <w:rsid w:val="008B7707"/>
    <w:rsid w:val="00910761"/>
    <w:rsid w:val="00911B6A"/>
    <w:rsid w:val="009122A7"/>
    <w:rsid w:val="009416FD"/>
    <w:rsid w:val="009515AF"/>
    <w:rsid w:val="00975640"/>
    <w:rsid w:val="009E2A24"/>
    <w:rsid w:val="00A0519E"/>
    <w:rsid w:val="00A47BAB"/>
    <w:rsid w:val="00A70960"/>
    <w:rsid w:val="00A7791C"/>
    <w:rsid w:val="00A80779"/>
    <w:rsid w:val="00AA7B95"/>
    <w:rsid w:val="00AB39EA"/>
    <w:rsid w:val="00AC6B54"/>
    <w:rsid w:val="00AE2F25"/>
    <w:rsid w:val="00B831E8"/>
    <w:rsid w:val="00BB795E"/>
    <w:rsid w:val="00BC62DA"/>
    <w:rsid w:val="00C037DB"/>
    <w:rsid w:val="00C129C8"/>
    <w:rsid w:val="00C6003E"/>
    <w:rsid w:val="00C75381"/>
    <w:rsid w:val="00C7621F"/>
    <w:rsid w:val="00C8548D"/>
    <w:rsid w:val="00CC40BA"/>
    <w:rsid w:val="00CE59F6"/>
    <w:rsid w:val="00D37FEA"/>
    <w:rsid w:val="00D55A30"/>
    <w:rsid w:val="00D8713B"/>
    <w:rsid w:val="00D92793"/>
    <w:rsid w:val="00DD7694"/>
    <w:rsid w:val="00E04C3F"/>
    <w:rsid w:val="00E82522"/>
    <w:rsid w:val="00E93311"/>
    <w:rsid w:val="00E95466"/>
    <w:rsid w:val="00EA4CB5"/>
    <w:rsid w:val="00EE5C50"/>
    <w:rsid w:val="00EF42CA"/>
    <w:rsid w:val="00F1419F"/>
    <w:rsid w:val="00F14CA2"/>
    <w:rsid w:val="00F5408B"/>
    <w:rsid w:val="00F64483"/>
    <w:rsid w:val="00F8056C"/>
    <w:rsid w:val="00F81393"/>
    <w:rsid w:val="00FA63F9"/>
    <w:rsid w:val="00FD460F"/>
    <w:rsid w:val="00FE1BD1"/>
    <w:rsid w:val="00FF318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D16E"/>
  <w15:chartTrackingRefBased/>
  <w15:docId w15:val="{3A2846BE-7274-47BC-A8FA-E159EFC2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Viešųjų pirkimų skyrius</cp:lastModifiedBy>
  <cp:revision>18</cp:revision>
  <dcterms:created xsi:type="dcterms:W3CDTF">2022-11-22T11:16:00Z</dcterms:created>
  <dcterms:modified xsi:type="dcterms:W3CDTF">2025-03-14T06:47:00Z</dcterms:modified>
</cp:coreProperties>
</file>