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50EBFDD" w:rsidR="00491677" w:rsidRPr="00A84FFE" w:rsidRDefault="00491677" w:rsidP="00491677">
      <w:pPr>
        <w:ind w:left="5760" w:firstLine="720"/>
        <w:jc w:val="both"/>
      </w:pPr>
      <w:r w:rsidRPr="00A84FFE">
        <w:t xml:space="preserve">bataliono vado </w:t>
      </w:r>
      <w:r w:rsidRPr="00A84FFE">
        <w:rPr>
          <w:bCs/>
          <w:szCs w:val="20"/>
        </w:rPr>
        <w:t>202</w:t>
      </w:r>
      <w:r w:rsidR="00121B51">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CDA3F83" w:rsidR="007F0B5B" w:rsidRPr="0063141E" w:rsidRDefault="00F64FC1" w:rsidP="00980660">
      <w:pPr>
        <w:jc w:val="center"/>
        <w:rPr>
          <w:b/>
        </w:rPr>
      </w:pPr>
      <w:r w:rsidRPr="00F64FC1">
        <w:rPr>
          <w:b/>
          <w:iCs/>
          <w:caps/>
          <w:u w:val="single"/>
        </w:rPr>
        <w:t>LAN kabelių matuokli</w:t>
      </w:r>
      <w:r>
        <w:rPr>
          <w:b/>
          <w:iCs/>
          <w:caps/>
          <w:u w:val="single"/>
        </w:rPr>
        <w:t>Ų</w:t>
      </w:r>
      <w:r w:rsidRPr="00F64FC1">
        <w:rPr>
          <w:b/>
          <w:iCs/>
          <w:caps/>
          <w:u w:val="single"/>
        </w:rPr>
        <w:t>, optinio kabelio skaidulos izoliacijos nuėmėj</w:t>
      </w:r>
      <w:r>
        <w:rPr>
          <w:b/>
          <w:iCs/>
          <w:caps/>
          <w:u w:val="single"/>
        </w:rPr>
        <w:t>Ų</w:t>
      </w:r>
      <w:r w:rsidRPr="00F64FC1">
        <w:rPr>
          <w:b/>
          <w:iCs/>
          <w:caps/>
          <w:u w:val="single"/>
        </w:rPr>
        <w:t>, suspaust</w:t>
      </w:r>
      <w:r>
        <w:rPr>
          <w:b/>
          <w:iCs/>
          <w:caps/>
          <w:u w:val="single"/>
        </w:rPr>
        <w:t>o</w:t>
      </w:r>
      <w:r w:rsidRPr="00F64FC1">
        <w:rPr>
          <w:b/>
          <w:iCs/>
          <w:caps/>
          <w:u w:val="single"/>
        </w:rPr>
        <w:t xml:space="preserve"> or</w:t>
      </w:r>
      <w:r>
        <w:rPr>
          <w:b/>
          <w:iCs/>
          <w:caps/>
          <w:u w:val="single"/>
        </w:rPr>
        <w:t>O</w:t>
      </w:r>
      <w:r w:rsidRPr="00F64FC1">
        <w:rPr>
          <w:b/>
          <w:iCs/>
          <w:caps/>
          <w:u w:val="single"/>
        </w:rPr>
        <w:t>, optinio signalo šaltini</w:t>
      </w:r>
      <w:r>
        <w:rPr>
          <w:b/>
          <w:iCs/>
          <w:caps/>
          <w:u w:val="single"/>
        </w:rPr>
        <w:t>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502F9B61"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0E4915">
        <w:rPr>
          <w:szCs w:val="24"/>
        </w:rPr>
        <w:t>LAN kabelių matuoklius, optinio kabelio skaidulos izoliacijos nuėmėjus, suspaustą orą, optinio signalo šaltinius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lastRenderedPageBreak/>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cijos asmuo kontaktams: Aidas Bernotas, el. paštas aidas.bernotas@mil.lt</w:t>
      </w:r>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475B328F"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0E4915">
        <w:t>LAN kabelių matuoklius</w:t>
      </w:r>
      <w:r w:rsidR="00F00E22" w:rsidRPr="00F00E22">
        <w:t xml:space="preserve"> </w:t>
      </w:r>
      <w:r w:rsidR="00EA2C9F" w:rsidRPr="002D6099">
        <w:t xml:space="preserve">(BVPŽ kodas </w:t>
      </w:r>
      <w:r w:rsidR="000E4915" w:rsidRPr="000E4915">
        <w:rPr>
          <w:shd w:val="clear" w:color="auto" w:fill="FFFFFF"/>
        </w:rPr>
        <w:t>38410000-2</w:t>
      </w:r>
      <w:r w:rsidR="00EA2C9F" w:rsidRPr="002D6099">
        <w:t>).</w:t>
      </w:r>
    </w:p>
    <w:p w14:paraId="072624F0" w14:textId="32CB43F8" w:rsidR="00F21F67" w:rsidRDefault="00F00E22" w:rsidP="00C04459">
      <w:pPr>
        <w:ind w:left="1134" w:hanging="425"/>
      </w:pPr>
      <w:r>
        <w:rPr>
          <w:color w:val="000000"/>
          <w:szCs w:val="20"/>
        </w:rPr>
        <w:t>2.</w:t>
      </w:r>
      <w:r w:rsidR="00573A9E">
        <w:t>2</w:t>
      </w:r>
      <w:r>
        <w:t>.2.</w:t>
      </w:r>
      <w:r w:rsidRPr="00F00E22">
        <w:t xml:space="preserve"> </w:t>
      </w:r>
      <w:r w:rsidR="000E4915" w:rsidRPr="000E4915">
        <w:t>Optinio kabelio</w:t>
      </w:r>
      <w:r w:rsidR="000E4915">
        <w:t xml:space="preserve"> skaidulos izoliacijos nuėmėjus </w:t>
      </w:r>
      <w:r w:rsidRPr="002D6099">
        <w:t xml:space="preserve">(BVPŽ kodas </w:t>
      </w:r>
      <w:r w:rsidR="000E4915" w:rsidRPr="000E4915">
        <w:rPr>
          <w:shd w:val="clear" w:color="auto" w:fill="FFFFFF"/>
        </w:rPr>
        <w:t>44512200-4</w:t>
      </w:r>
      <w:r w:rsidRPr="002D6099">
        <w:t>).</w:t>
      </w:r>
    </w:p>
    <w:p w14:paraId="06AC1142" w14:textId="30E70F24" w:rsidR="00810A9E" w:rsidRPr="00810A9E" w:rsidRDefault="00810A9E" w:rsidP="00C04459">
      <w:pPr>
        <w:ind w:left="1134" w:hanging="425"/>
        <w:rPr>
          <w:b/>
        </w:rPr>
      </w:pPr>
      <w:r>
        <w:rPr>
          <w:color w:val="000000"/>
          <w:szCs w:val="20"/>
        </w:rPr>
        <w:t>2.</w:t>
      </w:r>
      <w:r>
        <w:t xml:space="preserve">2.3. </w:t>
      </w:r>
      <w:r w:rsidR="000E4915">
        <w:t>Suspaustą orą IT įrangai prižiūrėti</w:t>
      </w:r>
      <w:r w:rsidR="005A6E95" w:rsidRPr="005A6E95">
        <w:t xml:space="preserve"> </w:t>
      </w:r>
      <w:r>
        <w:t xml:space="preserve">(BVPŽ kodas </w:t>
      </w:r>
      <w:r w:rsidR="000E4915" w:rsidRPr="000E4915">
        <w:rPr>
          <w:shd w:val="clear" w:color="auto" w:fill="FFFFFF"/>
        </w:rPr>
        <w:t>24113200-1</w:t>
      </w:r>
      <w:r w:rsidRPr="002D6099">
        <w:t>).</w:t>
      </w:r>
    </w:p>
    <w:p w14:paraId="5E69CD85" w14:textId="608A31D3" w:rsidR="00F21F67" w:rsidRPr="0002638C" w:rsidRDefault="00810A9E" w:rsidP="000E4915">
      <w:pPr>
        <w:ind w:left="1134" w:hanging="425"/>
      </w:pPr>
      <w:r>
        <w:rPr>
          <w:color w:val="000000"/>
          <w:szCs w:val="20"/>
        </w:rPr>
        <w:t>2.</w:t>
      </w:r>
      <w:r>
        <w:t xml:space="preserve">2.4. </w:t>
      </w:r>
      <w:r w:rsidR="000E4915">
        <w:t>Optinio signalo šaltinius</w:t>
      </w:r>
      <w:r w:rsidR="005A6E95" w:rsidRPr="005A6E95">
        <w:t xml:space="preserve"> </w:t>
      </w:r>
      <w:r>
        <w:t xml:space="preserve">(BVPŽ kodas </w:t>
      </w:r>
      <w:r w:rsidR="000E4915" w:rsidRPr="000E4915">
        <w:rPr>
          <w:shd w:val="clear" w:color="auto" w:fill="FFFFFF"/>
        </w:rPr>
        <w:t>38410000-2</w:t>
      </w:r>
      <w:r w:rsidR="000E4915">
        <w:t>)</w:t>
      </w:r>
    </w:p>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1116"/>
        <w:gridCol w:w="2109"/>
        <w:gridCol w:w="3294"/>
        <w:gridCol w:w="1162"/>
        <w:gridCol w:w="843"/>
        <w:gridCol w:w="1405"/>
      </w:tblGrid>
      <w:tr w:rsidR="002F42E5" w14:paraId="67DE6409" w14:textId="77777777" w:rsidTr="000E4915">
        <w:tc>
          <w:tcPr>
            <w:tcW w:w="1116" w:type="dxa"/>
            <w:vAlign w:val="center"/>
          </w:tcPr>
          <w:p w14:paraId="77FA6409" w14:textId="6663C213" w:rsidR="003C454F" w:rsidRDefault="003C454F" w:rsidP="003C454F">
            <w:pPr>
              <w:ind w:firstLine="0"/>
            </w:pPr>
            <w:r>
              <w:t>Eil. Nr.</w:t>
            </w:r>
          </w:p>
        </w:tc>
        <w:tc>
          <w:tcPr>
            <w:tcW w:w="2109" w:type="dxa"/>
            <w:vAlign w:val="center"/>
          </w:tcPr>
          <w:p w14:paraId="5BDCB4F7" w14:textId="1C1933DD" w:rsidR="003C454F" w:rsidRPr="0063141E" w:rsidRDefault="003C454F" w:rsidP="003C454F">
            <w:pPr>
              <w:ind w:firstLine="0"/>
              <w:jc w:val="center"/>
            </w:pPr>
            <w:r w:rsidRPr="0063141E">
              <w:t>Pavadinimas</w:t>
            </w:r>
          </w:p>
        </w:tc>
        <w:tc>
          <w:tcPr>
            <w:tcW w:w="3294" w:type="dxa"/>
            <w:vAlign w:val="center"/>
          </w:tcPr>
          <w:p w14:paraId="3D173FC6" w14:textId="0DE75A6A" w:rsidR="003C454F" w:rsidRDefault="003C454F" w:rsidP="003C454F">
            <w:pPr>
              <w:ind w:firstLine="0"/>
              <w:jc w:val="center"/>
            </w:pPr>
            <w:r>
              <w:t>Techniniai reikalavimai</w:t>
            </w:r>
          </w:p>
        </w:tc>
        <w:tc>
          <w:tcPr>
            <w:tcW w:w="1162"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0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(e</w:t>
            </w:r>
            <w:r w:rsidR="003C454F">
              <w:t>ur. su PVM)</w:t>
            </w:r>
          </w:p>
        </w:tc>
      </w:tr>
      <w:tr w:rsidR="002F42E5" w14:paraId="2C0DC3E9" w14:textId="77777777" w:rsidTr="000E4915">
        <w:tc>
          <w:tcPr>
            <w:tcW w:w="1116" w:type="dxa"/>
            <w:vAlign w:val="center"/>
          </w:tcPr>
          <w:p w14:paraId="73DFBD5B" w14:textId="2EC9C964" w:rsidR="00810A9E" w:rsidRDefault="00810A9E" w:rsidP="00810A9E">
            <w:pPr>
              <w:ind w:firstLine="0"/>
              <w:jc w:val="center"/>
            </w:pPr>
            <w:r>
              <w:t>1.</w:t>
            </w:r>
          </w:p>
        </w:tc>
        <w:tc>
          <w:tcPr>
            <w:tcW w:w="2109" w:type="dxa"/>
            <w:vAlign w:val="center"/>
          </w:tcPr>
          <w:p w14:paraId="6970363B" w14:textId="77775449" w:rsidR="00810A9E" w:rsidRPr="00544028" w:rsidRDefault="000E4915" w:rsidP="000E4915">
            <w:pPr>
              <w:ind w:firstLine="0"/>
              <w:jc w:val="center"/>
            </w:pPr>
            <w:r>
              <w:t>LAN kabelių matuoklis</w:t>
            </w:r>
          </w:p>
        </w:tc>
        <w:tc>
          <w:tcPr>
            <w:tcW w:w="3294" w:type="dxa"/>
            <w:vAlign w:val="center"/>
          </w:tcPr>
          <w:p w14:paraId="10DD5E1D" w14:textId="035B0E6F" w:rsidR="00810A9E" w:rsidRPr="00810A9E" w:rsidRDefault="000E4915" w:rsidP="003263EF">
            <w:pPr>
              <w:ind w:firstLine="0"/>
              <w:jc w:val="left"/>
            </w:pPr>
            <w:r w:rsidRPr="000E4915">
              <w:t>Prekė turi būti nauja. Prietaisas privalo nustatyti UPT ir STP laido nutrūkimus, užtrumpinimus, neteisingus sujungimus, detalizuoti gedimo pobūdį. Turi būti baterijos iškrovimo indikaciją. Prietaisas privalo matuoti: RJ45, RJ11, CAT5, CAT6, CAT7 kabelius.</w:t>
            </w:r>
            <w:r>
              <w:t xml:space="preserve"> </w:t>
            </w:r>
          </w:p>
        </w:tc>
        <w:tc>
          <w:tcPr>
            <w:tcW w:w="1162" w:type="dxa"/>
            <w:vMerge w:val="restart"/>
            <w:vAlign w:val="center"/>
          </w:tcPr>
          <w:p w14:paraId="1770287F" w14:textId="587AEF1C" w:rsidR="00810A9E" w:rsidRDefault="00810A9E" w:rsidP="00810A9E">
            <w:pPr>
              <w:ind w:firstLine="0"/>
              <w:jc w:val="center"/>
            </w:pPr>
            <w:r>
              <w:t>vnt.</w:t>
            </w:r>
          </w:p>
        </w:tc>
        <w:tc>
          <w:tcPr>
            <w:tcW w:w="843" w:type="dxa"/>
            <w:vAlign w:val="center"/>
          </w:tcPr>
          <w:p w14:paraId="7BBBE147" w14:textId="3F68AA7F" w:rsidR="00810A9E" w:rsidRPr="00121B51" w:rsidRDefault="000E4915" w:rsidP="00810A9E">
            <w:pPr>
              <w:ind w:firstLine="0"/>
              <w:jc w:val="center"/>
            </w:pPr>
            <w:r>
              <w:t>6</w:t>
            </w:r>
          </w:p>
        </w:tc>
        <w:tc>
          <w:tcPr>
            <w:tcW w:w="1405" w:type="dxa"/>
            <w:vAlign w:val="center"/>
          </w:tcPr>
          <w:p w14:paraId="3C26801E" w14:textId="29818616" w:rsidR="00810A9E" w:rsidRPr="00121B51" w:rsidRDefault="000E4915" w:rsidP="00810A9E">
            <w:pPr>
              <w:ind w:firstLine="0"/>
              <w:jc w:val="center"/>
            </w:pPr>
            <w:r>
              <w:t>650,00</w:t>
            </w:r>
          </w:p>
        </w:tc>
      </w:tr>
      <w:tr w:rsidR="002F42E5" w14:paraId="4BB5E92D" w14:textId="77777777" w:rsidTr="000E4915">
        <w:tc>
          <w:tcPr>
            <w:tcW w:w="1116" w:type="dxa"/>
            <w:vAlign w:val="center"/>
          </w:tcPr>
          <w:p w14:paraId="27218049" w14:textId="54A46624" w:rsidR="00810A9E" w:rsidRDefault="00810A9E" w:rsidP="00810A9E">
            <w:pPr>
              <w:ind w:firstLine="0"/>
              <w:jc w:val="center"/>
            </w:pPr>
            <w:r>
              <w:t>2.</w:t>
            </w:r>
          </w:p>
        </w:tc>
        <w:tc>
          <w:tcPr>
            <w:tcW w:w="2109" w:type="dxa"/>
            <w:vAlign w:val="center"/>
          </w:tcPr>
          <w:p w14:paraId="4B4344AA" w14:textId="7CD6FFB2" w:rsidR="00810A9E" w:rsidRDefault="000E4915" w:rsidP="00810A9E">
            <w:pPr>
              <w:ind w:firstLine="0"/>
              <w:jc w:val="center"/>
            </w:pPr>
            <w:r w:rsidRPr="000E4915">
              <w:t>Optinio kabelio</w:t>
            </w:r>
            <w:r>
              <w:t xml:space="preserve"> skaidulos izoliacijos nuėmėjas</w:t>
            </w:r>
          </w:p>
        </w:tc>
        <w:tc>
          <w:tcPr>
            <w:tcW w:w="3294" w:type="dxa"/>
            <w:vAlign w:val="center"/>
          </w:tcPr>
          <w:p w14:paraId="6EAE06EC" w14:textId="38AFF1A9" w:rsidR="00810A9E" w:rsidRPr="00810A9E" w:rsidRDefault="000E4915" w:rsidP="003263EF">
            <w:pPr>
              <w:ind w:firstLine="0"/>
              <w:jc w:val="left"/>
            </w:pPr>
            <w:r w:rsidRPr="000E4915">
              <w:t xml:space="preserve">Prekė privalo būti nauja. Įrankis skaidulos sluoksniui nuimti. Privalo nuimti skaidulos izoliaciją nuo 0,5 iki 0,125 mm. </w:t>
            </w:r>
          </w:p>
        </w:tc>
        <w:tc>
          <w:tcPr>
            <w:tcW w:w="1162" w:type="dxa"/>
            <w:vMerge/>
          </w:tcPr>
          <w:p w14:paraId="254C6B6B" w14:textId="77777777" w:rsidR="00810A9E" w:rsidRDefault="00810A9E" w:rsidP="00810A9E"/>
        </w:tc>
        <w:tc>
          <w:tcPr>
            <w:tcW w:w="843" w:type="dxa"/>
            <w:vAlign w:val="center"/>
          </w:tcPr>
          <w:p w14:paraId="7FC1C00F" w14:textId="0398DD6E" w:rsidR="00810A9E" w:rsidRPr="00121B51" w:rsidRDefault="000E4915" w:rsidP="00810A9E">
            <w:pPr>
              <w:ind w:firstLine="0"/>
              <w:jc w:val="center"/>
            </w:pPr>
            <w:r>
              <w:t>6</w:t>
            </w:r>
          </w:p>
        </w:tc>
        <w:tc>
          <w:tcPr>
            <w:tcW w:w="1405" w:type="dxa"/>
            <w:vAlign w:val="center"/>
          </w:tcPr>
          <w:p w14:paraId="46F1F7A2" w14:textId="5F947EA0" w:rsidR="00810A9E" w:rsidRPr="00121B51" w:rsidRDefault="000E4915" w:rsidP="00810A9E">
            <w:pPr>
              <w:ind w:firstLine="0"/>
              <w:jc w:val="center"/>
            </w:pPr>
            <w:r>
              <w:t>132,00</w:t>
            </w:r>
          </w:p>
        </w:tc>
      </w:tr>
      <w:tr w:rsidR="002F42E5" w14:paraId="41D360B9" w14:textId="77777777" w:rsidTr="000E4915">
        <w:tc>
          <w:tcPr>
            <w:tcW w:w="1116" w:type="dxa"/>
            <w:vAlign w:val="center"/>
          </w:tcPr>
          <w:p w14:paraId="2E574EAB" w14:textId="36CC19F5" w:rsidR="00810A9E" w:rsidRDefault="00810A9E" w:rsidP="00810A9E">
            <w:pPr>
              <w:ind w:firstLine="0"/>
              <w:jc w:val="center"/>
            </w:pPr>
            <w:r>
              <w:t>3.</w:t>
            </w:r>
          </w:p>
        </w:tc>
        <w:tc>
          <w:tcPr>
            <w:tcW w:w="2109" w:type="dxa"/>
            <w:vAlign w:val="center"/>
          </w:tcPr>
          <w:p w14:paraId="6671D32E" w14:textId="7D428F20" w:rsidR="00810A9E" w:rsidRPr="00C04459" w:rsidRDefault="000E4915" w:rsidP="000E4915">
            <w:pPr>
              <w:ind w:firstLine="0"/>
              <w:jc w:val="center"/>
            </w:pPr>
            <w:r>
              <w:t>Suspaustas oras IT įrangai prižiūrėti</w:t>
            </w:r>
          </w:p>
        </w:tc>
        <w:tc>
          <w:tcPr>
            <w:tcW w:w="3294" w:type="dxa"/>
            <w:vAlign w:val="center"/>
          </w:tcPr>
          <w:p w14:paraId="37BF7C7B" w14:textId="787BE07B" w:rsidR="00810A9E" w:rsidRPr="00810A9E" w:rsidRDefault="000E4915" w:rsidP="003263EF">
            <w:pPr>
              <w:ind w:firstLine="0"/>
            </w:pPr>
            <w:r w:rsidRPr="000E4915">
              <w:t>Prekė turi būti nauja. Suspaustas oras turi būti skirtas išvalyti iš IT komponentų dulkes ir nešvarumus. Talpa  ne mažiau 600 ml. Su purškikliu</w:t>
            </w:r>
          </w:p>
        </w:tc>
        <w:tc>
          <w:tcPr>
            <w:tcW w:w="1162" w:type="dxa"/>
            <w:vMerge/>
          </w:tcPr>
          <w:p w14:paraId="48173C52" w14:textId="77777777" w:rsidR="00810A9E" w:rsidRDefault="00810A9E" w:rsidP="00810A9E"/>
        </w:tc>
        <w:tc>
          <w:tcPr>
            <w:tcW w:w="843" w:type="dxa"/>
            <w:vAlign w:val="center"/>
          </w:tcPr>
          <w:p w14:paraId="3E71F420" w14:textId="60F0B837" w:rsidR="00810A9E" w:rsidRPr="00121B51" w:rsidRDefault="000E4915" w:rsidP="00810A9E">
            <w:pPr>
              <w:ind w:firstLine="0"/>
              <w:jc w:val="center"/>
            </w:pPr>
            <w:r>
              <w:t>200</w:t>
            </w:r>
          </w:p>
        </w:tc>
        <w:tc>
          <w:tcPr>
            <w:tcW w:w="1405" w:type="dxa"/>
            <w:vAlign w:val="center"/>
          </w:tcPr>
          <w:p w14:paraId="34AF3D67" w14:textId="46F493C4" w:rsidR="00810A9E" w:rsidRPr="00121B51" w:rsidRDefault="000E4915" w:rsidP="00F35D49">
            <w:pPr>
              <w:ind w:firstLine="0"/>
              <w:jc w:val="center"/>
            </w:pPr>
            <w:r>
              <w:t>5,50</w:t>
            </w:r>
          </w:p>
        </w:tc>
      </w:tr>
      <w:tr w:rsidR="002F42E5" w14:paraId="75BFD758" w14:textId="77777777" w:rsidTr="000E4915">
        <w:tc>
          <w:tcPr>
            <w:tcW w:w="1116" w:type="dxa"/>
            <w:vAlign w:val="center"/>
          </w:tcPr>
          <w:p w14:paraId="5196DF34" w14:textId="091D6A6F" w:rsidR="00810A9E" w:rsidRDefault="00810A9E" w:rsidP="00810A9E">
            <w:pPr>
              <w:ind w:firstLine="0"/>
              <w:jc w:val="center"/>
            </w:pPr>
            <w:r>
              <w:t>4.</w:t>
            </w:r>
          </w:p>
        </w:tc>
        <w:tc>
          <w:tcPr>
            <w:tcW w:w="2109" w:type="dxa"/>
            <w:vAlign w:val="center"/>
          </w:tcPr>
          <w:p w14:paraId="23FD9C58" w14:textId="15F1D818" w:rsidR="00810A9E" w:rsidRPr="00C04459" w:rsidRDefault="000E4915" w:rsidP="00810A9E">
            <w:pPr>
              <w:ind w:firstLine="0"/>
              <w:jc w:val="center"/>
            </w:pPr>
            <w:r w:rsidRPr="000E4915">
              <w:t>Optinio signalo šaltinis</w:t>
            </w:r>
          </w:p>
        </w:tc>
        <w:tc>
          <w:tcPr>
            <w:tcW w:w="3294" w:type="dxa"/>
            <w:vAlign w:val="center"/>
          </w:tcPr>
          <w:p w14:paraId="53639643" w14:textId="093B79AD" w:rsidR="00810A9E" w:rsidRPr="00810A9E" w:rsidRDefault="000E4915" w:rsidP="003263EF">
            <w:pPr>
              <w:ind w:firstLine="0"/>
            </w:pPr>
            <w:r w:rsidRPr="000E4915">
              <w:t xml:space="preserve">Prekė privalo būti nauja. Standartinis ST/SC/FC universalus optinis interfeisas, MM ir SM optinių kabelių testavimui. Dirba nuolatinės veikos CW ( Continuous Wave) arba impulsiniame rėžime su pastovia išėjimo galia ne mažesne 30mW. Portatyvinis „kišeninis“ dydis t.y. matmenys nuo 175 iki 180x nuo 26 iki 30x nuo 26 iki 30 mm. Galia: 2xAA. </w:t>
            </w:r>
            <w:r w:rsidRPr="000E4915">
              <w:lastRenderedPageBreak/>
              <w:t>Išsikrovusi</w:t>
            </w:r>
            <w:r>
              <w:t xml:space="preserve">o akumuliatoriaus indikatorius. </w:t>
            </w:r>
          </w:p>
        </w:tc>
        <w:tc>
          <w:tcPr>
            <w:tcW w:w="1162" w:type="dxa"/>
            <w:vMerge/>
          </w:tcPr>
          <w:p w14:paraId="2E886E52" w14:textId="77777777" w:rsidR="00810A9E" w:rsidRDefault="00810A9E" w:rsidP="00810A9E"/>
        </w:tc>
        <w:tc>
          <w:tcPr>
            <w:tcW w:w="843" w:type="dxa"/>
            <w:vAlign w:val="center"/>
          </w:tcPr>
          <w:p w14:paraId="42FCFB6F" w14:textId="5DF202D5" w:rsidR="00810A9E" w:rsidRPr="00121B51" w:rsidRDefault="000E4915" w:rsidP="00810A9E">
            <w:pPr>
              <w:ind w:firstLine="0"/>
              <w:jc w:val="center"/>
            </w:pPr>
            <w:r>
              <w:t>8</w:t>
            </w:r>
          </w:p>
        </w:tc>
        <w:tc>
          <w:tcPr>
            <w:tcW w:w="1405" w:type="dxa"/>
            <w:vAlign w:val="center"/>
          </w:tcPr>
          <w:p w14:paraId="7E469B46" w14:textId="21CA62B2" w:rsidR="00810A9E" w:rsidRPr="00121B51" w:rsidRDefault="000E4915" w:rsidP="00810A9E">
            <w:pPr>
              <w:ind w:firstLine="0"/>
              <w:jc w:val="center"/>
            </w:pPr>
            <w:r>
              <w:t>110,00</w:t>
            </w:r>
          </w:p>
        </w:tc>
      </w:tr>
    </w:tbl>
    <w:p w14:paraId="515A3BD8" w14:textId="5036B313"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0AF34797" w14:textId="36A11049" w:rsidR="003263EF" w:rsidRDefault="00573A9E" w:rsidP="00D04F1B">
      <w:r>
        <w:t xml:space="preserve">            2.3.4. Su laimėtoju numatoma sudaryti rašytinę sutartį.</w:t>
      </w:r>
    </w:p>
    <w:p w14:paraId="5BFA82FB" w14:textId="77777777" w:rsidR="003263EF" w:rsidRDefault="003263EF" w:rsidP="00D04F1B"/>
    <w:p w14:paraId="1A82C029" w14:textId="77777777" w:rsidR="003263EF" w:rsidRPr="005032A0" w:rsidRDefault="003263EF" w:rsidP="003263EF">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2512A8C8" w14:textId="77777777" w:rsidR="003263EF" w:rsidRPr="005032A0" w:rsidRDefault="003263EF" w:rsidP="003263EF">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57E1D55D" w14:textId="77777777" w:rsidR="003263EF" w:rsidRPr="005032A0" w:rsidRDefault="003263EF" w:rsidP="003263EF">
      <w:pPr>
        <w:ind w:hanging="142"/>
      </w:pPr>
    </w:p>
    <w:p w14:paraId="0DC324AC" w14:textId="77777777" w:rsidR="003263EF" w:rsidRPr="005032A0" w:rsidRDefault="003263EF" w:rsidP="003263EF">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263EF" w:rsidRPr="005032A0" w14:paraId="36377163" w14:textId="77777777" w:rsidTr="003F4F82">
        <w:tc>
          <w:tcPr>
            <w:tcW w:w="675" w:type="dxa"/>
            <w:tcBorders>
              <w:top w:val="single" w:sz="8" w:space="0" w:color="auto"/>
              <w:left w:val="single" w:sz="8" w:space="0" w:color="auto"/>
              <w:bottom w:val="single" w:sz="8" w:space="0" w:color="auto"/>
              <w:right w:val="single" w:sz="8" w:space="0" w:color="auto"/>
            </w:tcBorders>
          </w:tcPr>
          <w:p w14:paraId="1262880B" w14:textId="77777777" w:rsidR="003263EF" w:rsidRPr="005032A0" w:rsidRDefault="003263EF" w:rsidP="003F4F82">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09D241" w14:textId="77777777" w:rsidR="003263EF" w:rsidRPr="005032A0" w:rsidRDefault="003263EF" w:rsidP="003F4F82">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3F3A9" w14:textId="77777777" w:rsidR="003263EF" w:rsidRPr="005032A0" w:rsidRDefault="003263EF" w:rsidP="003F4F82">
            <w:pPr>
              <w:jc w:val="center"/>
              <w:rPr>
                <w:b/>
                <w:bCs/>
              </w:rPr>
            </w:pPr>
            <w:r w:rsidRPr="005032A0">
              <w:rPr>
                <w:b/>
                <w:bCs/>
              </w:rPr>
              <w:t>Reikalavimo atitikimo patvirtinimas</w:t>
            </w:r>
          </w:p>
        </w:tc>
      </w:tr>
      <w:tr w:rsidR="003263EF" w:rsidRPr="005032A0" w14:paraId="73C59C3C" w14:textId="77777777" w:rsidTr="003F4F82">
        <w:tc>
          <w:tcPr>
            <w:tcW w:w="675" w:type="dxa"/>
            <w:tcBorders>
              <w:top w:val="nil"/>
              <w:left w:val="single" w:sz="8" w:space="0" w:color="auto"/>
              <w:bottom w:val="single" w:sz="8" w:space="0" w:color="auto"/>
              <w:right w:val="single" w:sz="8" w:space="0" w:color="auto"/>
            </w:tcBorders>
          </w:tcPr>
          <w:p w14:paraId="0805B863" w14:textId="77777777" w:rsidR="003263EF" w:rsidRPr="005032A0" w:rsidRDefault="003263EF" w:rsidP="003F4F82">
            <w:pPr>
              <w:ind w:left="-284"/>
              <w:jc w:val="center"/>
            </w:pPr>
          </w:p>
          <w:p w14:paraId="5E7F6423" w14:textId="77777777" w:rsidR="003263EF" w:rsidRPr="005032A0" w:rsidRDefault="003263EF" w:rsidP="003F4F82">
            <w:pPr>
              <w:jc w:val="center"/>
            </w:pPr>
          </w:p>
          <w:p w14:paraId="58317911" w14:textId="77777777" w:rsidR="003263EF" w:rsidRPr="005032A0" w:rsidRDefault="003263EF" w:rsidP="003F4F82">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E5FA8" w14:textId="77777777" w:rsidR="003263EF" w:rsidRPr="005032A0" w:rsidRDefault="003263EF" w:rsidP="003F4F82">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5A8B21B" w14:textId="77777777" w:rsidR="003263EF" w:rsidRPr="005032A0" w:rsidRDefault="003263EF" w:rsidP="003F4F82">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263EF" w:rsidRPr="005032A0" w14:paraId="7AF45299" w14:textId="77777777" w:rsidTr="003F4F82">
        <w:trPr>
          <w:trHeight w:val="2816"/>
        </w:trPr>
        <w:tc>
          <w:tcPr>
            <w:tcW w:w="675" w:type="dxa"/>
            <w:tcBorders>
              <w:top w:val="nil"/>
              <w:left w:val="single" w:sz="8" w:space="0" w:color="auto"/>
              <w:bottom w:val="single" w:sz="8" w:space="0" w:color="auto"/>
              <w:right w:val="single" w:sz="8" w:space="0" w:color="auto"/>
            </w:tcBorders>
          </w:tcPr>
          <w:p w14:paraId="7F078F3F" w14:textId="77777777" w:rsidR="003263EF" w:rsidRPr="005032A0" w:rsidRDefault="003263EF" w:rsidP="003F4F82">
            <w:pPr>
              <w:ind w:left="-284"/>
              <w:jc w:val="center"/>
            </w:pPr>
          </w:p>
          <w:p w14:paraId="600F61FD" w14:textId="77777777" w:rsidR="003263EF" w:rsidRPr="005032A0" w:rsidRDefault="003263EF" w:rsidP="003F4F82">
            <w:pPr>
              <w:jc w:val="center"/>
            </w:pPr>
          </w:p>
          <w:p w14:paraId="492F1BB9" w14:textId="77777777" w:rsidR="003263EF" w:rsidRPr="005032A0" w:rsidRDefault="003263EF" w:rsidP="003F4F82">
            <w:pPr>
              <w:jc w:val="center"/>
            </w:pPr>
          </w:p>
          <w:p w14:paraId="2F4768DE" w14:textId="77777777" w:rsidR="003263EF" w:rsidRPr="005032A0" w:rsidRDefault="003263EF" w:rsidP="003F4F82">
            <w:pPr>
              <w:jc w:val="center"/>
            </w:pPr>
          </w:p>
          <w:p w14:paraId="618ECC43" w14:textId="77777777" w:rsidR="003263EF" w:rsidRPr="005032A0" w:rsidRDefault="003263EF" w:rsidP="003F4F82">
            <w:pPr>
              <w:jc w:val="center"/>
            </w:pPr>
          </w:p>
          <w:p w14:paraId="3E3F0859" w14:textId="77777777" w:rsidR="003263EF" w:rsidRPr="005032A0" w:rsidRDefault="003263EF" w:rsidP="003F4F82">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0084A" w14:textId="77777777" w:rsidR="003263EF" w:rsidRPr="005032A0" w:rsidRDefault="003263EF" w:rsidP="003F4F82">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4BABD13" w14:textId="77777777" w:rsidR="003263EF" w:rsidRPr="005032A0" w:rsidRDefault="003263EF" w:rsidP="003F4F82">
            <w:r w:rsidRPr="005032A0">
              <w:t>Prašome pateikti nepriklausomos šalies išduotą sertifikatą ar kitą lygiavertį dokumentą, kuriuo įrodoma atitiktis taikomiems standartams.</w:t>
            </w:r>
          </w:p>
        </w:tc>
      </w:tr>
      <w:tr w:rsidR="003263EF" w:rsidRPr="005032A0" w14:paraId="39E94395" w14:textId="77777777" w:rsidTr="003F4F82">
        <w:trPr>
          <w:trHeight w:val="634"/>
        </w:trPr>
        <w:tc>
          <w:tcPr>
            <w:tcW w:w="675" w:type="dxa"/>
            <w:tcBorders>
              <w:top w:val="nil"/>
              <w:left w:val="single" w:sz="8" w:space="0" w:color="auto"/>
              <w:bottom w:val="single" w:sz="8" w:space="0" w:color="auto"/>
              <w:right w:val="single" w:sz="8" w:space="0" w:color="auto"/>
            </w:tcBorders>
          </w:tcPr>
          <w:p w14:paraId="0A11A97A" w14:textId="77777777" w:rsidR="003263EF" w:rsidRPr="005032A0" w:rsidRDefault="003263EF" w:rsidP="003F4F82">
            <w:pPr>
              <w:ind w:left="-284"/>
              <w:jc w:val="center"/>
            </w:pPr>
          </w:p>
          <w:p w14:paraId="629F6464" w14:textId="77777777" w:rsidR="003263EF" w:rsidRPr="005032A0" w:rsidRDefault="003263EF" w:rsidP="003F4F82">
            <w:pPr>
              <w:jc w:val="center"/>
            </w:pPr>
          </w:p>
          <w:p w14:paraId="17DB3D94" w14:textId="77777777" w:rsidR="003263EF" w:rsidRPr="005032A0" w:rsidRDefault="003263EF" w:rsidP="003F4F82">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603CC" w14:textId="77777777" w:rsidR="003263EF" w:rsidRPr="005032A0" w:rsidRDefault="003263EF" w:rsidP="003F4F82">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D5C8951" w14:textId="77777777" w:rsidR="003263EF" w:rsidRPr="005032A0" w:rsidRDefault="003263EF" w:rsidP="003F4F82">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220CCAF5" w14:textId="77777777" w:rsidR="003263EF" w:rsidRPr="005032A0" w:rsidRDefault="003263EF" w:rsidP="003F4F82">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5FD2ED5F" w14:textId="77777777" w:rsidR="003263EF" w:rsidRPr="005032A0" w:rsidRDefault="003263EF" w:rsidP="003F4F82">
            <w:r w:rsidRPr="005032A0">
              <w:lastRenderedPageBreak/>
              <w:t>Pateikiamas skenuotas dokumentas elektroninėje formoje.</w:t>
            </w:r>
          </w:p>
        </w:tc>
      </w:tr>
    </w:tbl>
    <w:p w14:paraId="2844EBC4" w14:textId="77777777" w:rsidR="003263EF" w:rsidRDefault="003263EF" w:rsidP="00D04F1B"/>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691DD035" w14:textId="24B2B082"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53B9E787"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25613B">
        <w:rPr>
          <w:b/>
        </w:rPr>
        <w:t>kovo</w:t>
      </w:r>
      <w:r w:rsidR="00611D9A">
        <w:rPr>
          <w:b/>
        </w:rPr>
        <w:t xml:space="preserve"> </w:t>
      </w:r>
      <w:r w:rsidR="00A33FAE" w:rsidRPr="00956040">
        <w:rPr>
          <w:b/>
        </w:rPr>
        <w:t xml:space="preserve">mėn. </w:t>
      </w:r>
      <w:r w:rsidR="00A91311">
        <w:rPr>
          <w:b/>
        </w:rPr>
        <w:t>24</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1925A074"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25613B">
        <w:rPr>
          <w:b/>
        </w:rPr>
        <w:t>kovo</w:t>
      </w:r>
      <w:r w:rsidR="00611D9A">
        <w:rPr>
          <w:b/>
        </w:rPr>
        <w:t xml:space="preserve"> </w:t>
      </w:r>
      <w:r w:rsidR="00C55A56" w:rsidRPr="00956040">
        <w:rPr>
          <w:b/>
        </w:rPr>
        <w:t>mėn.</w:t>
      </w:r>
      <w:r w:rsidR="00611D9A">
        <w:rPr>
          <w:b/>
        </w:rPr>
        <w:t xml:space="preserve"> </w:t>
      </w:r>
      <w:r w:rsidR="00A91311">
        <w:rPr>
          <w:b/>
        </w:rPr>
        <w:t>24</w:t>
      </w:r>
      <w:bookmarkStart w:id="0" w:name="_GoBack"/>
      <w:bookmarkEnd w:id="0"/>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dienų 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63FE8F5F" w:rsidR="00023319" w:rsidRDefault="000F3920" w:rsidP="007F0B5B">
      <w:pPr>
        <w:jc w:val="center"/>
      </w:pPr>
      <w:r w:rsidRPr="000F3920">
        <w:rPr>
          <w:b/>
          <w:iCs/>
          <w:caps/>
          <w:u w:val="single"/>
        </w:rPr>
        <w:t>LAN kabelių matuokli</w:t>
      </w:r>
      <w:r>
        <w:rPr>
          <w:b/>
          <w:iCs/>
          <w:caps/>
          <w:u w:val="single"/>
        </w:rPr>
        <w:t>ai</w:t>
      </w:r>
      <w:r w:rsidRPr="000F3920">
        <w:rPr>
          <w:b/>
          <w:iCs/>
          <w:caps/>
          <w:u w:val="single"/>
        </w:rPr>
        <w:t>, optinio kabelio skaidulos izoliacijos nuėmėj</w:t>
      </w:r>
      <w:r>
        <w:rPr>
          <w:b/>
          <w:iCs/>
          <w:caps/>
          <w:u w:val="single"/>
        </w:rPr>
        <w:t>ai</w:t>
      </w:r>
      <w:r w:rsidRPr="000F3920">
        <w:rPr>
          <w:b/>
          <w:iCs/>
          <w:caps/>
          <w:u w:val="single"/>
        </w:rPr>
        <w:t>, suspaust</w:t>
      </w:r>
      <w:r>
        <w:rPr>
          <w:b/>
          <w:iCs/>
          <w:caps/>
          <w:u w:val="single"/>
        </w:rPr>
        <w:t>as oras</w:t>
      </w:r>
      <w:r w:rsidR="00C65B52">
        <w:rPr>
          <w:b/>
          <w:iCs/>
          <w:caps/>
          <w:u w:val="single"/>
        </w:rPr>
        <w:t xml:space="preserve"> IT įrangai prižiūrėti</w:t>
      </w:r>
      <w:r w:rsidRPr="000F3920">
        <w:rPr>
          <w:b/>
          <w:iCs/>
          <w:caps/>
          <w:u w:val="single"/>
        </w:rPr>
        <w:t>, optinio signalo šaltini</w:t>
      </w:r>
      <w:r>
        <w:rPr>
          <w:b/>
          <w:iCs/>
          <w:caps/>
          <w:u w:val="single"/>
        </w:rPr>
        <w:t>ai</w:t>
      </w:r>
      <w:r w:rsidR="00F371FB" w:rsidRPr="00F371FB">
        <w:rPr>
          <w:b/>
          <w:iCs/>
          <w:caps/>
          <w:u w:val="single"/>
        </w:rPr>
        <w:t>.</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0E4915" w:rsidRDefault="000E4915"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0E4915" w:rsidRDefault="000E4915"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6A60CDDA" w:rsidR="000D58AB" w:rsidRDefault="000D58AB" w:rsidP="00F371FB">
      <w:pPr>
        <w:jc w:val="both"/>
        <w:rPr>
          <w:szCs w:val="22"/>
        </w:rPr>
      </w:pP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F3920"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0F3920" w:rsidRDefault="000F3920" w:rsidP="000F3920">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3B017335" w:rsidR="000F3920" w:rsidRPr="00B0353B" w:rsidRDefault="000F3920" w:rsidP="000F3920">
            <w:pPr>
              <w:rPr>
                <w:color w:val="000000"/>
              </w:rPr>
            </w:pPr>
            <w:r>
              <w:t>LAN kabelių matuoklis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49801404" w:rsidR="000F3920" w:rsidRPr="000F3920" w:rsidRDefault="000F3920" w:rsidP="000F3920">
            <w:pPr>
              <w:jc w:val="center"/>
              <w:rPr>
                <w:color w:val="000000"/>
              </w:rPr>
            </w:pPr>
            <w:r w:rsidRPr="000F3920">
              <w:t>6</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F3920" w:rsidRPr="0063141E" w:rsidRDefault="000F3920" w:rsidP="000F3920">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F3920" w:rsidRPr="0063141E" w:rsidRDefault="000F3920" w:rsidP="000F3920">
            <w:pPr>
              <w:jc w:val="center"/>
            </w:pPr>
          </w:p>
        </w:tc>
      </w:tr>
      <w:tr w:rsidR="000F3920"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0F3920" w:rsidRDefault="000F3920" w:rsidP="000F3920">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39BF206B" w:rsidR="000F3920" w:rsidRPr="00023319" w:rsidRDefault="000F3920" w:rsidP="000F3920">
            <w:pPr>
              <w:rPr>
                <w:color w:val="000000"/>
              </w:rPr>
            </w:pPr>
            <w:r w:rsidRPr="000E4915">
              <w:t>Optinio kabelio</w:t>
            </w:r>
            <w:r>
              <w:t xml:space="preserve"> skaidulos izoliacijos nuėmėjas</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1E4C6AD3" w:rsidR="000F3920" w:rsidRPr="000F3920" w:rsidRDefault="000F3920" w:rsidP="000F3920">
            <w:pPr>
              <w:jc w:val="center"/>
              <w:rPr>
                <w:color w:val="000000"/>
              </w:rPr>
            </w:pPr>
            <w:r w:rsidRPr="000F3920">
              <w:t>6</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0F3920" w:rsidRPr="0063141E" w:rsidRDefault="000F3920" w:rsidP="000F3920">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0F3920" w:rsidRPr="0063141E" w:rsidRDefault="000F3920" w:rsidP="000F3920">
            <w:pPr>
              <w:jc w:val="center"/>
            </w:pPr>
          </w:p>
        </w:tc>
      </w:tr>
      <w:tr w:rsidR="000F3920"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0F3920" w:rsidRDefault="000F3920" w:rsidP="000F3920">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0FC2B337" w:rsidR="000F3920" w:rsidRPr="00C04459" w:rsidRDefault="000F3920" w:rsidP="000F3920">
            <w:r>
              <w:t>Suspaustas oras IT įrangai prižiūrėti</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5CDA36A5" w:rsidR="000F3920" w:rsidRPr="000F3920" w:rsidRDefault="000F3920" w:rsidP="000F3920">
            <w:pPr>
              <w:jc w:val="center"/>
            </w:pPr>
            <w:r w:rsidRPr="000F3920">
              <w:t>200</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0F3920" w:rsidRPr="0063141E" w:rsidRDefault="000F3920" w:rsidP="000F3920">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0F3920" w:rsidRPr="0063141E" w:rsidRDefault="000F3920" w:rsidP="000F3920">
            <w:pPr>
              <w:jc w:val="center"/>
            </w:pPr>
          </w:p>
        </w:tc>
      </w:tr>
      <w:tr w:rsidR="000F3920"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0F3920" w:rsidRDefault="000F3920" w:rsidP="000F3920">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398266CC" w:rsidR="000F3920" w:rsidRPr="00C04459" w:rsidRDefault="000F3920" w:rsidP="000F3920">
            <w:r w:rsidRPr="000E4915">
              <w:t>Optinio signalo šaltinis</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586DC4F6" w:rsidR="000F3920" w:rsidRPr="000F3920" w:rsidRDefault="000F3920" w:rsidP="000F3920">
            <w:pPr>
              <w:jc w:val="center"/>
            </w:pPr>
            <w:r w:rsidRPr="000F3920">
              <w:t>8</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0F3920" w:rsidRPr="0063141E" w:rsidRDefault="000F3920" w:rsidP="000F3920">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0F3920" w:rsidRPr="0063141E" w:rsidRDefault="000F3920" w:rsidP="000F3920">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52D4A8D0" w14:textId="6A766991" w:rsidR="000F3920" w:rsidRDefault="00023319" w:rsidP="000F3920">
      <w:pPr>
        <w:ind w:right="282"/>
        <w:jc w:val="both"/>
      </w:pPr>
      <w:r w:rsidRPr="0063141E">
        <w:t xml:space="preserve">                      (Tiekėjo arba jo įgalioto asmens vardas, pavardė, parašas</w:t>
      </w:r>
      <w:r>
        <w:t>)</w:t>
      </w:r>
    </w:p>
    <w:p w14:paraId="5BBCC7F9" w14:textId="77777777" w:rsidR="000F3920" w:rsidRPr="000F3920" w:rsidRDefault="000F3920" w:rsidP="000F3920">
      <w:pPr>
        <w:ind w:right="282"/>
        <w:jc w:val="both"/>
      </w:pPr>
    </w:p>
    <w:p w14:paraId="0CB4DA79" w14:textId="77777777" w:rsidR="001C15CE" w:rsidRDefault="001C15CE" w:rsidP="0049779A">
      <w:pPr>
        <w:rPr>
          <w:b/>
        </w:rPr>
      </w:pP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90"/>
        <w:gridCol w:w="4966"/>
        <w:gridCol w:w="3260"/>
      </w:tblGrid>
      <w:tr w:rsidR="00AA126A" w14:paraId="756EB77C" w14:textId="77777777" w:rsidTr="00F91D2C">
        <w:tc>
          <w:tcPr>
            <w:tcW w:w="1590"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66"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3263EF" w14:paraId="68C18A18" w14:textId="77777777" w:rsidTr="00F91D2C">
        <w:tc>
          <w:tcPr>
            <w:tcW w:w="1590" w:type="dxa"/>
            <w:vMerge w:val="restart"/>
            <w:vAlign w:val="center"/>
          </w:tcPr>
          <w:p w14:paraId="3381F3ED" w14:textId="1C740D23" w:rsidR="003263EF" w:rsidRPr="00AA126A" w:rsidRDefault="003263EF" w:rsidP="003F0D76">
            <w:pPr>
              <w:ind w:firstLine="0"/>
              <w:jc w:val="center"/>
            </w:pPr>
            <w:r w:rsidRPr="00AA126A">
              <w:t>1</w:t>
            </w:r>
            <w:r>
              <w:t>.</w:t>
            </w:r>
          </w:p>
        </w:tc>
        <w:tc>
          <w:tcPr>
            <w:tcW w:w="4966" w:type="dxa"/>
            <w:vAlign w:val="center"/>
          </w:tcPr>
          <w:p w14:paraId="1B77A9E2" w14:textId="762C4F6C" w:rsidR="003263EF" w:rsidRPr="003F0D76" w:rsidRDefault="003263EF" w:rsidP="003F0D76">
            <w:pPr>
              <w:ind w:firstLine="0"/>
              <w:rPr>
                <w:b/>
              </w:rPr>
            </w:pPr>
            <w:r w:rsidRPr="00CD6BB7">
              <w:t>1.1.</w:t>
            </w:r>
            <w:r>
              <w:rPr>
                <w:b/>
              </w:rPr>
              <w:t xml:space="preserve"> </w:t>
            </w:r>
            <w:r>
              <w:t>LAN kabelių matuokli</w:t>
            </w:r>
            <w:r w:rsidRPr="000F3920">
              <w:t xml:space="preserve">s </w:t>
            </w:r>
            <w:r w:rsidRPr="000F3920">
              <w:rPr>
                <w:b/>
              </w:rPr>
              <w:t>(BVPŽ kodas 38410000-2):</w:t>
            </w:r>
          </w:p>
        </w:tc>
        <w:tc>
          <w:tcPr>
            <w:tcW w:w="3260" w:type="dxa"/>
            <w:shd w:val="clear" w:color="auto" w:fill="A6A6A6" w:themeFill="background1" w:themeFillShade="A6"/>
          </w:tcPr>
          <w:p w14:paraId="58BD1453" w14:textId="77777777" w:rsidR="003263EF" w:rsidRDefault="003263EF" w:rsidP="003F0D76">
            <w:pPr>
              <w:rPr>
                <w:b/>
              </w:rPr>
            </w:pPr>
          </w:p>
        </w:tc>
      </w:tr>
      <w:tr w:rsidR="003263EF" w14:paraId="59654643" w14:textId="77777777" w:rsidTr="00F91D2C">
        <w:tc>
          <w:tcPr>
            <w:tcW w:w="1590" w:type="dxa"/>
            <w:vMerge/>
          </w:tcPr>
          <w:p w14:paraId="0F945411" w14:textId="77777777" w:rsidR="003263EF" w:rsidRPr="00AA126A" w:rsidRDefault="003263EF" w:rsidP="003F0D76">
            <w:pPr>
              <w:jc w:val="center"/>
            </w:pPr>
          </w:p>
        </w:tc>
        <w:tc>
          <w:tcPr>
            <w:tcW w:w="4966" w:type="dxa"/>
            <w:vAlign w:val="center"/>
          </w:tcPr>
          <w:p w14:paraId="4869CA52" w14:textId="4B6E78E2" w:rsidR="003263EF" w:rsidRDefault="003263EF" w:rsidP="000845EC">
            <w:pPr>
              <w:ind w:firstLine="0"/>
            </w:pPr>
            <w:r>
              <w:t xml:space="preserve">1.2. </w:t>
            </w:r>
            <w:r w:rsidRPr="00CD6BB7">
              <w:t xml:space="preserve">Prekė </w:t>
            </w:r>
            <w:r>
              <w:t>turi</w:t>
            </w:r>
            <w:r w:rsidRPr="00CD6BB7">
              <w:t xml:space="preserve"> būti nauja</w:t>
            </w:r>
            <w:r>
              <w:t>;</w:t>
            </w:r>
          </w:p>
        </w:tc>
        <w:tc>
          <w:tcPr>
            <w:tcW w:w="3260" w:type="dxa"/>
          </w:tcPr>
          <w:p w14:paraId="1D8383D5" w14:textId="77777777" w:rsidR="003263EF" w:rsidRDefault="003263EF" w:rsidP="003F0D76">
            <w:pPr>
              <w:rPr>
                <w:b/>
              </w:rPr>
            </w:pPr>
          </w:p>
        </w:tc>
      </w:tr>
      <w:tr w:rsidR="003263EF" w14:paraId="4C02B3AE" w14:textId="77777777" w:rsidTr="00F91D2C">
        <w:tc>
          <w:tcPr>
            <w:tcW w:w="1590" w:type="dxa"/>
            <w:vMerge/>
          </w:tcPr>
          <w:p w14:paraId="48B15A05" w14:textId="77777777" w:rsidR="003263EF" w:rsidRPr="00AA126A" w:rsidRDefault="003263EF" w:rsidP="003F0D76">
            <w:pPr>
              <w:jc w:val="center"/>
            </w:pPr>
          </w:p>
        </w:tc>
        <w:tc>
          <w:tcPr>
            <w:tcW w:w="4966" w:type="dxa"/>
            <w:vAlign w:val="center"/>
          </w:tcPr>
          <w:p w14:paraId="56D73E04" w14:textId="66117512" w:rsidR="003263EF" w:rsidRDefault="003263EF" w:rsidP="003F0D76">
            <w:pPr>
              <w:ind w:firstLine="0"/>
              <w:rPr>
                <w:b/>
              </w:rPr>
            </w:pPr>
            <w:r>
              <w:t xml:space="preserve">1.3. </w:t>
            </w:r>
            <w:r w:rsidRPr="000F3920">
              <w:t>Prietaisas privalo nustatyti UPT ir STP laido nutrūkimus, užtrumpinimus, neteisingus sujungimus, detalizuoti gedimo pobūdį</w:t>
            </w:r>
            <w:r>
              <w:t>;</w:t>
            </w:r>
          </w:p>
        </w:tc>
        <w:tc>
          <w:tcPr>
            <w:tcW w:w="3260" w:type="dxa"/>
          </w:tcPr>
          <w:p w14:paraId="1A73153E" w14:textId="77777777" w:rsidR="003263EF" w:rsidRDefault="003263EF" w:rsidP="003F0D76">
            <w:pPr>
              <w:rPr>
                <w:b/>
              </w:rPr>
            </w:pPr>
          </w:p>
        </w:tc>
      </w:tr>
      <w:tr w:rsidR="003263EF" w14:paraId="2837B60E" w14:textId="77777777" w:rsidTr="00F91D2C">
        <w:tc>
          <w:tcPr>
            <w:tcW w:w="1590" w:type="dxa"/>
            <w:vMerge/>
          </w:tcPr>
          <w:p w14:paraId="49067B71" w14:textId="77777777" w:rsidR="003263EF" w:rsidRPr="00AA126A" w:rsidRDefault="003263EF" w:rsidP="003F0D76">
            <w:pPr>
              <w:jc w:val="center"/>
            </w:pPr>
          </w:p>
        </w:tc>
        <w:tc>
          <w:tcPr>
            <w:tcW w:w="4966" w:type="dxa"/>
            <w:vAlign w:val="center"/>
          </w:tcPr>
          <w:p w14:paraId="18BA836E" w14:textId="0D406A74" w:rsidR="003263EF" w:rsidRDefault="003263EF" w:rsidP="000F3920">
            <w:pPr>
              <w:ind w:firstLine="0"/>
            </w:pPr>
            <w:r>
              <w:t>1.4.</w:t>
            </w:r>
            <w:r w:rsidRPr="000F3920">
              <w:t>Turi būti baterijos iškrovimo indikaciją</w:t>
            </w:r>
            <w:r>
              <w:t>;</w:t>
            </w:r>
          </w:p>
        </w:tc>
        <w:tc>
          <w:tcPr>
            <w:tcW w:w="3260" w:type="dxa"/>
          </w:tcPr>
          <w:p w14:paraId="4650E395" w14:textId="77777777" w:rsidR="003263EF" w:rsidRDefault="003263EF" w:rsidP="003F0D76">
            <w:pPr>
              <w:rPr>
                <w:b/>
              </w:rPr>
            </w:pPr>
          </w:p>
        </w:tc>
      </w:tr>
      <w:tr w:rsidR="003263EF" w14:paraId="10C1A55B" w14:textId="77777777" w:rsidTr="00F91D2C">
        <w:tc>
          <w:tcPr>
            <w:tcW w:w="1590" w:type="dxa"/>
            <w:vMerge/>
          </w:tcPr>
          <w:p w14:paraId="552C3D0B" w14:textId="77777777" w:rsidR="003263EF" w:rsidRPr="00AA126A" w:rsidRDefault="003263EF" w:rsidP="003F0D76">
            <w:pPr>
              <w:jc w:val="center"/>
            </w:pPr>
          </w:p>
        </w:tc>
        <w:tc>
          <w:tcPr>
            <w:tcW w:w="4966" w:type="dxa"/>
            <w:vAlign w:val="center"/>
          </w:tcPr>
          <w:p w14:paraId="1D2EAE02" w14:textId="4EE0BDF9" w:rsidR="003263EF" w:rsidRDefault="003263EF" w:rsidP="000F3920">
            <w:pPr>
              <w:ind w:firstLine="0"/>
            </w:pPr>
            <w:r>
              <w:t>1.5.</w:t>
            </w:r>
            <w:r w:rsidRPr="000F3920">
              <w:t>Prietaisas privalo matuoti: RJ45, RJ11, CAT5, CAT6, CAT7 kabelius</w:t>
            </w:r>
            <w:r>
              <w:t>;</w:t>
            </w:r>
          </w:p>
        </w:tc>
        <w:tc>
          <w:tcPr>
            <w:tcW w:w="3260" w:type="dxa"/>
          </w:tcPr>
          <w:p w14:paraId="22D6427E" w14:textId="77777777" w:rsidR="003263EF" w:rsidRDefault="003263EF" w:rsidP="003F0D76">
            <w:pPr>
              <w:rPr>
                <w:b/>
              </w:rPr>
            </w:pPr>
          </w:p>
        </w:tc>
      </w:tr>
      <w:tr w:rsidR="003263EF" w14:paraId="004CD3D5" w14:textId="77777777" w:rsidTr="00F91D2C">
        <w:tc>
          <w:tcPr>
            <w:tcW w:w="1590" w:type="dxa"/>
            <w:vMerge w:val="restart"/>
            <w:vAlign w:val="center"/>
          </w:tcPr>
          <w:p w14:paraId="48CD4A42" w14:textId="2B2B52A7" w:rsidR="003263EF" w:rsidRPr="00AA126A" w:rsidRDefault="003263EF" w:rsidP="00AA126A">
            <w:pPr>
              <w:ind w:firstLine="0"/>
              <w:jc w:val="center"/>
            </w:pPr>
            <w:r w:rsidRPr="00AA126A">
              <w:t>2</w:t>
            </w:r>
            <w:r>
              <w:t>.</w:t>
            </w:r>
          </w:p>
        </w:tc>
        <w:tc>
          <w:tcPr>
            <w:tcW w:w="4966" w:type="dxa"/>
          </w:tcPr>
          <w:p w14:paraId="06A699C0" w14:textId="28047244" w:rsidR="003263EF" w:rsidRDefault="003263EF" w:rsidP="00F91D2C">
            <w:pPr>
              <w:ind w:firstLine="0"/>
              <w:rPr>
                <w:b/>
              </w:rPr>
            </w:pPr>
            <w:r w:rsidRPr="00CD6BB7">
              <w:t>2.1.</w:t>
            </w:r>
            <w:r>
              <w:rPr>
                <w:b/>
              </w:rPr>
              <w:t xml:space="preserve"> </w:t>
            </w:r>
            <w:r w:rsidRPr="000F3920">
              <w:t>Optinio kabel</w:t>
            </w:r>
            <w:r>
              <w:t>io skaidulos izoliacijos nuėmėja</w:t>
            </w:r>
            <w:r w:rsidRPr="000F3920">
              <w:t xml:space="preserve">s </w:t>
            </w:r>
            <w:r w:rsidRPr="000F3920">
              <w:rPr>
                <w:b/>
              </w:rPr>
              <w:t>(BVPŽ kodas 44512200-4)</w:t>
            </w:r>
            <w:r>
              <w:rPr>
                <w:b/>
              </w:rPr>
              <w:t>:</w:t>
            </w:r>
          </w:p>
        </w:tc>
        <w:tc>
          <w:tcPr>
            <w:tcW w:w="3260" w:type="dxa"/>
            <w:shd w:val="clear" w:color="auto" w:fill="A6A6A6" w:themeFill="background1" w:themeFillShade="A6"/>
          </w:tcPr>
          <w:p w14:paraId="40651113" w14:textId="77777777" w:rsidR="003263EF" w:rsidRDefault="003263EF" w:rsidP="00AA126A">
            <w:pPr>
              <w:rPr>
                <w:b/>
              </w:rPr>
            </w:pPr>
          </w:p>
        </w:tc>
      </w:tr>
      <w:tr w:rsidR="003263EF" w14:paraId="1533B3FB" w14:textId="77777777" w:rsidTr="00F91D2C">
        <w:tc>
          <w:tcPr>
            <w:tcW w:w="1590" w:type="dxa"/>
            <w:vMerge/>
          </w:tcPr>
          <w:p w14:paraId="5D1D67E8" w14:textId="77777777" w:rsidR="003263EF" w:rsidRDefault="003263EF" w:rsidP="00AA126A">
            <w:pPr>
              <w:rPr>
                <w:b/>
              </w:rPr>
            </w:pPr>
          </w:p>
        </w:tc>
        <w:tc>
          <w:tcPr>
            <w:tcW w:w="4966" w:type="dxa"/>
          </w:tcPr>
          <w:p w14:paraId="4C280898" w14:textId="261685EE" w:rsidR="003263EF" w:rsidRDefault="003263EF" w:rsidP="000845EC">
            <w:pPr>
              <w:ind w:firstLine="0"/>
            </w:pPr>
            <w:r>
              <w:t xml:space="preserve">2.2. </w:t>
            </w:r>
            <w:r w:rsidRPr="00CD6BB7">
              <w:t xml:space="preserve">Prekė </w:t>
            </w:r>
            <w:r>
              <w:t>turi</w:t>
            </w:r>
            <w:r w:rsidRPr="00CD6BB7">
              <w:t xml:space="preserve"> būti nauja</w:t>
            </w:r>
            <w:r>
              <w:t>;</w:t>
            </w:r>
          </w:p>
        </w:tc>
        <w:tc>
          <w:tcPr>
            <w:tcW w:w="3260" w:type="dxa"/>
          </w:tcPr>
          <w:p w14:paraId="36DE9CD7" w14:textId="77777777" w:rsidR="003263EF" w:rsidRDefault="003263EF" w:rsidP="00AA126A">
            <w:pPr>
              <w:rPr>
                <w:b/>
              </w:rPr>
            </w:pPr>
          </w:p>
        </w:tc>
      </w:tr>
      <w:tr w:rsidR="003263EF" w14:paraId="581E8E63" w14:textId="77777777" w:rsidTr="00F91D2C">
        <w:tc>
          <w:tcPr>
            <w:tcW w:w="1590" w:type="dxa"/>
            <w:vMerge/>
          </w:tcPr>
          <w:p w14:paraId="1E674243" w14:textId="77777777" w:rsidR="003263EF" w:rsidRDefault="003263EF" w:rsidP="00AA126A">
            <w:pPr>
              <w:rPr>
                <w:b/>
              </w:rPr>
            </w:pPr>
          </w:p>
        </w:tc>
        <w:tc>
          <w:tcPr>
            <w:tcW w:w="4966" w:type="dxa"/>
          </w:tcPr>
          <w:p w14:paraId="7A65BA70" w14:textId="6819CEFE" w:rsidR="003263EF" w:rsidRDefault="003263EF" w:rsidP="001C15CE">
            <w:pPr>
              <w:ind w:firstLine="0"/>
              <w:rPr>
                <w:b/>
              </w:rPr>
            </w:pPr>
            <w:r>
              <w:t xml:space="preserve">2.3. </w:t>
            </w:r>
            <w:r w:rsidRPr="000F3920">
              <w:t>Įrankis skaidulos sluoksniui nuimti. Privalo nuimti skaidulos izoliaciją nuo 0,5 iki 0,125 mm.</w:t>
            </w:r>
          </w:p>
        </w:tc>
        <w:tc>
          <w:tcPr>
            <w:tcW w:w="3260" w:type="dxa"/>
          </w:tcPr>
          <w:p w14:paraId="2BAE4876" w14:textId="77777777" w:rsidR="003263EF" w:rsidRDefault="003263EF" w:rsidP="00AA126A">
            <w:pPr>
              <w:rPr>
                <w:b/>
              </w:rPr>
            </w:pPr>
          </w:p>
        </w:tc>
      </w:tr>
      <w:tr w:rsidR="003263EF" w14:paraId="42A1A114" w14:textId="77777777" w:rsidTr="00F91D2C">
        <w:tc>
          <w:tcPr>
            <w:tcW w:w="1590" w:type="dxa"/>
            <w:vMerge w:val="restart"/>
            <w:vAlign w:val="center"/>
          </w:tcPr>
          <w:p w14:paraId="485D4A88" w14:textId="5195FDF6" w:rsidR="003263EF" w:rsidRPr="00F91D2C" w:rsidRDefault="003263EF" w:rsidP="00BC7C59">
            <w:pPr>
              <w:ind w:firstLine="0"/>
              <w:jc w:val="center"/>
            </w:pPr>
            <w:r w:rsidRPr="00F91D2C">
              <w:t>3.</w:t>
            </w:r>
          </w:p>
        </w:tc>
        <w:tc>
          <w:tcPr>
            <w:tcW w:w="4966" w:type="dxa"/>
          </w:tcPr>
          <w:p w14:paraId="3E0124F7" w14:textId="3EE7D2E0" w:rsidR="003263EF" w:rsidRDefault="003263EF" w:rsidP="00BC7C59">
            <w:pPr>
              <w:ind w:firstLine="0"/>
            </w:pPr>
            <w:r>
              <w:t>3.1. Suspaustas oras</w:t>
            </w:r>
            <w:r w:rsidRPr="000F3920">
              <w:t xml:space="preserve"> IT įrangai prižiūrėti </w:t>
            </w:r>
            <w:r w:rsidRPr="000F3920">
              <w:rPr>
                <w:b/>
              </w:rPr>
              <w:t>(BVPŽ kodas 24113200-1):</w:t>
            </w:r>
          </w:p>
        </w:tc>
        <w:tc>
          <w:tcPr>
            <w:tcW w:w="3260" w:type="dxa"/>
            <w:shd w:val="clear" w:color="auto" w:fill="AEAAAA" w:themeFill="background2" w:themeFillShade="BF"/>
          </w:tcPr>
          <w:p w14:paraId="4CF3DE3D" w14:textId="77777777" w:rsidR="003263EF" w:rsidRDefault="003263EF" w:rsidP="00BC7C59">
            <w:pPr>
              <w:rPr>
                <w:b/>
              </w:rPr>
            </w:pPr>
          </w:p>
        </w:tc>
      </w:tr>
      <w:tr w:rsidR="003263EF" w14:paraId="148620B6" w14:textId="77777777" w:rsidTr="00F91D2C">
        <w:tc>
          <w:tcPr>
            <w:tcW w:w="1590" w:type="dxa"/>
            <w:vMerge/>
          </w:tcPr>
          <w:p w14:paraId="7A34F0B5" w14:textId="5AB14C99" w:rsidR="003263EF" w:rsidRDefault="003263EF" w:rsidP="00BC7C59">
            <w:pPr>
              <w:rPr>
                <w:b/>
              </w:rPr>
            </w:pPr>
          </w:p>
        </w:tc>
        <w:tc>
          <w:tcPr>
            <w:tcW w:w="4966" w:type="dxa"/>
          </w:tcPr>
          <w:p w14:paraId="5C035B32" w14:textId="6F5D0F67" w:rsidR="003263EF" w:rsidRPr="00F91D2C" w:rsidRDefault="003263EF" w:rsidP="000845EC">
            <w:pPr>
              <w:ind w:firstLine="0"/>
            </w:pPr>
            <w:r>
              <w:t>3.2. P</w:t>
            </w:r>
            <w:r w:rsidRPr="00F91D2C">
              <w:t xml:space="preserve">rekė </w:t>
            </w:r>
            <w:r>
              <w:t>turi būti nauja;</w:t>
            </w:r>
          </w:p>
        </w:tc>
        <w:tc>
          <w:tcPr>
            <w:tcW w:w="3260" w:type="dxa"/>
          </w:tcPr>
          <w:p w14:paraId="07CE685B" w14:textId="77777777" w:rsidR="003263EF" w:rsidRDefault="003263EF" w:rsidP="00BC7C59">
            <w:pPr>
              <w:rPr>
                <w:b/>
              </w:rPr>
            </w:pPr>
          </w:p>
        </w:tc>
      </w:tr>
      <w:tr w:rsidR="003263EF" w14:paraId="4DBC9D95" w14:textId="77777777" w:rsidTr="00F91D2C">
        <w:tc>
          <w:tcPr>
            <w:tcW w:w="1590" w:type="dxa"/>
            <w:vMerge/>
          </w:tcPr>
          <w:p w14:paraId="3650748D" w14:textId="77777777" w:rsidR="003263EF" w:rsidRDefault="003263EF" w:rsidP="00BC7C59">
            <w:pPr>
              <w:rPr>
                <w:b/>
              </w:rPr>
            </w:pPr>
          </w:p>
        </w:tc>
        <w:tc>
          <w:tcPr>
            <w:tcW w:w="4966" w:type="dxa"/>
          </w:tcPr>
          <w:p w14:paraId="47940DD4" w14:textId="3FB1512C" w:rsidR="003263EF" w:rsidRPr="00F91D2C" w:rsidRDefault="003263EF" w:rsidP="000845EC">
            <w:pPr>
              <w:ind w:firstLine="0"/>
            </w:pPr>
            <w:r>
              <w:t xml:space="preserve">3.3. </w:t>
            </w:r>
            <w:r w:rsidRPr="000F3920">
              <w:t>Suspaustas oras turi būti skirtas išvalyti iš IT komponentų dulkes ir nešvarumus</w:t>
            </w:r>
            <w:r>
              <w:t>;</w:t>
            </w:r>
          </w:p>
        </w:tc>
        <w:tc>
          <w:tcPr>
            <w:tcW w:w="3260" w:type="dxa"/>
          </w:tcPr>
          <w:p w14:paraId="15E3583B" w14:textId="77777777" w:rsidR="003263EF" w:rsidRDefault="003263EF" w:rsidP="00BC7C59">
            <w:pPr>
              <w:rPr>
                <w:b/>
              </w:rPr>
            </w:pPr>
          </w:p>
        </w:tc>
      </w:tr>
      <w:tr w:rsidR="003263EF" w14:paraId="452C61A6" w14:textId="77777777" w:rsidTr="00F91D2C">
        <w:tc>
          <w:tcPr>
            <w:tcW w:w="1590" w:type="dxa"/>
            <w:vMerge/>
          </w:tcPr>
          <w:p w14:paraId="0B19394D" w14:textId="77777777" w:rsidR="003263EF" w:rsidRDefault="003263EF" w:rsidP="00BC7C59">
            <w:pPr>
              <w:rPr>
                <w:b/>
              </w:rPr>
            </w:pPr>
          </w:p>
        </w:tc>
        <w:tc>
          <w:tcPr>
            <w:tcW w:w="4966" w:type="dxa"/>
          </w:tcPr>
          <w:p w14:paraId="61B7EA94" w14:textId="7499F415" w:rsidR="003263EF" w:rsidRDefault="003263EF" w:rsidP="000F3920">
            <w:pPr>
              <w:ind w:firstLine="0"/>
            </w:pPr>
            <w:r>
              <w:t xml:space="preserve">3.4. </w:t>
            </w:r>
            <w:r w:rsidRPr="000F3920">
              <w:t>Talpa  ne mažiau 600 ml</w:t>
            </w:r>
            <w:r>
              <w:t>;</w:t>
            </w:r>
          </w:p>
        </w:tc>
        <w:tc>
          <w:tcPr>
            <w:tcW w:w="3260" w:type="dxa"/>
          </w:tcPr>
          <w:p w14:paraId="67AF2507" w14:textId="77777777" w:rsidR="003263EF" w:rsidRDefault="003263EF" w:rsidP="00BC7C59">
            <w:pPr>
              <w:rPr>
                <w:b/>
              </w:rPr>
            </w:pPr>
          </w:p>
        </w:tc>
      </w:tr>
      <w:tr w:rsidR="003263EF" w14:paraId="45E4579B" w14:textId="77777777" w:rsidTr="00F91D2C">
        <w:tc>
          <w:tcPr>
            <w:tcW w:w="1590" w:type="dxa"/>
            <w:vMerge/>
          </w:tcPr>
          <w:p w14:paraId="772264DA" w14:textId="77777777" w:rsidR="003263EF" w:rsidRDefault="003263EF" w:rsidP="00BC7C59">
            <w:pPr>
              <w:rPr>
                <w:b/>
              </w:rPr>
            </w:pPr>
          </w:p>
        </w:tc>
        <w:tc>
          <w:tcPr>
            <w:tcW w:w="4966" w:type="dxa"/>
          </w:tcPr>
          <w:p w14:paraId="7D83F1FB" w14:textId="44C32686" w:rsidR="003263EF" w:rsidRPr="000F3920" w:rsidRDefault="003263EF" w:rsidP="000F3920">
            <w:pPr>
              <w:ind w:firstLine="0"/>
            </w:pPr>
            <w:r>
              <w:t xml:space="preserve">3.5. </w:t>
            </w:r>
            <w:r w:rsidRPr="000F3920">
              <w:t>Su purškikliu</w:t>
            </w:r>
            <w:r>
              <w:t>;</w:t>
            </w:r>
          </w:p>
        </w:tc>
        <w:tc>
          <w:tcPr>
            <w:tcW w:w="3260" w:type="dxa"/>
          </w:tcPr>
          <w:p w14:paraId="49E734E0" w14:textId="77777777" w:rsidR="003263EF" w:rsidRDefault="003263EF" w:rsidP="00BC7C59">
            <w:pPr>
              <w:rPr>
                <w:b/>
              </w:rPr>
            </w:pPr>
          </w:p>
        </w:tc>
      </w:tr>
      <w:tr w:rsidR="003263EF" w14:paraId="1FCF2279" w14:textId="77777777" w:rsidTr="00F91D2C">
        <w:tc>
          <w:tcPr>
            <w:tcW w:w="1590" w:type="dxa"/>
            <w:vMerge w:val="restart"/>
            <w:vAlign w:val="center"/>
          </w:tcPr>
          <w:p w14:paraId="3EEA9EAB" w14:textId="71357910" w:rsidR="003263EF" w:rsidRPr="00F91D2C" w:rsidRDefault="003263EF" w:rsidP="00BC7C59">
            <w:pPr>
              <w:ind w:firstLine="0"/>
              <w:jc w:val="center"/>
            </w:pPr>
            <w:r w:rsidRPr="00F91D2C">
              <w:t>4.</w:t>
            </w:r>
          </w:p>
        </w:tc>
        <w:tc>
          <w:tcPr>
            <w:tcW w:w="4966" w:type="dxa"/>
          </w:tcPr>
          <w:p w14:paraId="49D5D6BE" w14:textId="670023CE" w:rsidR="003263EF" w:rsidRDefault="003263EF" w:rsidP="00BC7C59">
            <w:pPr>
              <w:ind w:firstLine="0"/>
            </w:pPr>
            <w:r>
              <w:t>4.1. Optinio signalo šaltini</w:t>
            </w:r>
            <w:r w:rsidRPr="000F3920">
              <w:t xml:space="preserve">s </w:t>
            </w:r>
            <w:r w:rsidRPr="000F3920">
              <w:rPr>
                <w:b/>
              </w:rPr>
              <w:t>(BVPŽ kodas 38410000-2):</w:t>
            </w:r>
          </w:p>
        </w:tc>
        <w:tc>
          <w:tcPr>
            <w:tcW w:w="3260" w:type="dxa"/>
            <w:shd w:val="clear" w:color="auto" w:fill="AEAAAA" w:themeFill="background2" w:themeFillShade="BF"/>
          </w:tcPr>
          <w:p w14:paraId="2B9C21F3" w14:textId="77777777" w:rsidR="003263EF" w:rsidRDefault="003263EF" w:rsidP="00BC7C59">
            <w:pPr>
              <w:rPr>
                <w:b/>
              </w:rPr>
            </w:pPr>
          </w:p>
        </w:tc>
      </w:tr>
      <w:tr w:rsidR="003263EF" w14:paraId="005312D8" w14:textId="77777777" w:rsidTr="00F91D2C">
        <w:tc>
          <w:tcPr>
            <w:tcW w:w="1590" w:type="dxa"/>
            <w:vMerge/>
            <w:vAlign w:val="center"/>
          </w:tcPr>
          <w:p w14:paraId="7DCE8AA6" w14:textId="77777777" w:rsidR="003263EF" w:rsidRDefault="003263EF" w:rsidP="00BC7C59">
            <w:pPr>
              <w:jc w:val="center"/>
              <w:rPr>
                <w:b/>
              </w:rPr>
            </w:pPr>
          </w:p>
        </w:tc>
        <w:tc>
          <w:tcPr>
            <w:tcW w:w="4966" w:type="dxa"/>
          </w:tcPr>
          <w:p w14:paraId="77A9F64A" w14:textId="144235CF" w:rsidR="003263EF" w:rsidRPr="00810A9E" w:rsidRDefault="003263EF" w:rsidP="000845EC">
            <w:pPr>
              <w:ind w:firstLine="0"/>
            </w:pPr>
            <w:r>
              <w:t>4.2. P</w:t>
            </w:r>
            <w:r w:rsidRPr="00F91D2C">
              <w:t xml:space="preserve">rekė </w:t>
            </w:r>
            <w:r>
              <w:t>turi</w:t>
            </w:r>
            <w:r w:rsidRPr="00F91D2C">
              <w:t xml:space="preserve"> būti nauja</w:t>
            </w:r>
            <w:r>
              <w:t>;</w:t>
            </w:r>
          </w:p>
        </w:tc>
        <w:tc>
          <w:tcPr>
            <w:tcW w:w="3260" w:type="dxa"/>
          </w:tcPr>
          <w:p w14:paraId="4E5A7BFA" w14:textId="77777777" w:rsidR="003263EF" w:rsidRDefault="003263EF" w:rsidP="00BC7C59">
            <w:pPr>
              <w:rPr>
                <w:b/>
              </w:rPr>
            </w:pPr>
          </w:p>
        </w:tc>
      </w:tr>
      <w:tr w:rsidR="003263EF" w14:paraId="79EAE54F" w14:textId="77777777" w:rsidTr="00F91D2C">
        <w:tc>
          <w:tcPr>
            <w:tcW w:w="1590" w:type="dxa"/>
            <w:vMerge/>
            <w:vAlign w:val="center"/>
          </w:tcPr>
          <w:p w14:paraId="1F4B5959" w14:textId="77777777" w:rsidR="003263EF" w:rsidRDefault="003263EF" w:rsidP="00BC7C59">
            <w:pPr>
              <w:jc w:val="center"/>
              <w:rPr>
                <w:b/>
              </w:rPr>
            </w:pPr>
          </w:p>
        </w:tc>
        <w:tc>
          <w:tcPr>
            <w:tcW w:w="4966" w:type="dxa"/>
          </w:tcPr>
          <w:p w14:paraId="28AF6926" w14:textId="12B8AB7D" w:rsidR="003263EF" w:rsidRPr="00810A9E" w:rsidRDefault="003263EF" w:rsidP="000845EC">
            <w:pPr>
              <w:ind w:firstLine="0"/>
            </w:pPr>
            <w:r>
              <w:t xml:space="preserve">4.3. </w:t>
            </w:r>
            <w:r w:rsidRPr="000F3920">
              <w:t>Standartinis ST/SC/FC universalus optinis interfeisas, MM ir SM optinių kabelių testavimui</w:t>
            </w:r>
            <w:r>
              <w:t>;</w:t>
            </w:r>
          </w:p>
        </w:tc>
        <w:tc>
          <w:tcPr>
            <w:tcW w:w="3260" w:type="dxa"/>
          </w:tcPr>
          <w:p w14:paraId="6C61AB06" w14:textId="77777777" w:rsidR="003263EF" w:rsidRDefault="003263EF" w:rsidP="00BC7C59">
            <w:pPr>
              <w:rPr>
                <w:b/>
              </w:rPr>
            </w:pPr>
          </w:p>
        </w:tc>
      </w:tr>
      <w:tr w:rsidR="003263EF" w14:paraId="336AAC40" w14:textId="77777777" w:rsidTr="00F91D2C">
        <w:tc>
          <w:tcPr>
            <w:tcW w:w="1590" w:type="dxa"/>
            <w:vMerge/>
            <w:vAlign w:val="center"/>
          </w:tcPr>
          <w:p w14:paraId="08E51BCE" w14:textId="77777777" w:rsidR="003263EF" w:rsidRDefault="003263EF" w:rsidP="00BC7C59">
            <w:pPr>
              <w:jc w:val="center"/>
              <w:rPr>
                <w:b/>
              </w:rPr>
            </w:pPr>
          </w:p>
        </w:tc>
        <w:tc>
          <w:tcPr>
            <w:tcW w:w="4966" w:type="dxa"/>
          </w:tcPr>
          <w:p w14:paraId="5868619C" w14:textId="626C9DA4" w:rsidR="003263EF" w:rsidRDefault="003263EF" w:rsidP="000845EC">
            <w:pPr>
              <w:ind w:firstLine="0"/>
            </w:pPr>
            <w:r>
              <w:t xml:space="preserve">4.4. </w:t>
            </w:r>
            <w:r w:rsidRPr="00C65B52">
              <w:t>Dirba nuolatinės veikos CW ( Continuous Wave) arba impulsiniame rėžime su pastovia išėjimo galia ne mažesne 30mW</w:t>
            </w:r>
            <w:r>
              <w:t>;</w:t>
            </w:r>
          </w:p>
        </w:tc>
        <w:tc>
          <w:tcPr>
            <w:tcW w:w="3260" w:type="dxa"/>
          </w:tcPr>
          <w:p w14:paraId="37758B38" w14:textId="77777777" w:rsidR="003263EF" w:rsidRDefault="003263EF" w:rsidP="00BC7C59">
            <w:pPr>
              <w:rPr>
                <w:b/>
              </w:rPr>
            </w:pPr>
          </w:p>
        </w:tc>
      </w:tr>
      <w:tr w:rsidR="003263EF" w14:paraId="3B254B95" w14:textId="77777777" w:rsidTr="00F91D2C">
        <w:tc>
          <w:tcPr>
            <w:tcW w:w="1590" w:type="dxa"/>
            <w:vMerge/>
            <w:vAlign w:val="center"/>
          </w:tcPr>
          <w:p w14:paraId="068DFD61" w14:textId="77777777" w:rsidR="003263EF" w:rsidRDefault="003263EF" w:rsidP="00BC7C59">
            <w:pPr>
              <w:jc w:val="center"/>
              <w:rPr>
                <w:b/>
              </w:rPr>
            </w:pPr>
          </w:p>
        </w:tc>
        <w:tc>
          <w:tcPr>
            <w:tcW w:w="4966" w:type="dxa"/>
          </w:tcPr>
          <w:p w14:paraId="103E18AE" w14:textId="1FEDBD70" w:rsidR="003263EF" w:rsidRPr="00810A9E" w:rsidRDefault="003263EF" w:rsidP="00BC7C59">
            <w:pPr>
              <w:ind w:firstLine="0"/>
            </w:pPr>
            <w:r>
              <w:t xml:space="preserve">4.5. </w:t>
            </w:r>
            <w:r w:rsidRPr="00C65B52">
              <w:t>Portatyvinis „kišeninis“ dydis t.y. matmenys nuo 175 iki 180x nuo 26 iki 30x nuo 26 iki 30 mm.</w:t>
            </w:r>
          </w:p>
        </w:tc>
        <w:tc>
          <w:tcPr>
            <w:tcW w:w="3260" w:type="dxa"/>
          </w:tcPr>
          <w:p w14:paraId="394585A8" w14:textId="77777777" w:rsidR="003263EF" w:rsidRDefault="003263EF" w:rsidP="00BC7C59">
            <w:pPr>
              <w:rPr>
                <w:b/>
              </w:rPr>
            </w:pPr>
          </w:p>
        </w:tc>
      </w:tr>
      <w:tr w:rsidR="003263EF" w14:paraId="44668740" w14:textId="77777777" w:rsidTr="00F91D2C">
        <w:tc>
          <w:tcPr>
            <w:tcW w:w="1590" w:type="dxa"/>
            <w:vMerge/>
            <w:vAlign w:val="center"/>
          </w:tcPr>
          <w:p w14:paraId="10435F4C" w14:textId="77777777" w:rsidR="003263EF" w:rsidRDefault="003263EF" w:rsidP="00BC7C59">
            <w:pPr>
              <w:jc w:val="center"/>
              <w:rPr>
                <w:b/>
              </w:rPr>
            </w:pPr>
          </w:p>
        </w:tc>
        <w:tc>
          <w:tcPr>
            <w:tcW w:w="4966" w:type="dxa"/>
          </w:tcPr>
          <w:p w14:paraId="03ABAC85" w14:textId="1758E3F3" w:rsidR="003263EF" w:rsidRDefault="003263EF" w:rsidP="000845EC">
            <w:pPr>
              <w:ind w:firstLine="0"/>
            </w:pPr>
            <w:r>
              <w:t xml:space="preserve">4.6. </w:t>
            </w:r>
            <w:r w:rsidRPr="00C65B52">
              <w:t>Galia: 2xAA</w:t>
            </w:r>
            <w:r>
              <w:t>;</w:t>
            </w:r>
          </w:p>
        </w:tc>
        <w:tc>
          <w:tcPr>
            <w:tcW w:w="3260" w:type="dxa"/>
          </w:tcPr>
          <w:p w14:paraId="6C062FD9" w14:textId="77777777" w:rsidR="003263EF" w:rsidRDefault="003263EF" w:rsidP="00BC7C59">
            <w:pPr>
              <w:rPr>
                <w:b/>
              </w:rPr>
            </w:pPr>
          </w:p>
        </w:tc>
      </w:tr>
      <w:tr w:rsidR="003263EF" w14:paraId="6A028C7F" w14:textId="77777777" w:rsidTr="00F91D2C">
        <w:tc>
          <w:tcPr>
            <w:tcW w:w="1590" w:type="dxa"/>
            <w:vMerge/>
            <w:vAlign w:val="center"/>
          </w:tcPr>
          <w:p w14:paraId="75FAFEB1" w14:textId="77777777" w:rsidR="003263EF" w:rsidRDefault="003263EF" w:rsidP="00BC7C59">
            <w:pPr>
              <w:jc w:val="center"/>
              <w:rPr>
                <w:b/>
              </w:rPr>
            </w:pPr>
          </w:p>
        </w:tc>
        <w:tc>
          <w:tcPr>
            <w:tcW w:w="4966" w:type="dxa"/>
          </w:tcPr>
          <w:p w14:paraId="3909C8C2" w14:textId="3C2182A6" w:rsidR="003263EF" w:rsidRDefault="003263EF" w:rsidP="000845EC">
            <w:pPr>
              <w:ind w:firstLine="0"/>
            </w:pPr>
            <w:r>
              <w:t xml:space="preserve">4.7. </w:t>
            </w:r>
            <w:r w:rsidRPr="00C65B52">
              <w:t>Išsikrovusio akumuliatoriaus indikatorius</w:t>
            </w:r>
            <w:r>
              <w:t>;</w:t>
            </w:r>
          </w:p>
        </w:tc>
        <w:tc>
          <w:tcPr>
            <w:tcW w:w="3260" w:type="dxa"/>
          </w:tcPr>
          <w:p w14:paraId="47678914" w14:textId="77777777" w:rsidR="003263EF" w:rsidRDefault="003263EF" w:rsidP="00BC7C59">
            <w:pPr>
              <w:rPr>
                <w:b/>
              </w:rPr>
            </w:pPr>
          </w:p>
        </w:tc>
      </w:tr>
    </w:tbl>
    <w:p w14:paraId="7BCB4DFB" w14:textId="76A69F83" w:rsidR="005B4FC3" w:rsidRDefault="005B4FC3" w:rsidP="0049779A">
      <w:pPr>
        <w:rPr>
          <w:b/>
        </w:rPr>
      </w:pPr>
    </w:p>
    <w:p w14:paraId="7142658A" w14:textId="77777777" w:rsidR="003263EF" w:rsidRDefault="003263EF" w:rsidP="0049779A">
      <w:pPr>
        <w:rPr>
          <w:b/>
        </w:rPr>
      </w:pPr>
    </w:p>
    <w:p w14:paraId="2BD96E74" w14:textId="77777777" w:rsidR="00AA126A" w:rsidRDefault="00AA126A"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153CF356" w14:textId="13054A7F" w:rsidR="00854156" w:rsidRDefault="00854156" w:rsidP="0049779A">
      <w:pPr>
        <w:rPr>
          <w:b/>
        </w:rPr>
      </w:pPr>
    </w:p>
    <w:p w14:paraId="4D079884" w14:textId="77777777" w:rsidR="00121B51" w:rsidRDefault="00121B51"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34195C84" w:rsidR="000A24D5" w:rsidRDefault="000A24D5" w:rsidP="0049779A">
      <w:pPr>
        <w:rPr>
          <w:b/>
        </w:rPr>
      </w:pPr>
    </w:p>
    <w:p w14:paraId="4BFF0DB8" w14:textId="41CDE8DD"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77777777" w:rsidR="00DE03E9" w:rsidRPr="00AC531E" w:rsidRDefault="00DE03E9" w:rsidP="00DE03E9">
      <w:pPr>
        <w:jc w:val="center"/>
        <w:rPr>
          <w:rFonts w:eastAsia="Calibri"/>
        </w:rPr>
      </w:pPr>
      <w:r>
        <w:rPr>
          <w:rFonts w:eastAsia="Calibri"/>
        </w:rPr>
        <w:t>2025</w:t>
      </w:r>
      <w:r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53050D2D"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Pirkimo objektas –</w:t>
            </w:r>
            <w:r w:rsidR="000C5504">
              <w:rPr>
                <w:rFonts w:eastAsia="Calibri"/>
              </w:rPr>
              <w:t xml:space="preserve"> </w:t>
            </w:r>
            <w:r w:rsidR="00C65B52">
              <w:rPr>
                <w:rFonts w:eastAsia="Calibri"/>
              </w:rPr>
              <w:t>LAN kabelių matuokliai</w:t>
            </w:r>
            <w:r w:rsidR="00C65B52" w:rsidRPr="00C65B52">
              <w:rPr>
                <w:rFonts w:eastAsia="Calibri"/>
              </w:rPr>
              <w:t>, optinio kabelio skaidulos izoliacijos nuėmėj</w:t>
            </w:r>
            <w:r w:rsidR="00C65B52">
              <w:rPr>
                <w:rFonts w:eastAsia="Calibri"/>
              </w:rPr>
              <w:t>ai</w:t>
            </w:r>
            <w:r w:rsidR="00C65B52" w:rsidRPr="00C65B52">
              <w:rPr>
                <w:rFonts w:eastAsia="Calibri"/>
              </w:rPr>
              <w:t>, suspaust</w:t>
            </w:r>
            <w:r w:rsidR="00C65B52">
              <w:rPr>
                <w:rFonts w:eastAsia="Calibri"/>
              </w:rPr>
              <w:t>as</w:t>
            </w:r>
            <w:r w:rsidR="00C65B52" w:rsidRPr="00C65B52">
              <w:rPr>
                <w:rFonts w:eastAsia="Calibri"/>
              </w:rPr>
              <w:t xml:space="preserve"> or</w:t>
            </w:r>
            <w:r w:rsidR="00C65B52">
              <w:rPr>
                <w:rFonts w:eastAsia="Calibri"/>
              </w:rPr>
              <w:t>as IT įrangai prižiūrėti</w:t>
            </w:r>
            <w:r w:rsidR="00C65B52" w:rsidRPr="00C65B52">
              <w:rPr>
                <w:rFonts w:eastAsia="Calibri"/>
              </w:rPr>
              <w:t>, optinio signalo šaltini</w:t>
            </w:r>
            <w:r w:rsidR="00C65B52">
              <w:rPr>
                <w:rFonts w:eastAsia="Calibri"/>
              </w:rPr>
              <w:t>ai</w:t>
            </w:r>
            <w:r w:rsidR="000C5504">
              <w:rPr>
                <w:rFonts w:eastAsia="Calibri"/>
              </w:rPr>
              <w:t xml:space="preserve">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3F177BFF" w:rsidR="00DE03E9" w:rsidRPr="00AC531E" w:rsidRDefault="00DE03E9" w:rsidP="000C5504">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w:t>
            </w:r>
            <w:r w:rsidR="003263EF" w:rsidRPr="003263EF">
              <w:rPr>
                <w:rFonts w:eastAsia="Calibri"/>
              </w:rPr>
              <w:t xml:space="preserve">Prekės turi būti pristatytos </w:t>
            </w:r>
            <w:r w:rsidR="003263EF" w:rsidRPr="003263EF">
              <w:rPr>
                <w:rFonts w:eastAsia="Calibri"/>
                <w:b/>
                <w:i/>
              </w:rPr>
              <w:t xml:space="preserve">Pirkėjui, jo </w:t>
            </w:r>
            <w:r w:rsidR="003263EF" w:rsidRPr="003263EF">
              <w:rPr>
                <w:rFonts w:eastAsia="Calibri"/>
              </w:rPr>
              <w:t>darbo valandomis, 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 Prekės yra priimamos pasirašant perdavimo–priėmimo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0CAA61F"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7E162F">
              <w:t>oja</w:t>
            </w:r>
            <w:r w:rsidR="00A12E67">
              <w:t xml:space="preserve"> 6</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77777777"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Pr="00697D3D">
              <w:rPr>
                <w:szCs w:val="20"/>
              </w:rPr>
              <w:t xml:space="preserve">eil. Aidas Bernotas tel. +370 706 81 147, el.p. </w:t>
            </w:r>
            <w:r w:rsidRPr="00697D3D">
              <w:rPr>
                <w:i/>
                <w:szCs w:val="20"/>
                <w:u w:val="single"/>
              </w:rPr>
              <w:t>aidas.bernotas@mil.l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592009D7" w:rsidR="00DE03E9" w:rsidRPr="00AC531E" w:rsidRDefault="00DE03E9" w:rsidP="00DE03E9">
            <w:pPr>
              <w:numPr>
                <w:ilvl w:val="1"/>
                <w:numId w:val="34"/>
              </w:numPr>
              <w:tabs>
                <w:tab w:val="left" w:pos="317"/>
              </w:tabs>
              <w:ind w:left="33" w:firstLine="0"/>
              <w:contextualSpacing/>
            </w:pPr>
            <w:r w:rsidRPr="00AC531E">
              <w:t>1 priedas prie sutarties, „</w:t>
            </w:r>
            <w:r w:rsidR="00C65B52" w:rsidRPr="00C65B52">
              <w:t>LAN kabelių matuokli</w:t>
            </w:r>
            <w:r w:rsidR="00C65B52">
              <w:t>ų</w:t>
            </w:r>
            <w:r w:rsidR="00C65B52" w:rsidRPr="00C65B52">
              <w:t>, optinio kabelio skaidulos izoliacijos nuėmėj</w:t>
            </w:r>
            <w:r w:rsidR="00C65B52">
              <w:t>ų</w:t>
            </w:r>
            <w:r w:rsidR="00C65B52" w:rsidRPr="00C65B52">
              <w:t>, suspaust</w:t>
            </w:r>
            <w:r w:rsidR="00C65B52">
              <w:t>o</w:t>
            </w:r>
            <w:r w:rsidR="00C65B52" w:rsidRPr="00C65B52">
              <w:t xml:space="preserve"> or</w:t>
            </w:r>
            <w:r w:rsidR="00C65B52">
              <w:t>o</w:t>
            </w:r>
            <w:r w:rsidR="00C65B52" w:rsidRPr="00C65B52">
              <w:t>, optinio signalo šaltini</w:t>
            </w:r>
            <w:r w:rsidR="00C65B52">
              <w:t>ų</w:t>
            </w:r>
            <w:r w:rsidR="00C65B52" w:rsidRPr="00C65B52">
              <w:t xml:space="preserve"> </w:t>
            </w:r>
            <w:r>
              <w:t>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77777777" w:rsidR="00DE03E9" w:rsidRPr="00AC531E" w:rsidRDefault="00DE03E9" w:rsidP="00DE03E9">
      <w:pPr>
        <w:rPr>
          <w:rFonts w:eastAsia="Arial"/>
          <w:color w:val="000000" w:themeColor="text1"/>
          <w:lang w:eastAsia="ar-SA"/>
        </w:rPr>
      </w:pPr>
      <w:r>
        <w:rPr>
          <w:rFonts w:eastAsia="Arial"/>
          <w:color w:val="000000" w:themeColor="text1"/>
          <w:lang w:eastAsia="ar-SA"/>
        </w:rPr>
        <w:t xml:space="preserve">bataliono vadė                                                                             </w:t>
      </w:r>
      <w:r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71FCC9E5"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09DA48C3" w14:textId="77777777" w:rsidR="00DE03E9" w:rsidRDefault="00DE03E9" w:rsidP="00DE03E9"/>
    <w:p w14:paraId="162609FA" w14:textId="77777777" w:rsidR="00DE03E9" w:rsidRDefault="00DE03E9" w:rsidP="00DE03E9"/>
    <w:p w14:paraId="4C598AF2" w14:textId="77777777" w:rsidR="00DE03E9" w:rsidRDefault="00DE03E9" w:rsidP="00DE03E9"/>
    <w:p w14:paraId="22343890" w14:textId="77777777" w:rsidR="00DE03E9" w:rsidRDefault="00DE03E9" w:rsidP="00DE03E9"/>
    <w:p w14:paraId="486AAD33" w14:textId="77777777" w:rsidR="00DE03E9" w:rsidRDefault="00DE03E9" w:rsidP="00DE03E9"/>
    <w:p w14:paraId="3F8362E8" w14:textId="77777777" w:rsidR="00DE03E9" w:rsidRDefault="00DE03E9" w:rsidP="00DE03E9"/>
    <w:p w14:paraId="2E762EE8" w14:textId="77777777" w:rsidR="00DE03E9" w:rsidRDefault="00DE03E9" w:rsidP="00DE03E9"/>
    <w:p w14:paraId="06F23ED8" w14:textId="77777777" w:rsidR="00DE03E9" w:rsidRPr="00697D3D" w:rsidRDefault="00DE03E9" w:rsidP="00DE03E9">
      <w:pPr>
        <w:rPr>
          <w:rFonts w:eastAsia="Calibri"/>
          <w:lang w:val="en-US"/>
        </w:rPr>
      </w:pPr>
    </w:p>
    <w:p w14:paraId="16619FAA" w14:textId="77777777" w:rsidR="00DE03E9" w:rsidRDefault="00DE03E9" w:rsidP="00DE03E9">
      <w:pPr>
        <w:ind w:left="6480"/>
      </w:pPr>
    </w:p>
    <w:p w14:paraId="3A370344" w14:textId="77777777" w:rsidR="00DE03E9" w:rsidRDefault="00DE03E9" w:rsidP="00DE03E9">
      <w:pPr>
        <w:ind w:left="6480"/>
      </w:pPr>
    </w:p>
    <w:p w14:paraId="6B851E9E" w14:textId="77777777" w:rsidR="00DE03E9" w:rsidRDefault="00DE03E9" w:rsidP="00DE03E9">
      <w:pPr>
        <w:ind w:left="6480"/>
      </w:pPr>
    </w:p>
    <w:p w14:paraId="6CF48836" w14:textId="77777777" w:rsidR="00DE03E9" w:rsidRDefault="00DE03E9" w:rsidP="00DE03E9">
      <w:pPr>
        <w:ind w:left="6480"/>
      </w:pPr>
    </w:p>
    <w:p w14:paraId="7C1A6059" w14:textId="77777777" w:rsidR="00DE03E9" w:rsidRDefault="00DE03E9" w:rsidP="00DE03E9">
      <w:pPr>
        <w:ind w:left="6480"/>
      </w:pPr>
    </w:p>
    <w:p w14:paraId="1AEF235B" w14:textId="77777777" w:rsidR="00DE03E9" w:rsidRDefault="00DE03E9" w:rsidP="00DE03E9">
      <w:pPr>
        <w:ind w:left="6480"/>
      </w:pPr>
    </w:p>
    <w:p w14:paraId="2CA5E549" w14:textId="3EA99690" w:rsidR="00DE03E9" w:rsidRDefault="00DE03E9" w:rsidP="00DE03E9"/>
    <w:p w14:paraId="0B01D693" w14:textId="23DCD3F0" w:rsidR="00BC7C59" w:rsidRDefault="00BC7C59" w:rsidP="00DE03E9"/>
    <w:p w14:paraId="69BB61C5" w14:textId="77777777" w:rsidR="00BC7C59" w:rsidRDefault="00BC7C59" w:rsidP="00DE03E9"/>
    <w:p w14:paraId="7359FD27" w14:textId="77777777" w:rsidR="00DE03E9" w:rsidRDefault="00DE03E9"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77777777" w:rsidR="00DE03E9" w:rsidRPr="0063141E" w:rsidRDefault="00DE03E9" w:rsidP="00DE03E9">
      <w:pPr>
        <w:ind w:left="6480"/>
      </w:pPr>
      <w:r>
        <w:t>2025</w:t>
      </w:r>
      <w:r w:rsidRPr="0063141E">
        <w:t xml:space="preserve"> m. ____________d. Nr.</w:t>
      </w:r>
      <w:r>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7182BEA4" w14:textId="5CDE0549" w:rsidR="000C5504" w:rsidRDefault="00C65B52" w:rsidP="00DE03E9">
      <w:pPr>
        <w:jc w:val="center"/>
        <w:rPr>
          <w:b/>
          <w:i/>
        </w:rPr>
      </w:pPr>
      <w:r w:rsidRPr="00C65B52">
        <w:rPr>
          <w:b/>
          <w:i/>
        </w:rPr>
        <w:t>LAN kabelių matuoklių, optinio kabelio skaidulos izoliacijos nuėmėjų, suspausto oro, optinio signalo šaltinių techninė specifikacija</w:t>
      </w:r>
    </w:p>
    <w:p w14:paraId="4C7D9D4E" w14:textId="77777777" w:rsidR="00C65B52" w:rsidRPr="00C65B52" w:rsidRDefault="00C65B52" w:rsidP="00DE03E9">
      <w:pPr>
        <w:jc w:val="center"/>
        <w:rPr>
          <w:b/>
          <w:lang w:val="en-US"/>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501"/>
        <w:gridCol w:w="2551"/>
        <w:gridCol w:w="1560"/>
        <w:gridCol w:w="992"/>
        <w:gridCol w:w="850"/>
        <w:gridCol w:w="993"/>
      </w:tblGrid>
      <w:tr w:rsidR="00DE03E9" w:rsidRPr="0063141E" w14:paraId="54B3D82B" w14:textId="77777777" w:rsidTr="003263EF">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2501"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2551"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1560"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C65B52" w:rsidRPr="0063141E" w14:paraId="32A18A8C" w14:textId="77777777" w:rsidTr="003263EF">
        <w:trPr>
          <w:trHeight w:val="300"/>
        </w:trPr>
        <w:tc>
          <w:tcPr>
            <w:tcW w:w="520" w:type="dxa"/>
            <w:noWrap/>
            <w:vAlign w:val="center"/>
          </w:tcPr>
          <w:p w14:paraId="1278BA3F" w14:textId="77777777" w:rsidR="00C65B52" w:rsidRDefault="00C65B52" w:rsidP="00C65B52">
            <w:pPr>
              <w:jc w:val="center"/>
            </w:pPr>
            <w:r>
              <w:t>1.</w:t>
            </w:r>
          </w:p>
        </w:tc>
        <w:tc>
          <w:tcPr>
            <w:tcW w:w="2501" w:type="dxa"/>
            <w:tcBorders>
              <w:top w:val="single" w:sz="4" w:space="0" w:color="auto"/>
              <w:left w:val="single" w:sz="4" w:space="0" w:color="auto"/>
              <w:bottom w:val="single" w:sz="4" w:space="0" w:color="auto"/>
              <w:right w:val="single" w:sz="4" w:space="0" w:color="auto"/>
            </w:tcBorders>
            <w:vAlign w:val="center"/>
          </w:tcPr>
          <w:p w14:paraId="3C8DC772" w14:textId="158AEFBE" w:rsidR="00C65B52" w:rsidRPr="000A0C6D" w:rsidRDefault="00C65B52" w:rsidP="00C65B52">
            <w:pPr>
              <w:jc w:val="center"/>
              <w:rPr>
                <w:lang w:eastAsia="lt-LT"/>
              </w:rPr>
            </w:pPr>
            <w:r w:rsidRPr="00B57262">
              <w:t>LAN kabelių matuoklis</w:t>
            </w:r>
          </w:p>
        </w:tc>
        <w:tc>
          <w:tcPr>
            <w:tcW w:w="2551" w:type="dxa"/>
            <w:vAlign w:val="center"/>
          </w:tcPr>
          <w:p w14:paraId="262941F9" w14:textId="3FFD5573" w:rsidR="00C65B52" w:rsidRPr="00A05176" w:rsidRDefault="00C65B52" w:rsidP="003263EF">
            <w:pPr>
              <w:pStyle w:val="ListParagraph"/>
              <w:tabs>
                <w:tab w:val="left" w:pos="503"/>
              </w:tabs>
              <w:ind w:left="0"/>
              <w:jc w:val="both"/>
            </w:pPr>
            <w:r w:rsidRPr="000E4915">
              <w:t>Prekė turi būti nauja. Prietaisas privalo nustatyti UPT ir STP laido nutrūkimus, užtrumpinimus, neteisingus sujungimus, detalizuoti gedimo pobūdį. Turi būti baterijos iškrovimo indikaciją. Prietaisas privalo matuoti: RJ45, RJ11, CAT5, CAT6, CAT7 kabelius.</w:t>
            </w:r>
            <w:r>
              <w:t xml:space="preserve"> </w:t>
            </w:r>
          </w:p>
        </w:tc>
        <w:tc>
          <w:tcPr>
            <w:tcW w:w="1560" w:type="dxa"/>
            <w:vAlign w:val="center"/>
          </w:tcPr>
          <w:p w14:paraId="17D4B3F8" w14:textId="77777777" w:rsidR="00C65B52" w:rsidRDefault="00C65B52" w:rsidP="00C65B52">
            <w:pPr>
              <w:jc w:val="center"/>
            </w:pPr>
            <w:r>
              <w:t>vnt.</w:t>
            </w:r>
          </w:p>
        </w:tc>
        <w:tc>
          <w:tcPr>
            <w:tcW w:w="992" w:type="dxa"/>
            <w:noWrap/>
          </w:tcPr>
          <w:p w14:paraId="5608E1A5" w14:textId="77777777" w:rsidR="00C65B52" w:rsidRPr="0063141E" w:rsidRDefault="00C65B52" w:rsidP="00C65B52">
            <w:pPr>
              <w:jc w:val="center"/>
            </w:pPr>
          </w:p>
        </w:tc>
        <w:tc>
          <w:tcPr>
            <w:tcW w:w="850" w:type="dxa"/>
            <w:noWrap/>
            <w:vAlign w:val="center"/>
          </w:tcPr>
          <w:p w14:paraId="2DC56BC2" w14:textId="14D0F373" w:rsidR="00C65B52" w:rsidRPr="003A36F0" w:rsidRDefault="00C65B52" w:rsidP="00C65B52">
            <w:pPr>
              <w:jc w:val="center"/>
              <w:rPr>
                <w:color w:val="000000"/>
              </w:rPr>
            </w:pPr>
            <w:r>
              <w:t>6</w:t>
            </w:r>
          </w:p>
        </w:tc>
        <w:tc>
          <w:tcPr>
            <w:tcW w:w="993" w:type="dxa"/>
            <w:noWrap/>
            <w:vAlign w:val="center"/>
          </w:tcPr>
          <w:p w14:paraId="09C3ABC6" w14:textId="77777777" w:rsidR="00C65B52" w:rsidRPr="0063141E" w:rsidRDefault="00C65B52" w:rsidP="00C65B52">
            <w:pPr>
              <w:jc w:val="center"/>
              <w:rPr>
                <w:sz w:val="20"/>
              </w:rPr>
            </w:pPr>
          </w:p>
        </w:tc>
      </w:tr>
      <w:tr w:rsidR="00C65B52" w:rsidRPr="0063141E" w14:paraId="4C3B895B" w14:textId="77777777" w:rsidTr="003263EF">
        <w:trPr>
          <w:trHeight w:val="300"/>
        </w:trPr>
        <w:tc>
          <w:tcPr>
            <w:tcW w:w="520" w:type="dxa"/>
            <w:noWrap/>
            <w:vAlign w:val="center"/>
          </w:tcPr>
          <w:p w14:paraId="7A4CD880" w14:textId="77777777" w:rsidR="00C65B52" w:rsidRDefault="00C65B52" w:rsidP="00C65B52">
            <w:pPr>
              <w:jc w:val="center"/>
            </w:pPr>
            <w:r>
              <w:t>2.</w:t>
            </w:r>
          </w:p>
        </w:tc>
        <w:tc>
          <w:tcPr>
            <w:tcW w:w="2501" w:type="dxa"/>
            <w:tcBorders>
              <w:top w:val="single" w:sz="4" w:space="0" w:color="auto"/>
              <w:left w:val="single" w:sz="4" w:space="0" w:color="auto"/>
              <w:bottom w:val="single" w:sz="4" w:space="0" w:color="auto"/>
              <w:right w:val="single" w:sz="4" w:space="0" w:color="auto"/>
            </w:tcBorders>
            <w:vAlign w:val="center"/>
          </w:tcPr>
          <w:p w14:paraId="711A96D1" w14:textId="33717936" w:rsidR="00C65B52" w:rsidRPr="000A0C6D" w:rsidRDefault="00C65B52" w:rsidP="00C65B52">
            <w:pPr>
              <w:jc w:val="center"/>
              <w:rPr>
                <w:lang w:eastAsia="lt-LT"/>
              </w:rPr>
            </w:pPr>
            <w:r w:rsidRPr="00B57262">
              <w:t>Optinio kabelio skaidulos izoliacijos nuėmėjas</w:t>
            </w:r>
          </w:p>
        </w:tc>
        <w:tc>
          <w:tcPr>
            <w:tcW w:w="2551" w:type="dxa"/>
            <w:vAlign w:val="center"/>
          </w:tcPr>
          <w:p w14:paraId="2418B48E" w14:textId="7322BFD1" w:rsidR="00C65B52" w:rsidRPr="00A05176" w:rsidRDefault="00C65B52" w:rsidP="003263EF">
            <w:pPr>
              <w:tabs>
                <w:tab w:val="left" w:pos="360"/>
              </w:tabs>
              <w:spacing w:line="276" w:lineRule="auto"/>
              <w:jc w:val="both"/>
              <w:outlineLvl w:val="0"/>
            </w:pPr>
            <w:r w:rsidRPr="000E4915">
              <w:t xml:space="preserve">Prekė privalo būti nauja. Įrankis skaidulos sluoksniui nuimti. Privalo nuimti skaidulos izoliaciją nuo 0,5 iki 0,125 mm. </w:t>
            </w:r>
          </w:p>
        </w:tc>
        <w:tc>
          <w:tcPr>
            <w:tcW w:w="1560" w:type="dxa"/>
            <w:vAlign w:val="center"/>
          </w:tcPr>
          <w:p w14:paraId="62D38353" w14:textId="77777777" w:rsidR="00C65B52" w:rsidRDefault="00C65B52" w:rsidP="00C65B52">
            <w:pPr>
              <w:jc w:val="center"/>
            </w:pPr>
            <w:r w:rsidRPr="00262E9D">
              <w:t>vnt.</w:t>
            </w:r>
          </w:p>
        </w:tc>
        <w:tc>
          <w:tcPr>
            <w:tcW w:w="992" w:type="dxa"/>
            <w:noWrap/>
          </w:tcPr>
          <w:p w14:paraId="6761FBE3" w14:textId="77777777" w:rsidR="00C65B52" w:rsidRPr="0063141E" w:rsidRDefault="00C65B52" w:rsidP="00C65B52">
            <w:pPr>
              <w:jc w:val="center"/>
            </w:pPr>
          </w:p>
        </w:tc>
        <w:tc>
          <w:tcPr>
            <w:tcW w:w="850" w:type="dxa"/>
            <w:noWrap/>
            <w:vAlign w:val="center"/>
          </w:tcPr>
          <w:p w14:paraId="35093385" w14:textId="50EE75E0" w:rsidR="00C65B52" w:rsidRDefault="00C65B52" w:rsidP="00C65B52">
            <w:pPr>
              <w:jc w:val="center"/>
              <w:rPr>
                <w:color w:val="000000"/>
              </w:rPr>
            </w:pPr>
            <w:r>
              <w:t>6</w:t>
            </w:r>
          </w:p>
        </w:tc>
        <w:tc>
          <w:tcPr>
            <w:tcW w:w="993" w:type="dxa"/>
            <w:noWrap/>
            <w:vAlign w:val="center"/>
          </w:tcPr>
          <w:p w14:paraId="3D0A390D" w14:textId="77777777" w:rsidR="00C65B52" w:rsidRPr="0063141E" w:rsidRDefault="00C65B52" w:rsidP="00C65B52">
            <w:pPr>
              <w:jc w:val="center"/>
              <w:rPr>
                <w:sz w:val="20"/>
              </w:rPr>
            </w:pPr>
          </w:p>
        </w:tc>
      </w:tr>
      <w:tr w:rsidR="00C65B52" w:rsidRPr="0063141E" w14:paraId="2BA90D48" w14:textId="77777777" w:rsidTr="003263EF">
        <w:trPr>
          <w:trHeight w:val="300"/>
        </w:trPr>
        <w:tc>
          <w:tcPr>
            <w:tcW w:w="520" w:type="dxa"/>
            <w:noWrap/>
            <w:vAlign w:val="center"/>
          </w:tcPr>
          <w:p w14:paraId="4B6EDCFC" w14:textId="7066EA0D" w:rsidR="00C65B52" w:rsidRDefault="00C65B52" w:rsidP="00C65B52">
            <w:pPr>
              <w:jc w:val="center"/>
            </w:pPr>
            <w:r>
              <w:t>3.</w:t>
            </w:r>
          </w:p>
        </w:tc>
        <w:tc>
          <w:tcPr>
            <w:tcW w:w="2501" w:type="dxa"/>
            <w:tcBorders>
              <w:top w:val="single" w:sz="4" w:space="0" w:color="auto"/>
              <w:left w:val="single" w:sz="4" w:space="0" w:color="auto"/>
              <w:bottom w:val="single" w:sz="4" w:space="0" w:color="auto"/>
              <w:right w:val="single" w:sz="4" w:space="0" w:color="auto"/>
            </w:tcBorders>
            <w:vAlign w:val="center"/>
          </w:tcPr>
          <w:p w14:paraId="77209299" w14:textId="2DD9BF2D" w:rsidR="00C65B52" w:rsidRPr="00C04459" w:rsidRDefault="00C65B52" w:rsidP="00C65B52">
            <w:pPr>
              <w:jc w:val="center"/>
            </w:pPr>
            <w:r w:rsidRPr="00B57262">
              <w:t>Suspaustas oras IT įrangai prižiurėti</w:t>
            </w:r>
          </w:p>
        </w:tc>
        <w:tc>
          <w:tcPr>
            <w:tcW w:w="2551" w:type="dxa"/>
            <w:vAlign w:val="center"/>
          </w:tcPr>
          <w:p w14:paraId="37A4FCBB" w14:textId="4536857A" w:rsidR="00C65B52" w:rsidRPr="00CB2F53" w:rsidRDefault="00C65B52" w:rsidP="003263EF">
            <w:pPr>
              <w:tabs>
                <w:tab w:val="left" w:pos="360"/>
              </w:tabs>
              <w:spacing w:line="276" w:lineRule="auto"/>
              <w:jc w:val="both"/>
              <w:outlineLvl w:val="0"/>
            </w:pPr>
            <w:r w:rsidRPr="000E4915">
              <w:t xml:space="preserve">Prekė turi būti nauja. Suspaustas oras turi būti skirtas išvalyti iš IT komponentų dulkes ir nešvarumus. Talpa  ne mažiau 600 ml. Su purškikliu. </w:t>
            </w:r>
          </w:p>
        </w:tc>
        <w:tc>
          <w:tcPr>
            <w:tcW w:w="1560" w:type="dxa"/>
            <w:vAlign w:val="center"/>
          </w:tcPr>
          <w:p w14:paraId="4F80633B" w14:textId="5C00632C" w:rsidR="00C65B52" w:rsidRPr="00262E9D" w:rsidRDefault="00C65B52" w:rsidP="00C65B52">
            <w:pPr>
              <w:jc w:val="center"/>
            </w:pPr>
            <w:r w:rsidRPr="002161FC">
              <w:t>vnt.</w:t>
            </w:r>
          </w:p>
        </w:tc>
        <w:tc>
          <w:tcPr>
            <w:tcW w:w="992" w:type="dxa"/>
            <w:noWrap/>
          </w:tcPr>
          <w:p w14:paraId="0B6BAB59" w14:textId="77777777" w:rsidR="00C65B52" w:rsidRPr="0063141E" w:rsidRDefault="00C65B52" w:rsidP="00C65B52">
            <w:pPr>
              <w:jc w:val="center"/>
            </w:pPr>
          </w:p>
        </w:tc>
        <w:tc>
          <w:tcPr>
            <w:tcW w:w="850" w:type="dxa"/>
            <w:noWrap/>
            <w:vAlign w:val="center"/>
          </w:tcPr>
          <w:p w14:paraId="3C9931CD" w14:textId="4490C792" w:rsidR="00C65B52" w:rsidRDefault="00C65B52" w:rsidP="00C65B52">
            <w:pPr>
              <w:jc w:val="center"/>
            </w:pPr>
            <w:r>
              <w:t>200</w:t>
            </w:r>
          </w:p>
        </w:tc>
        <w:tc>
          <w:tcPr>
            <w:tcW w:w="993" w:type="dxa"/>
            <w:noWrap/>
            <w:vAlign w:val="center"/>
          </w:tcPr>
          <w:p w14:paraId="5C184F5A" w14:textId="77777777" w:rsidR="00C65B52" w:rsidRPr="0063141E" w:rsidRDefault="00C65B52" w:rsidP="00C65B52">
            <w:pPr>
              <w:jc w:val="center"/>
              <w:rPr>
                <w:sz w:val="20"/>
              </w:rPr>
            </w:pPr>
          </w:p>
        </w:tc>
      </w:tr>
      <w:tr w:rsidR="00C65B52" w:rsidRPr="0063141E" w14:paraId="4977C0C9" w14:textId="77777777" w:rsidTr="003263EF">
        <w:trPr>
          <w:trHeight w:val="300"/>
        </w:trPr>
        <w:tc>
          <w:tcPr>
            <w:tcW w:w="520" w:type="dxa"/>
            <w:noWrap/>
            <w:vAlign w:val="center"/>
          </w:tcPr>
          <w:p w14:paraId="6DEE4F52" w14:textId="10C8B76C" w:rsidR="00C65B52" w:rsidRDefault="00C65B52" w:rsidP="00C65B52">
            <w:pPr>
              <w:jc w:val="center"/>
            </w:pPr>
            <w:r>
              <w:t>4.</w:t>
            </w:r>
          </w:p>
        </w:tc>
        <w:tc>
          <w:tcPr>
            <w:tcW w:w="2501" w:type="dxa"/>
            <w:tcBorders>
              <w:top w:val="single" w:sz="4" w:space="0" w:color="auto"/>
              <w:left w:val="single" w:sz="4" w:space="0" w:color="auto"/>
              <w:bottom w:val="single" w:sz="4" w:space="0" w:color="auto"/>
              <w:right w:val="single" w:sz="4" w:space="0" w:color="auto"/>
            </w:tcBorders>
            <w:vAlign w:val="center"/>
          </w:tcPr>
          <w:p w14:paraId="6A65EF47" w14:textId="1C63161F" w:rsidR="00C65B52" w:rsidRPr="00C04459" w:rsidRDefault="00C65B52" w:rsidP="00C65B52">
            <w:pPr>
              <w:jc w:val="center"/>
            </w:pPr>
            <w:r w:rsidRPr="00B57262">
              <w:t>Optinio signalo šaltinis</w:t>
            </w:r>
          </w:p>
        </w:tc>
        <w:tc>
          <w:tcPr>
            <w:tcW w:w="2551" w:type="dxa"/>
            <w:vAlign w:val="center"/>
          </w:tcPr>
          <w:p w14:paraId="6399659C" w14:textId="4555C3A7" w:rsidR="00C65B52" w:rsidRPr="00CB2F53" w:rsidRDefault="00C65B52" w:rsidP="003263EF">
            <w:pPr>
              <w:tabs>
                <w:tab w:val="left" w:pos="360"/>
              </w:tabs>
              <w:spacing w:line="276" w:lineRule="auto"/>
              <w:jc w:val="both"/>
              <w:outlineLvl w:val="0"/>
            </w:pPr>
            <w:r w:rsidRPr="000E4915">
              <w:t xml:space="preserve">Prekė privalo būti nauja. Standartinis ST/SC/FC universalus optinis interfeisas, MM ir SM optinių kabelių testavimui. Dirba nuolatinės veikos CW ( Continuous Wave) arba impulsiniame rėžime su pastovia išėjimo galia ne mažesne 30mW. </w:t>
            </w:r>
            <w:r w:rsidRPr="000E4915">
              <w:lastRenderedPageBreak/>
              <w:t>Portatyvinis „kišeninis“ dydis t.y. matmenys nuo 175 iki 180x nuo 26 iki 30x nuo 26 iki 30 mm. Galia: 2xAA. Išsikrovusi</w:t>
            </w:r>
            <w:r>
              <w:t xml:space="preserve">o akumuliatoriaus indikatorius. </w:t>
            </w:r>
          </w:p>
        </w:tc>
        <w:tc>
          <w:tcPr>
            <w:tcW w:w="1560" w:type="dxa"/>
            <w:vAlign w:val="center"/>
          </w:tcPr>
          <w:p w14:paraId="0EDC0451" w14:textId="15E98500" w:rsidR="00C65B52" w:rsidRPr="00262E9D" w:rsidRDefault="00C65B52" w:rsidP="00C65B52">
            <w:pPr>
              <w:jc w:val="center"/>
            </w:pPr>
            <w:r w:rsidRPr="002161FC">
              <w:lastRenderedPageBreak/>
              <w:t>vnt.</w:t>
            </w:r>
          </w:p>
        </w:tc>
        <w:tc>
          <w:tcPr>
            <w:tcW w:w="992" w:type="dxa"/>
            <w:noWrap/>
          </w:tcPr>
          <w:p w14:paraId="299E4775" w14:textId="77777777" w:rsidR="00C65B52" w:rsidRPr="0063141E" w:rsidRDefault="00C65B52" w:rsidP="00C65B52">
            <w:pPr>
              <w:jc w:val="center"/>
            </w:pPr>
          </w:p>
        </w:tc>
        <w:tc>
          <w:tcPr>
            <w:tcW w:w="850" w:type="dxa"/>
            <w:noWrap/>
            <w:vAlign w:val="center"/>
          </w:tcPr>
          <w:p w14:paraId="3828178A" w14:textId="5019393F" w:rsidR="00C65B52" w:rsidRDefault="00C65B52" w:rsidP="00C65B52">
            <w:pPr>
              <w:jc w:val="center"/>
            </w:pPr>
            <w:r>
              <w:t>8</w:t>
            </w:r>
          </w:p>
        </w:tc>
        <w:tc>
          <w:tcPr>
            <w:tcW w:w="993" w:type="dxa"/>
            <w:noWrap/>
            <w:vAlign w:val="center"/>
          </w:tcPr>
          <w:p w14:paraId="751BE046" w14:textId="77777777" w:rsidR="00C65B52" w:rsidRPr="0063141E" w:rsidRDefault="00C65B52" w:rsidP="00C65B52">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77777777" w:rsidR="00DE03E9" w:rsidRPr="0063141E" w:rsidRDefault="00DE03E9"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594A97F7" w14:textId="77777777" w:rsidR="00DE03E9" w:rsidRPr="0063141E" w:rsidRDefault="00DE03E9" w:rsidP="00DE03E9">
      <w:r>
        <w:t xml:space="preserve">  A.V. </w:t>
      </w:r>
      <w:r>
        <w:tab/>
      </w:r>
      <w:r>
        <w:tab/>
      </w:r>
      <w:r>
        <w:tab/>
      </w:r>
      <w:r>
        <w:tab/>
      </w:r>
      <w:r>
        <w:tab/>
      </w:r>
      <w:r>
        <w:tab/>
      </w:r>
      <w:r>
        <w:tab/>
        <w:t xml:space="preserve">                                    A.V.</w:t>
      </w:r>
    </w:p>
    <w:p w14:paraId="1DB4C5FC" w14:textId="77777777" w:rsidR="00DE03E9" w:rsidRDefault="00DE03E9" w:rsidP="00DE03E9"/>
    <w:p w14:paraId="3B1C1390" w14:textId="77777777" w:rsidR="00DE03E9" w:rsidRDefault="00DE03E9" w:rsidP="00DE03E9"/>
    <w:p w14:paraId="3F274BF0" w14:textId="0DDAE231" w:rsidR="00DE03E9" w:rsidRDefault="00DE03E9" w:rsidP="00DE03E9"/>
    <w:p w14:paraId="21243BD5" w14:textId="391277D9" w:rsidR="000C5504" w:rsidRDefault="000C5504" w:rsidP="00DE03E9"/>
    <w:p w14:paraId="148C981A" w14:textId="6D5F5B9B" w:rsidR="000C5504" w:rsidRDefault="000C5504" w:rsidP="00DE03E9"/>
    <w:p w14:paraId="7E4A3B6C" w14:textId="2DC7D49A" w:rsidR="000C5504" w:rsidRDefault="000C5504" w:rsidP="00DE03E9"/>
    <w:p w14:paraId="6633D29D" w14:textId="51D13485" w:rsidR="000C5504" w:rsidRDefault="000C5504" w:rsidP="00DE03E9"/>
    <w:p w14:paraId="61D8BA8A" w14:textId="6548FBF7" w:rsidR="000C5504" w:rsidRDefault="000C5504" w:rsidP="00DE03E9"/>
    <w:p w14:paraId="3BF71D34" w14:textId="647ABC0F" w:rsidR="000C5504" w:rsidRDefault="000C5504" w:rsidP="00DE03E9"/>
    <w:p w14:paraId="538D8AE7" w14:textId="16BCAE96" w:rsidR="000C5504" w:rsidRDefault="000C5504" w:rsidP="00DE03E9"/>
    <w:p w14:paraId="5F827234" w14:textId="4FDF48C1" w:rsidR="000C5504" w:rsidRDefault="000C5504" w:rsidP="00DE03E9"/>
    <w:p w14:paraId="43F6EC9B" w14:textId="577A1C22" w:rsidR="000C5504" w:rsidRDefault="000C5504" w:rsidP="00DE03E9"/>
    <w:p w14:paraId="029629BC" w14:textId="22471597" w:rsidR="000C5504" w:rsidRDefault="000C5504" w:rsidP="00DE03E9"/>
    <w:p w14:paraId="1C13F555" w14:textId="66CF042B" w:rsidR="000C5504" w:rsidRDefault="000C5504" w:rsidP="00DE03E9"/>
    <w:p w14:paraId="182528E1" w14:textId="1622103D" w:rsidR="000C5504" w:rsidRDefault="000C5504" w:rsidP="00DE03E9"/>
    <w:p w14:paraId="33D5BE7D" w14:textId="77777777" w:rsidR="000C5504" w:rsidRDefault="000C5504" w:rsidP="00DE03E9"/>
    <w:p w14:paraId="6198FABF" w14:textId="77777777" w:rsidR="00DE03E9" w:rsidRDefault="00DE03E9" w:rsidP="00DE03E9"/>
    <w:p w14:paraId="44D852F2" w14:textId="77777777" w:rsidR="00DE03E9" w:rsidRDefault="00DE03E9" w:rsidP="00DE03E9"/>
    <w:p w14:paraId="5936B230" w14:textId="330EE5E4" w:rsidR="00DE03E9" w:rsidRDefault="00DE03E9" w:rsidP="00DE03E9"/>
    <w:p w14:paraId="5D96390A" w14:textId="13A230F6" w:rsidR="003263EF" w:rsidRDefault="003263EF" w:rsidP="00DE03E9"/>
    <w:p w14:paraId="503D1034" w14:textId="33E368BF" w:rsidR="003263EF" w:rsidRDefault="003263EF" w:rsidP="00DE03E9"/>
    <w:p w14:paraId="3636475F" w14:textId="77777777" w:rsidR="003263EF" w:rsidRDefault="003263EF" w:rsidP="00DE03E9"/>
    <w:p w14:paraId="6CAD3800" w14:textId="4050B3BC" w:rsidR="007E162F" w:rsidRDefault="007E162F" w:rsidP="00DE03E9"/>
    <w:p w14:paraId="730C13E0" w14:textId="07855DAD" w:rsidR="00C65B52" w:rsidRDefault="00C65B52" w:rsidP="00DE03E9"/>
    <w:p w14:paraId="2267679A" w14:textId="094DE9B5" w:rsidR="00C65B52" w:rsidRDefault="00C65B52" w:rsidP="00DE03E9"/>
    <w:p w14:paraId="0D0B710A" w14:textId="2FCFB2B3" w:rsidR="00C65B52" w:rsidRDefault="00C65B52" w:rsidP="00DE03E9"/>
    <w:p w14:paraId="4E075105" w14:textId="28F40CF4" w:rsidR="00C65B52" w:rsidRDefault="00C65B52" w:rsidP="00DE03E9"/>
    <w:p w14:paraId="35A1AAC2" w14:textId="77777777" w:rsidR="00C65B52" w:rsidRDefault="00C65B52" w:rsidP="00DE03E9"/>
    <w:p w14:paraId="470E94B8" w14:textId="4FF24245" w:rsidR="00DE03E9" w:rsidRDefault="00DE03E9" w:rsidP="00DE03E9"/>
    <w:p w14:paraId="1BE528BC" w14:textId="3A616E60" w:rsidR="00BC7C59" w:rsidRDefault="00BC7C59" w:rsidP="00DE03E9"/>
    <w:p w14:paraId="46D4370F" w14:textId="77777777" w:rsidR="00BC7C59" w:rsidRDefault="00BC7C59" w:rsidP="00DE03E9"/>
    <w:p w14:paraId="156C42E5"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754EFBD1" w14:textId="77777777" w:rsidR="00DE03E9" w:rsidRPr="0063141E" w:rsidRDefault="00DE03E9" w:rsidP="00DE03E9">
      <w:pPr>
        <w:ind w:left="6480"/>
      </w:pPr>
      <w:r>
        <w:t>2025</w:t>
      </w:r>
      <w:r w:rsidRPr="0063141E">
        <w:t xml:space="preserve"> m. ____________d. Nr.</w:t>
      </w:r>
      <w:r>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77777777" w:rsidR="00DE03E9" w:rsidRPr="00977BE2" w:rsidRDefault="00DE03E9" w:rsidP="00DE03E9">
      <w:pPr>
        <w:jc w:val="center"/>
        <w:rPr>
          <w:lang w:eastAsia="lt-LT"/>
        </w:rPr>
      </w:pPr>
      <w:r>
        <w:rPr>
          <w:lang w:eastAsia="lt-LT"/>
        </w:rPr>
        <w:t>2025</w:t>
      </w:r>
      <w:r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7A0BC15C" w:rsidR="00DE03E9" w:rsidRPr="00977BE2" w:rsidRDefault="00C65B52" w:rsidP="00DE03E9">
            <w:pPr>
              <w:rPr>
                <w:color w:val="000000"/>
                <w:lang w:eastAsia="lt-LT"/>
              </w:rPr>
            </w:pPr>
            <w:r>
              <w:rPr>
                <w:rFonts w:eastAsia="Calibri"/>
              </w:rPr>
              <w:t>LAN kabelių matuokliai</w:t>
            </w:r>
            <w:r w:rsidRPr="00C65B52">
              <w:rPr>
                <w:rFonts w:eastAsia="Calibri"/>
              </w:rPr>
              <w:t>, optinio kabelio skaidulos izoliacijos nuėmėj</w:t>
            </w:r>
            <w:r>
              <w:rPr>
                <w:rFonts w:eastAsia="Calibri"/>
              </w:rPr>
              <w:t>ai</w:t>
            </w:r>
            <w:r w:rsidRPr="00C65B52">
              <w:rPr>
                <w:rFonts w:eastAsia="Calibri"/>
              </w:rPr>
              <w:t>, suspaust</w:t>
            </w:r>
            <w:r>
              <w:rPr>
                <w:rFonts w:eastAsia="Calibri"/>
              </w:rPr>
              <w:t>as</w:t>
            </w:r>
            <w:r w:rsidRPr="00C65B52">
              <w:rPr>
                <w:rFonts w:eastAsia="Calibri"/>
              </w:rPr>
              <w:t xml:space="preserve"> or</w:t>
            </w:r>
            <w:r>
              <w:rPr>
                <w:rFonts w:eastAsia="Calibri"/>
              </w:rPr>
              <w:t>as IT įrangai prižiūrėti</w:t>
            </w:r>
            <w:r w:rsidRPr="00C65B52">
              <w:rPr>
                <w:rFonts w:eastAsia="Calibri"/>
              </w:rPr>
              <w:t>, optinio signalo šaltini</w:t>
            </w:r>
            <w:r>
              <w:rPr>
                <w:rFonts w:eastAsia="Calibri"/>
              </w:rPr>
              <w:t>ai</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C65B52" w:rsidRPr="00A47FAD" w14:paraId="223EEA3D" w14:textId="77777777" w:rsidTr="00C65B52">
        <w:trPr>
          <w:trHeight w:val="356"/>
        </w:trPr>
        <w:tc>
          <w:tcPr>
            <w:tcW w:w="704" w:type="dxa"/>
            <w:shd w:val="clear" w:color="auto" w:fill="auto"/>
            <w:vAlign w:val="center"/>
          </w:tcPr>
          <w:p w14:paraId="63E4EB22" w14:textId="77777777" w:rsidR="00C65B52" w:rsidRPr="00A47FAD" w:rsidRDefault="00C65B52" w:rsidP="00C65B52">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601D669E" w14:textId="578D0EFE" w:rsidR="00C65B52" w:rsidRPr="00A47FAD" w:rsidRDefault="00C65B52" w:rsidP="00C65B52">
            <w:pPr>
              <w:jc w:val="center"/>
              <w:rPr>
                <w:color w:val="000000"/>
              </w:rPr>
            </w:pPr>
            <w:r w:rsidRPr="00B57262">
              <w:t>LAN kabelių matuoklis</w:t>
            </w:r>
          </w:p>
        </w:tc>
        <w:tc>
          <w:tcPr>
            <w:tcW w:w="1134" w:type="dxa"/>
            <w:shd w:val="clear" w:color="auto" w:fill="auto"/>
            <w:vAlign w:val="center"/>
          </w:tcPr>
          <w:p w14:paraId="62F6B17C" w14:textId="77777777" w:rsidR="00C65B52" w:rsidRPr="00977BE2" w:rsidRDefault="00C65B52" w:rsidP="00C65B5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5A6DFCAB" w:rsidR="00C65B52" w:rsidRPr="00977BE2" w:rsidRDefault="00C65B52" w:rsidP="00C65B52">
            <w:pPr>
              <w:jc w:val="center"/>
            </w:pPr>
            <w:r w:rsidRPr="004462D1">
              <w:t>6</w:t>
            </w:r>
          </w:p>
        </w:tc>
        <w:tc>
          <w:tcPr>
            <w:tcW w:w="3402" w:type="dxa"/>
            <w:vAlign w:val="center"/>
          </w:tcPr>
          <w:p w14:paraId="04D2B38D" w14:textId="77777777" w:rsidR="00C65B52" w:rsidRPr="00977BE2" w:rsidRDefault="00C65B52" w:rsidP="00C65B52">
            <w:pPr>
              <w:jc w:val="center"/>
              <w:rPr>
                <w:lang w:eastAsia="lt-LT"/>
              </w:rPr>
            </w:pPr>
          </w:p>
        </w:tc>
      </w:tr>
      <w:tr w:rsidR="00C65B52" w:rsidRPr="00A47FAD" w14:paraId="24308AB1" w14:textId="77777777" w:rsidTr="00C65B52">
        <w:trPr>
          <w:trHeight w:val="356"/>
        </w:trPr>
        <w:tc>
          <w:tcPr>
            <w:tcW w:w="704" w:type="dxa"/>
            <w:shd w:val="clear" w:color="auto" w:fill="auto"/>
            <w:vAlign w:val="center"/>
          </w:tcPr>
          <w:p w14:paraId="62ACDA9C" w14:textId="77777777" w:rsidR="00C65B52" w:rsidRPr="00A47FAD" w:rsidRDefault="00C65B52" w:rsidP="00C65B52">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1C4B7235" w14:textId="5E3FABC2" w:rsidR="00C65B52" w:rsidRPr="00A47FAD" w:rsidRDefault="00C65B52" w:rsidP="00C65B52">
            <w:pPr>
              <w:jc w:val="center"/>
              <w:rPr>
                <w:color w:val="000000"/>
              </w:rPr>
            </w:pPr>
            <w:r w:rsidRPr="00B57262">
              <w:t>Optinio kabelio skaidulos izoliacijos nuėmėjas</w:t>
            </w:r>
          </w:p>
        </w:tc>
        <w:tc>
          <w:tcPr>
            <w:tcW w:w="1134" w:type="dxa"/>
            <w:shd w:val="clear" w:color="auto" w:fill="auto"/>
            <w:vAlign w:val="center"/>
          </w:tcPr>
          <w:p w14:paraId="15692570" w14:textId="77777777" w:rsidR="00C65B52" w:rsidRPr="00977BE2" w:rsidRDefault="00C65B52" w:rsidP="00C65B5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6A178B88" w:rsidR="00C65B52" w:rsidRPr="0055089D" w:rsidRDefault="00C65B52" w:rsidP="00C65B52">
            <w:pPr>
              <w:jc w:val="center"/>
              <w:rPr>
                <w:lang w:val="en-US"/>
              </w:rPr>
            </w:pPr>
            <w:r w:rsidRPr="004462D1">
              <w:t>6</w:t>
            </w:r>
          </w:p>
        </w:tc>
        <w:tc>
          <w:tcPr>
            <w:tcW w:w="3402" w:type="dxa"/>
            <w:vAlign w:val="center"/>
          </w:tcPr>
          <w:p w14:paraId="5F0D8191" w14:textId="77777777" w:rsidR="00C65B52" w:rsidRPr="00977BE2" w:rsidRDefault="00C65B52" w:rsidP="00C65B52">
            <w:pPr>
              <w:jc w:val="center"/>
              <w:rPr>
                <w:lang w:eastAsia="lt-LT"/>
              </w:rPr>
            </w:pPr>
          </w:p>
        </w:tc>
      </w:tr>
      <w:tr w:rsidR="00C65B52" w:rsidRPr="00A47FAD" w14:paraId="475BFED5" w14:textId="77777777" w:rsidTr="00C65B52">
        <w:trPr>
          <w:trHeight w:val="356"/>
        </w:trPr>
        <w:tc>
          <w:tcPr>
            <w:tcW w:w="704" w:type="dxa"/>
            <w:shd w:val="clear" w:color="auto" w:fill="auto"/>
            <w:vAlign w:val="center"/>
          </w:tcPr>
          <w:p w14:paraId="4C4E32E7" w14:textId="17DFC2C2" w:rsidR="00C65B52" w:rsidRPr="00A47FAD" w:rsidRDefault="00C65B52" w:rsidP="00C65B52">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F039A43" w14:textId="4A3021BC" w:rsidR="00C65B52" w:rsidRPr="00C04459" w:rsidRDefault="00C65B52" w:rsidP="00C65B52">
            <w:pPr>
              <w:jc w:val="center"/>
            </w:pPr>
            <w:r w:rsidRPr="00B57262">
              <w:t>Suspaustas oras IT įrangai prižiurėti</w:t>
            </w:r>
          </w:p>
        </w:tc>
        <w:tc>
          <w:tcPr>
            <w:tcW w:w="1134" w:type="dxa"/>
            <w:shd w:val="clear" w:color="auto" w:fill="auto"/>
          </w:tcPr>
          <w:p w14:paraId="7841EE14" w14:textId="66D16B54" w:rsidR="00C65B52" w:rsidRPr="00977BE2" w:rsidRDefault="00C65B52" w:rsidP="00C65B52">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4A2DBBBA" w:rsidR="00C65B52" w:rsidRDefault="00C65B52" w:rsidP="00C65B52">
            <w:pPr>
              <w:jc w:val="center"/>
            </w:pPr>
            <w:r w:rsidRPr="004462D1">
              <w:t>200</w:t>
            </w:r>
          </w:p>
        </w:tc>
        <w:tc>
          <w:tcPr>
            <w:tcW w:w="3402" w:type="dxa"/>
            <w:vAlign w:val="center"/>
          </w:tcPr>
          <w:p w14:paraId="78BB5FED" w14:textId="77777777" w:rsidR="00C65B52" w:rsidRPr="00977BE2" w:rsidRDefault="00C65B52" w:rsidP="00C65B52">
            <w:pPr>
              <w:jc w:val="center"/>
              <w:rPr>
                <w:lang w:eastAsia="lt-LT"/>
              </w:rPr>
            </w:pPr>
          </w:p>
        </w:tc>
      </w:tr>
      <w:tr w:rsidR="00C65B52" w:rsidRPr="00A47FAD" w14:paraId="1C3BB4BA" w14:textId="77777777" w:rsidTr="00C65B52">
        <w:trPr>
          <w:trHeight w:val="356"/>
        </w:trPr>
        <w:tc>
          <w:tcPr>
            <w:tcW w:w="704" w:type="dxa"/>
            <w:shd w:val="clear" w:color="auto" w:fill="auto"/>
            <w:vAlign w:val="center"/>
          </w:tcPr>
          <w:p w14:paraId="7F562BCD" w14:textId="14FA557A" w:rsidR="00C65B52" w:rsidRPr="00A47FAD" w:rsidRDefault="00C65B52" w:rsidP="00C65B52">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27DB43E5" w14:textId="757D38F9" w:rsidR="00C65B52" w:rsidRPr="00C04459" w:rsidRDefault="00C65B52" w:rsidP="00C65B52">
            <w:pPr>
              <w:jc w:val="center"/>
            </w:pPr>
            <w:r w:rsidRPr="00B57262">
              <w:t>Optinio signalo šaltinis</w:t>
            </w:r>
          </w:p>
        </w:tc>
        <w:tc>
          <w:tcPr>
            <w:tcW w:w="1134" w:type="dxa"/>
            <w:shd w:val="clear" w:color="auto" w:fill="auto"/>
          </w:tcPr>
          <w:p w14:paraId="21C87BBD" w14:textId="0B0F6D08" w:rsidR="00C65B52" w:rsidRPr="00977BE2" w:rsidRDefault="00C65B52" w:rsidP="00C65B52">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0C6B3DC4" w:rsidR="00C65B52" w:rsidRDefault="00C65B52" w:rsidP="00C65B52">
            <w:pPr>
              <w:jc w:val="center"/>
            </w:pPr>
            <w:r w:rsidRPr="004462D1">
              <w:t>8</w:t>
            </w:r>
          </w:p>
        </w:tc>
        <w:tc>
          <w:tcPr>
            <w:tcW w:w="3402" w:type="dxa"/>
            <w:vAlign w:val="center"/>
          </w:tcPr>
          <w:p w14:paraId="611FCE56" w14:textId="77777777" w:rsidR="00C65B52" w:rsidRPr="00977BE2" w:rsidRDefault="00C65B52" w:rsidP="00C65B52">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136B2DFF" w14:textId="49351A7C"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C5E3" w14:textId="77777777" w:rsidR="00081702" w:rsidRDefault="00081702">
      <w:r>
        <w:separator/>
      </w:r>
    </w:p>
  </w:endnote>
  <w:endnote w:type="continuationSeparator" w:id="0">
    <w:p w14:paraId="0BBE163F" w14:textId="77777777" w:rsidR="00081702" w:rsidRDefault="0008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0E4915" w:rsidRDefault="000E4915"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0E4915" w:rsidRDefault="000E4915"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0E4915" w:rsidRDefault="000E4915" w:rsidP="0066554A">
    <w:pPr>
      <w:pStyle w:val="Footer"/>
      <w:framePr w:wrap="around" w:vAnchor="text" w:hAnchor="margin" w:xAlign="right" w:y="1"/>
      <w:rPr>
        <w:rStyle w:val="PageNumber"/>
      </w:rPr>
    </w:pPr>
  </w:p>
  <w:p w14:paraId="53CE9D0C" w14:textId="77777777" w:rsidR="000E4915" w:rsidRDefault="000E4915"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688C5" w14:textId="77777777" w:rsidR="00081702" w:rsidRDefault="00081702">
      <w:r>
        <w:separator/>
      </w:r>
    </w:p>
  </w:footnote>
  <w:footnote w:type="continuationSeparator" w:id="0">
    <w:p w14:paraId="16FB594F" w14:textId="77777777" w:rsidR="00081702" w:rsidRDefault="0008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0E4915" w:rsidRDefault="000E491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0E4915" w:rsidRDefault="000E4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26A009AF" w:rsidR="000E4915" w:rsidRDefault="000E4915"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311">
      <w:rPr>
        <w:rStyle w:val="PageNumber"/>
        <w:noProof/>
      </w:rPr>
      <w:t>21</w:t>
    </w:r>
    <w:r>
      <w:rPr>
        <w:rStyle w:val="PageNumber"/>
      </w:rPr>
      <w:fldChar w:fldCharType="end"/>
    </w:r>
  </w:p>
  <w:p w14:paraId="53CE9D08" w14:textId="77777777" w:rsidR="000E4915" w:rsidRDefault="000E4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2"/>
  </w:num>
  <w:num w:numId="17">
    <w:abstractNumId w:val="20"/>
  </w:num>
  <w:num w:numId="18">
    <w:abstractNumId w:val="18"/>
  </w:num>
  <w:num w:numId="19">
    <w:abstractNumId w:val="0"/>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21A"/>
    <w:rsid w:val="00022D2F"/>
    <w:rsid w:val="00023319"/>
    <w:rsid w:val="00024014"/>
    <w:rsid w:val="0002638C"/>
    <w:rsid w:val="000312F9"/>
    <w:rsid w:val="000337ED"/>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1702"/>
    <w:rsid w:val="00083434"/>
    <w:rsid w:val="000845EC"/>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5504"/>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E4915"/>
    <w:rsid w:val="000F1960"/>
    <w:rsid w:val="000F3902"/>
    <w:rsid w:val="000F3920"/>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1B51"/>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5CE"/>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31FC6"/>
    <w:rsid w:val="00232EBD"/>
    <w:rsid w:val="00233669"/>
    <w:rsid w:val="002338F1"/>
    <w:rsid w:val="00233B43"/>
    <w:rsid w:val="00233FE6"/>
    <w:rsid w:val="0024017B"/>
    <w:rsid w:val="002427C8"/>
    <w:rsid w:val="00243DC2"/>
    <w:rsid w:val="00251DAE"/>
    <w:rsid w:val="00252248"/>
    <w:rsid w:val="00252E2E"/>
    <w:rsid w:val="00254A5E"/>
    <w:rsid w:val="0025613B"/>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42E5"/>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63E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0885"/>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6E95"/>
    <w:rsid w:val="005A7BC0"/>
    <w:rsid w:val="005B0259"/>
    <w:rsid w:val="005B189E"/>
    <w:rsid w:val="005B1BF0"/>
    <w:rsid w:val="005B219D"/>
    <w:rsid w:val="005B21BF"/>
    <w:rsid w:val="005B2BED"/>
    <w:rsid w:val="005B3EE8"/>
    <w:rsid w:val="005B4FC3"/>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089F"/>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36DC"/>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A6AF3"/>
    <w:rsid w:val="009B065C"/>
    <w:rsid w:val="009B0830"/>
    <w:rsid w:val="009B22FC"/>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2E67"/>
    <w:rsid w:val="00A13686"/>
    <w:rsid w:val="00A15B5B"/>
    <w:rsid w:val="00A16FE5"/>
    <w:rsid w:val="00A1727F"/>
    <w:rsid w:val="00A21C42"/>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311"/>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5FF6"/>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5B52"/>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324"/>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7D"/>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35D49"/>
    <w:rsid w:val="00F371FB"/>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4FC1"/>
    <w:rsid w:val="00F660CA"/>
    <w:rsid w:val="00F70FB9"/>
    <w:rsid w:val="00F7140C"/>
    <w:rsid w:val="00F71500"/>
    <w:rsid w:val="00F756CB"/>
    <w:rsid w:val="00F76F90"/>
    <w:rsid w:val="00F777F3"/>
    <w:rsid w:val="00F80938"/>
    <w:rsid w:val="00F825F4"/>
    <w:rsid w:val="00F82791"/>
    <w:rsid w:val="00F830DD"/>
    <w:rsid w:val="00F90A85"/>
    <w:rsid w:val="00F914AE"/>
    <w:rsid w:val="00F91D2C"/>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57244628">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28855627">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2D6B-E42E-4FDE-A1C5-5A76F1C3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23</Pages>
  <Words>36014</Words>
  <Characters>20529</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56431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23</cp:revision>
  <cp:lastPrinted>2024-06-25T11:52:00Z</cp:lastPrinted>
  <dcterms:created xsi:type="dcterms:W3CDTF">2025-02-04T08:45:00Z</dcterms:created>
  <dcterms:modified xsi:type="dcterms:W3CDTF">2025-03-19T08:42:00Z</dcterms:modified>
</cp:coreProperties>
</file>