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D079" w14:textId="77777777" w:rsidR="00F87DE7"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rPr>
          <w:b/>
          <w:bCs/>
          <w:szCs w:val="24"/>
          <w:lang w:val="lt-LT"/>
        </w:rPr>
      </w:pPr>
      <w:r w:rsidRPr="008F65BA">
        <w:rPr>
          <w:b/>
          <w:bCs/>
          <w:szCs w:val="24"/>
          <w:lang w:val="lt-LT"/>
        </w:rPr>
        <w:t>PIRMOJO PAPRASTOJO REMONTO DARBŲ ETA</w:t>
      </w:r>
      <w:r>
        <w:rPr>
          <w:b/>
          <w:bCs/>
          <w:szCs w:val="24"/>
          <w:lang w:val="lt-LT"/>
        </w:rPr>
        <w:t>P</w:t>
      </w:r>
      <w:r w:rsidRPr="008F65BA">
        <w:rPr>
          <w:b/>
          <w:bCs/>
          <w:szCs w:val="24"/>
          <w:lang w:val="lt-LT"/>
        </w:rPr>
        <w:t>O DARBAI:</w:t>
      </w:r>
    </w:p>
    <w:p w14:paraId="376F8295" w14:textId="77777777" w:rsidR="00F87DE7" w:rsidRPr="00975D0E"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rPr>
          <w:b/>
          <w:bCs/>
          <w:szCs w:val="24"/>
          <w:lang w:val="lt-LT"/>
        </w:rPr>
      </w:pPr>
    </w:p>
    <w:p w14:paraId="4BF152B0" w14:textId="015B938A" w:rsidR="00F87DE7" w:rsidRPr="00CB5E73"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 xml:space="preserve">Atliekami trečiojo aukšto dalies patalpų remonto darbai, perplanuojant (išardomos ir mūrijamos pertvaros) dalį patalpų. Perplanuojamos šios patalpos: 3-17, 3-18, 3-19, 3-20, 3-21, 3-22, 3-23, 3-24. Vietoje šių patalpų yra įrengiami du </w:t>
      </w:r>
      <w:proofErr w:type="spellStart"/>
      <w:r>
        <w:rPr>
          <w:szCs w:val="24"/>
          <w:lang w:val="lt-LT"/>
        </w:rPr>
        <w:t>san</w:t>
      </w:r>
      <w:proofErr w:type="spellEnd"/>
      <w:r>
        <w:rPr>
          <w:szCs w:val="24"/>
          <w:lang w:val="lt-LT"/>
        </w:rPr>
        <w:t xml:space="preserve">. mazgai (berniukų ir mergaičių), vienas </w:t>
      </w:r>
      <w:proofErr w:type="spellStart"/>
      <w:r>
        <w:rPr>
          <w:szCs w:val="24"/>
          <w:lang w:val="lt-LT"/>
        </w:rPr>
        <w:t>san</w:t>
      </w:r>
      <w:proofErr w:type="spellEnd"/>
      <w:r>
        <w:rPr>
          <w:szCs w:val="24"/>
          <w:lang w:val="lt-LT"/>
        </w:rPr>
        <w:t xml:space="preserve">. mazgas personalui bei viena klasė. Planuojant patalpas būtina kuo racionaliau išnaudoti atlaisvintas erdves. 3-17 ir 3-18 patalpų erdvėje turi būto įrengtas berniukų </w:t>
      </w:r>
      <w:proofErr w:type="spellStart"/>
      <w:r>
        <w:rPr>
          <w:szCs w:val="24"/>
          <w:lang w:val="lt-LT"/>
        </w:rPr>
        <w:t>san</w:t>
      </w:r>
      <w:proofErr w:type="spellEnd"/>
      <w:r>
        <w:rPr>
          <w:szCs w:val="24"/>
          <w:lang w:val="lt-LT"/>
        </w:rPr>
        <w:t xml:space="preserve">. mazgas (3 klozetai su LMDP kabinomis, 2 praustuvai). 3-19 ir 3-20 patalpų erdvėje turi būti įrengtas </w:t>
      </w:r>
      <w:proofErr w:type="spellStart"/>
      <w:r>
        <w:rPr>
          <w:szCs w:val="24"/>
          <w:lang w:val="lt-LT"/>
        </w:rPr>
        <w:t>san</w:t>
      </w:r>
      <w:proofErr w:type="spellEnd"/>
      <w:r>
        <w:rPr>
          <w:szCs w:val="24"/>
          <w:lang w:val="lt-LT"/>
        </w:rPr>
        <w:t xml:space="preserve">. mazgas personalui (1 klozetas, 1 praustuvas). Sujungiamos patalpos 3-21 ir 3-22 įrengiant mergaičių </w:t>
      </w:r>
      <w:proofErr w:type="spellStart"/>
      <w:r>
        <w:rPr>
          <w:szCs w:val="24"/>
          <w:lang w:val="lt-LT"/>
        </w:rPr>
        <w:t>san</w:t>
      </w:r>
      <w:proofErr w:type="spellEnd"/>
      <w:r>
        <w:rPr>
          <w:szCs w:val="24"/>
          <w:lang w:val="lt-LT"/>
        </w:rPr>
        <w:t xml:space="preserve">. mazgą (4 klozetai su LMDP kabinomis, 3 praustuvai). Sujungiamos patalpos 3-23, 3-24 ir 3-25 įrengiant klasę (padidinant </w:t>
      </w:r>
      <w:proofErr w:type="spellStart"/>
      <w:r>
        <w:rPr>
          <w:szCs w:val="24"/>
          <w:lang w:val="lt-LT"/>
        </w:rPr>
        <w:t>kalsę</w:t>
      </w:r>
      <w:proofErr w:type="spellEnd"/>
      <w:r>
        <w:rPr>
          <w:szCs w:val="24"/>
          <w:lang w:val="lt-LT"/>
        </w:rPr>
        <w:t xml:space="preserve"> 3-25 kitų patalpų sąskaita). San. mazgų apdaila: sienos – akmens masės plytelės 600x600x8. 600x300x8 mm, grindys – akmens masės plytelės 600x600x10 arba 1200x600x10 mm, lubos – pakabinamos segmentinės akustinės drėgmei atsparios lubos („</w:t>
      </w:r>
      <w:proofErr w:type="spellStart"/>
      <w:r>
        <w:rPr>
          <w:szCs w:val="24"/>
          <w:lang w:val="lt-LT"/>
        </w:rPr>
        <w:t>Armstrong</w:t>
      </w:r>
      <w:proofErr w:type="spellEnd"/>
      <w:r>
        <w:rPr>
          <w:szCs w:val="24"/>
          <w:lang w:val="lt-LT"/>
        </w:rPr>
        <w:t>“</w:t>
      </w:r>
      <w:r w:rsidR="00D12A25">
        <w:rPr>
          <w:szCs w:val="24"/>
          <w:lang w:val="lt-LT"/>
        </w:rPr>
        <w:t xml:space="preserve"> </w:t>
      </w:r>
      <w:r>
        <w:rPr>
          <w:szCs w:val="24"/>
          <w:lang w:val="lt-LT"/>
        </w:rPr>
        <w:t>tipo</w:t>
      </w:r>
      <w:r w:rsidR="00D12A25" w:rsidRPr="00D12A25">
        <w:rPr>
          <w:szCs w:val="24"/>
          <w:lang w:val="lt-LT"/>
        </w:rPr>
        <w:t xml:space="preserve"> </w:t>
      </w:r>
      <w:r w:rsidR="00D12A25">
        <w:rPr>
          <w:szCs w:val="24"/>
          <w:lang w:val="lt-LT"/>
        </w:rPr>
        <w:t>(</w:t>
      </w:r>
      <w:r w:rsidR="00D12A25">
        <w:rPr>
          <w:szCs w:val="24"/>
          <w:lang w:val="lt-LT"/>
        </w:rPr>
        <w:t>arba lygiaverčio</w:t>
      </w:r>
      <w:r w:rsidR="00D12A25">
        <w:rPr>
          <w:szCs w:val="24"/>
          <w:lang w:val="lt-LT"/>
        </w:rPr>
        <w:t>)</w:t>
      </w:r>
      <w:r>
        <w:rPr>
          <w:szCs w:val="24"/>
          <w:lang w:val="lt-LT"/>
        </w:rPr>
        <w:t>, 600x600 mm). Klasės apdaila: sienos – tinko remontas, tinkavimas, glaistymas, emulsinis dažymas du kartus trinčiai atspariais dažais; grindys: laminatas, 34 klasės. 10 mm storio; lubos – pakabinamos segmentinės akustinės lubos („</w:t>
      </w:r>
      <w:proofErr w:type="spellStart"/>
      <w:r>
        <w:rPr>
          <w:szCs w:val="24"/>
          <w:lang w:val="lt-LT"/>
        </w:rPr>
        <w:t>Armstrong</w:t>
      </w:r>
      <w:proofErr w:type="spellEnd"/>
      <w:r>
        <w:rPr>
          <w:szCs w:val="24"/>
          <w:lang w:val="lt-LT"/>
        </w:rPr>
        <w:t>“</w:t>
      </w:r>
      <w:r w:rsidR="00D12A25">
        <w:rPr>
          <w:szCs w:val="24"/>
          <w:lang w:val="lt-LT"/>
        </w:rPr>
        <w:t xml:space="preserve"> </w:t>
      </w:r>
      <w:r>
        <w:rPr>
          <w:szCs w:val="24"/>
          <w:lang w:val="lt-LT"/>
        </w:rPr>
        <w:t>tipo</w:t>
      </w:r>
      <w:r w:rsidR="00D12A25" w:rsidRPr="00D12A25">
        <w:rPr>
          <w:szCs w:val="24"/>
          <w:lang w:val="lt-LT"/>
        </w:rPr>
        <w:t xml:space="preserve"> </w:t>
      </w:r>
      <w:r w:rsidR="00D12A25">
        <w:rPr>
          <w:szCs w:val="24"/>
          <w:lang w:val="lt-LT"/>
        </w:rPr>
        <w:t>(</w:t>
      </w:r>
      <w:r w:rsidR="00D12A25">
        <w:rPr>
          <w:szCs w:val="24"/>
          <w:lang w:val="lt-LT"/>
        </w:rPr>
        <w:t>arba lygiaverčio</w:t>
      </w:r>
      <w:r w:rsidR="00D12A25">
        <w:rPr>
          <w:szCs w:val="24"/>
          <w:lang w:val="lt-LT"/>
        </w:rPr>
        <w:t>_</w:t>
      </w:r>
      <w:r>
        <w:rPr>
          <w:szCs w:val="24"/>
          <w:lang w:val="lt-LT"/>
        </w:rPr>
        <w:t>, 600x600 mm).</w:t>
      </w:r>
    </w:p>
    <w:p w14:paraId="03FE0B80" w14:textId="6ACB6362" w:rsidR="00F87DE7"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Remontuojamos II ir III aukštų klasių ir koridoriaus patalpos Nr. 2-12, 2-29, 2-30, 2-31 (praustuvų zona), 3-25, 3-13, 3-14, 3-15, 3-16, 3-38, 3-39, 3-2. Klasių bei koridoriaus apdaila: sienos – tinko remontas, glaistymas, emulsinis dažymas du kartus trinčiai atspariais dažais; grindys: laminatas, 34 klasės, 10 mm storio; lubos – pakabinamos segmentinės akustinės lubos („</w:t>
      </w:r>
      <w:proofErr w:type="spellStart"/>
      <w:r>
        <w:rPr>
          <w:szCs w:val="24"/>
          <w:lang w:val="lt-LT"/>
        </w:rPr>
        <w:t>Armstrong</w:t>
      </w:r>
      <w:proofErr w:type="spellEnd"/>
      <w:r>
        <w:rPr>
          <w:szCs w:val="24"/>
          <w:lang w:val="lt-LT"/>
        </w:rPr>
        <w:t>“ tipo</w:t>
      </w:r>
      <w:r w:rsidR="00D12A25">
        <w:rPr>
          <w:szCs w:val="24"/>
          <w:lang w:val="lt-LT"/>
        </w:rPr>
        <w:t xml:space="preserve"> (arba lygiaverčio)</w:t>
      </w:r>
      <w:r>
        <w:rPr>
          <w:szCs w:val="24"/>
          <w:lang w:val="lt-LT"/>
        </w:rPr>
        <w:t>, 600x600 mm).</w:t>
      </w:r>
    </w:p>
    <w:p w14:paraId="440BCDA5" w14:textId="77777777" w:rsidR="00F87DE7"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 xml:space="preserve">Atliekamas visų remontuojamų patalpų durų keitimas naujomis medinėmis skydinėmis. Laiptinių durys (2 ir 3 aukštų) bei 1 aukšto lauko durys keičiamos naujomis PVC durimis, (atsparumo ugniai klasė EI2 60, C3 200 su </w:t>
      </w:r>
      <w:proofErr w:type="spellStart"/>
      <w:r>
        <w:rPr>
          <w:szCs w:val="24"/>
          <w:lang w:val="lt-LT"/>
        </w:rPr>
        <w:t>pritraukėjais</w:t>
      </w:r>
      <w:proofErr w:type="spellEnd"/>
      <w:r>
        <w:rPr>
          <w:szCs w:val="24"/>
          <w:lang w:val="lt-LT"/>
        </w:rPr>
        <w:t xml:space="preserve">, saugiu stiklu (lauke - </w:t>
      </w:r>
      <w:proofErr w:type="spellStart"/>
      <w:r>
        <w:rPr>
          <w:szCs w:val="24"/>
          <w:lang w:val="lt-LT"/>
        </w:rPr>
        <w:t>stiklopaketu</w:t>
      </w:r>
      <w:proofErr w:type="spellEnd"/>
      <w:r>
        <w:rPr>
          <w:szCs w:val="24"/>
          <w:lang w:val="lt-LT"/>
        </w:rPr>
        <w:t>), spyna su cilindriniu užraktu ir kampine stakta, spalva balta pagal RAL9016). Įrengiami buitinių nuotekų bei vandentiekio tinklai, keičiama elektros instaliacija (įskaitant rozetes, jungiklius ir pan.), pagal LR galiojančias normas įrengiamas visų remontuojamų patalpų apšvietimas. Pašalinamos bei utilizuojamos statybinės šiukšlės bei atliekos.</w:t>
      </w:r>
    </w:p>
    <w:p w14:paraId="13DD09DC" w14:textId="77777777" w:rsidR="00F87DE7" w:rsidRPr="00975D0E" w:rsidRDefault="00F87DE7" w:rsidP="00F87DE7">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Atliekami kiti remonto darbai iki pilno remontuojamų patalpų užbaigtumo (šildymo prietaisų, vamzdynų dažymas ir kt. darbai).</w:t>
      </w:r>
    </w:p>
    <w:p w14:paraId="4FF1E6DF" w14:textId="77777777" w:rsidR="00D06AAD" w:rsidRDefault="00D06AAD"/>
    <w:p w14:paraId="5466D26D" w14:textId="77777777" w:rsidR="00674A64" w:rsidRPr="0064695E" w:rsidRDefault="00674A64" w:rsidP="00674A64">
      <w:pPr>
        <w:ind w:firstLine="567"/>
        <w:jc w:val="both"/>
      </w:pPr>
      <w:r w:rsidRPr="005A095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F7B7A6" w14:textId="77777777" w:rsidR="007B00C5" w:rsidRDefault="007B00C5"/>
    <w:sectPr w:rsidR="007B00C5" w:rsidSect="00F87DE7">
      <w:footerReference w:type="default" r:id="rId6"/>
      <w:headerReference w:type="first" r:id="rId7"/>
      <w:pgSz w:w="11906" w:h="16838" w:code="9"/>
      <w:pgMar w:top="1134" w:right="851"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3404" w14:textId="77777777" w:rsidR="00990D46" w:rsidRDefault="00990D46">
      <w:r>
        <w:separator/>
      </w:r>
    </w:p>
  </w:endnote>
  <w:endnote w:type="continuationSeparator" w:id="0">
    <w:p w14:paraId="7128B655" w14:textId="77777777" w:rsidR="00990D46" w:rsidRDefault="0099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12"/>
      <w:gridCol w:w="704"/>
      <w:gridCol w:w="674"/>
      <w:gridCol w:w="680"/>
    </w:tblGrid>
    <w:tr w:rsidR="0058273F" w:rsidRPr="00DF5E77" w14:paraId="06BF78D0" w14:textId="77777777" w:rsidTr="00642F70">
      <w:trPr>
        <w:cantSplit/>
        <w:trHeight w:hRule="exact" w:val="284"/>
        <w:jc w:val="right"/>
      </w:trPr>
      <w:tc>
        <w:tcPr>
          <w:tcW w:w="3212" w:type="dxa"/>
          <w:vMerge w:val="restart"/>
          <w:tcBorders>
            <w:top w:val="single" w:sz="12" w:space="0" w:color="auto"/>
          </w:tcBorders>
          <w:vAlign w:val="center"/>
        </w:tcPr>
        <w:p w14:paraId="21D00B60" w14:textId="77777777" w:rsidR="00C52AC4" w:rsidRPr="00DF5E77" w:rsidRDefault="00000000" w:rsidP="00A329D6">
          <w:pPr>
            <w:jc w:val="center"/>
            <w:rPr>
              <w:sz w:val="22"/>
              <w:szCs w:val="22"/>
            </w:rPr>
          </w:pPr>
          <w:r>
            <w:rPr>
              <w:sz w:val="22"/>
              <w:szCs w:val="22"/>
            </w:rPr>
            <w:t>Aiškinamasis raštas</w:t>
          </w:r>
        </w:p>
      </w:tc>
      <w:tc>
        <w:tcPr>
          <w:tcW w:w="704" w:type="dxa"/>
          <w:tcBorders>
            <w:top w:val="single" w:sz="12" w:space="0" w:color="auto"/>
          </w:tcBorders>
          <w:vAlign w:val="center"/>
        </w:tcPr>
        <w:p w14:paraId="45511C2B" w14:textId="77777777" w:rsidR="00C52AC4" w:rsidRPr="00DF5E77" w:rsidRDefault="00000000" w:rsidP="00DB03FF">
          <w:pPr>
            <w:jc w:val="center"/>
            <w:rPr>
              <w:i/>
              <w:sz w:val="22"/>
              <w:szCs w:val="22"/>
            </w:rPr>
          </w:pPr>
          <w:r w:rsidRPr="00DF5E77">
            <w:rPr>
              <w:i/>
              <w:sz w:val="22"/>
              <w:szCs w:val="22"/>
            </w:rPr>
            <w:t>Lapas</w:t>
          </w:r>
        </w:p>
      </w:tc>
      <w:tc>
        <w:tcPr>
          <w:tcW w:w="674" w:type="dxa"/>
          <w:tcBorders>
            <w:top w:val="single" w:sz="12" w:space="0" w:color="auto"/>
          </w:tcBorders>
          <w:vAlign w:val="center"/>
        </w:tcPr>
        <w:p w14:paraId="53B28399" w14:textId="77777777" w:rsidR="00C52AC4" w:rsidRPr="00DF5E77" w:rsidRDefault="00000000" w:rsidP="00DB03FF">
          <w:pPr>
            <w:jc w:val="center"/>
            <w:rPr>
              <w:i/>
              <w:sz w:val="22"/>
              <w:szCs w:val="22"/>
            </w:rPr>
          </w:pPr>
          <w:r w:rsidRPr="00DF5E77">
            <w:rPr>
              <w:i/>
              <w:sz w:val="22"/>
              <w:szCs w:val="22"/>
            </w:rPr>
            <w:t xml:space="preserve">Lapų </w:t>
          </w:r>
        </w:p>
      </w:tc>
      <w:tc>
        <w:tcPr>
          <w:tcW w:w="680" w:type="dxa"/>
          <w:tcBorders>
            <w:top w:val="single" w:sz="12" w:space="0" w:color="auto"/>
          </w:tcBorders>
          <w:vAlign w:val="center"/>
        </w:tcPr>
        <w:p w14:paraId="026F6698" w14:textId="77777777" w:rsidR="00C52AC4" w:rsidRPr="00DF5E77" w:rsidRDefault="00000000" w:rsidP="00DB03FF">
          <w:pPr>
            <w:jc w:val="center"/>
            <w:rPr>
              <w:i/>
              <w:sz w:val="22"/>
              <w:szCs w:val="22"/>
            </w:rPr>
          </w:pPr>
          <w:r w:rsidRPr="00DF5E77">
            <w:rPr>
              <w:i/>
              <w:sz w:val="22"/>
              <w:szCs w:val="22"/>
            </w:rPr>
            <w:t>Laida</w:t>
          </w:r>
        </w:p>
      </w:tc>
    </w:tr>
    <w:tr w:rsidR="0058273F" w:rsidRPr="00DF5E77" w14:paraId="42A9E1ED" w14:textId="77777777" w:rsidTr="00642F70">
      <w:trPr>
        <w:cantSplit/>
        <w:trHeight w:val="53"/>
        <w:jc w:val="right"/>
      </w:trPr>
      <w:tc>
        <w:tcPr>
          <w:tcW w:w="3212" w:type="dxa"/>
          <w:vMerge/>
          <w:tcBorders>
            <w:bottom w:val="single" w:sz="12" w:space="0" w:color="auto"/>
          </w:tcBorders>
          <w:vAlign w:val="center"/>
        </w:tcPr>
        <w:p w14:paraId="7A8A81C1" w14:textId="77777777" w:rsidR="00C52AC4" w:rsidRPr="00DF5E77" w:rsidRDefault="00C52AC4" w:rsidP="00DB03FF">
          <w:pPr>
            <w:rPr>
              <w:sz w:val="22"/>
              <w:szCs w:val="22"/>
            </w:rPr>
          </w:pPr>
        </w:p>
      </w:tc>
      <w:tc>
        <w:tcPr>
          <w:tcW w:w="704" w:type="dxa"/>
          <w:tcBorders>
            <w:bottom w:val="single" w:sz="12" w:space="0" w:color="auto"/>
          </w:tcBorders>
          <w:vAlign w:val="center"/>
        </w:tcPr>
        <w:p w14:paraId="2EA0B0CE" w14:textId="77777777" w:rsidR="00C52AC4" w:rsidRPr="00DF5E77" w:rsidRDefault="00000000" w:rsidP="00DB03FF">
          <w:pPr>
            <w:jc w:val="center"/>
            <w:rPr>
              <w:sz w:val="22"/>
              <w:szCs w:val="22"/>
            </w:rPr>
          </w:pPr>
          <w:r w:rsidRPr="00DF5E77">
            <w:rPr>
              <w:rStyle w:val="Puslapionumeris"/>
              <w:rFonts w:eastAsiaTheme="majorEastAsia"/>
              <w:sz w:val="22"/>
              <w:szCs w:val="22"/>
            </w:rPr>
            <w:fldChar w:fldCharType="begin"/>
          </w:r>
          <w:r w:rsidRPr="00DF5E77">
            <w:rPr>
              <w:rStyle w:val="Puslapionumeris"/>
              <w:rFonts w:eastAsiaTheme="majorEastAsia"/>
              <w:sz w:val="22"/>
              <w:szCs w:val="22"/>
            </w:rPr>
            <w:instrText xml:space="preserve"> PAGE  \* Arabic </w:instrText>
          </w:r>
          <w:r w:rsidRPr="00DF5E77">
            <w:rPr>
              <w:rStyle w:val="Puslapionumeris"/>
              <w:rFonts w:eastAsiaTheme="majorEastAsia"/>
              <w:sz w:val="22"/>
              <w:szCs w:val="22"/>
            </w:rPr>
            <w:fldChar w:fldCharType="separate"/>
          </w:r>
          <w:r w:rsidRPr="00DF5E77">
            <w:rPr>
              <w:rStyle w:val="Puslapionumeris"/>
              <w:rFonts w:eastAsiaTheme="majorEastAsia"/>
              <w:sz w:val="22"/>
              <w:szCs w:val="22"/>
            </w:rPr>
            <w:t>2</w:t>
          </w:r>
          <w:r w:rsidRPr="00DF5E77">
            <w:rPr>
              <w:rStyle w:val="Puslapionumeris"/>
              <w:rFonts w:eastAsiaTheme="majorEastAsia"/>
              <w:sz w:val="22"/>
              <w:szCs w:val="22"/>
            </w:rPr>
            <w:fldChar w:fldCharType="end"/>
          </w:r>
        </w:p>
      </w:tc>
      <w:tc>
        <w:tcPr>
          <w:tcW w:w="674" w:type="dxa"/>
          <w:tcBorders>
            <w:bottom w:val="single" w:sz="12" w:space="0" w:color="auto"/>
          </w:tcBorders>
          <w:vAlign w:val="center"/>
        </w:tcPr>
        <w:p w14:paraId="65ABA886" w14:textId="77777777" w:rsidR="00C52AC4" w:rsidRPr="00DF5E77" w:rsidRDefault="00000000" w:rsidP="00DB03FF">
          <w:pPr>
            <w:jc w:val="center"/>
            <w:rPr>
              <w:sz w:val="22"/>
              <w:szCs w:val="22"/>
            </w:rPr>
          </w:pPr>
          <w:r w:rsidRPr="00DF5E77">
            <w:rPr>
              <w:sz w:val="22"/>
              <w:szCs w:val="22"/>
            </w:rPr>
            <w:t>2</w:t>
          </w:r>
        </w:p>
      </w:tc>
      <w:tc>
        <w:tcPr>
          <w:tcW w:w="680" w:type="dxa"/>
          <w:tcBorders>
            <w:bottom w:val="single" w:sz="12" w:space="0" w:color="auto"/>
          </w:tcBorders>
          <w:vAlign w:val="center"/>
        </w:tcPr>
        <w:p w14:paraId="056D06C8" w14:textId="77777777" w:rsidR="00C52AC4" w:rsidRPr="00DF5E77" w:rsidRDefault="00000000" w:rsidP="00DB03FF">
          <w:pPr>
            <w:jc w:val="center"/>
            <w:rPr>
              <w:sz w:val="22"/>
              <w:szCs w:val="22"/>
            </w:rPr>
          </w:pPr>
          <w:r>
            <w:rPr>
              <w:sz w:val="22"/>
              <w:szCs w:val="22"/>
            </w:rPr>
            <w:t>-</w:t>
          </w:r>
        </w:p>
      </w:tc>
    </w:tr>
  </w:tbl>
  <w:p w14:paraId="0A4D0E94" w14:textId="77777777" w:rsidR="00C52AC4" w:rsidRDefault="00C52A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7AE0" w14:textId="77777777" w:rsidR="00990D46" w:rsidRDefault="00990D46">
      <w:r>
        <w:separator/>
      </w:r>
    </w:p>
  </w:footnote>
  <w:footnote w:type="continuationSeparator" w:id="0">
    <w:p w14:paraId="03BCAF58" w14:textId="77777777" w:rsidR="00990D46" w:rsidRDefault="0099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A35B" w14:textId="77777777" w:rsidR="00C52AC4" w:rsidRPr="00DF5E77" w:rsidRDefault="00C52AC4" w:rsidP="00FE1F92">
    <w:pPr>
      <w:autoSpaceDE w:val="0"/>
      <w:autoSpaceDN w:val="0"/>
      <w:adjustRightIn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E7"/>
    <w:rsid w:val="004E7216"/>
    <w:rsid w:val="00674A64"/>
    <w:rsid w:val="007B00C5"/>
    <w:rsid w:val="008F3C13"/>
    <w:rsid w:val="00990D46"/>
    <w:rsid w:val="00BC0DDD"/>
    <w:rsid w:val="00C52AC4"/>
    <w:rsid w:val="00D06AAD"/>
    <w:rsid w:val="00D12A25"/>
    <w:rsid w:val="00F87DE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C18A"/>
  <w15:chartTrackingRefBased/>
  <w15:docId w15:val="{EE615665-3CAA-46D6-83DA-D386F514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DE7"/>
    <w:pPr>
      <w:spacing w:after="0" w:line="240" w:lineRule="auto"/>
    </w:pPr>
    <w:rPr>
      <w:rFonts w:ascii="Times New Roman" w:eastAsia="Times New Roman" w:hAnsi="Times New Roman" w:cs="Times New Roman"/>
      <w:kern w:val="0"/>
      <w:sz w:val="24"/>
      <w:szCs w:val="24"/>
      <w:lang w:eastAsia="ru-RU"/>
      <w14:ligatures w14:val="none"/>
    </w:rPr>
  </w:style>
  <w:style w:type="paragraph" w:styleId="Antrat1">
    <w:name w:val="heading 1"/>
    <w:basedOn w:val="prastasis"/>
    <w:next w:val="prastasis"/>
    <w:link w:val="Antrat1Diagrama"/>
    <w:uiPriority w:val="9"/>
    <w:qFormat/>
    <w:rsid w:val="00F87DE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87DE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87DE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87DE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87DE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87DE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87DE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87DE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87DE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7D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7D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7D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7D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7D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7D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7D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7D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7D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7DE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87D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7DE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87D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7DE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87DE7"/>
    <w:rPr>
      <w:i/>
      <w:iCs/>
      <w:color w:val="404040" w:themeColor="text1" w:themeTint="BF"/>
    </w:rPr>
  </w:style>
  <w:style w:type="paragraph" w:styleId="Sraopastraipa">
    <w:name w:val="List Paragraph"/>
    <w:basedOn w:val="prastasis"/>
    <w:uiPriority w:val="34"/>
    <w:qFormat/>
    <w:rsid w:val="00F87DE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F87DE7"/>
    <w:rPr>
      <w:i/>
      <w:iCs/>
      <w:color w:val="0F4761" w:themeColor="accent1" w:themeShade="BF"/>
    </w:rPr>
  </w:style>
  <w:style w:type="paragraph" w:styleId="Iskirtacitata">
    <w:name w:val="Intense Quote"/>
    <w:basedOn w:val="prastasis"/>
    <w:next w:val="prastasis"/>
    <w:link w:val="IskirtacitataDiagrama"/>
    <w:uiPriority w:val="30"/>
    <w:qFormat/>
    <w:rsid w:val="00F87DE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87DE7"/>
    <w:rPr>
      <w:i/>
      <w:iCs/>
      <w:color w:val="0F4761" w:themeColor="accent1" w:themeShade="BF"/>
    </w:rPr>
  </w:style>
  <w:style w:type="character" w:styleId="Rykinuoroda">
    <w:name w:val="Intense Reference"/>
    <w:basedOn w:val="Numatytasispastraiposriftas"/>
    <w:uiPriority w:val="32"/>
    <w:qFormat/>
    <w:rsid w:val="00F87DE7"/>
    <w:rPr>
      <w:b/>
      <w:bCs/>
      <w:smallCaps/>
      <w:color w:val="0F4761" w:themeColor="accent1" w:themeShade="BF"/>
      <w:spacing w:val="5"/>
    </w:rPr>
  </w:style>
  <w:style w:type="paragraph" w:styleId="Porat">
    <w:name w:val="footer"/>
    <w:basedOn w:val="prastasis"/>
    <w:link w:val="PoratDiagrama"/>
    <w:rsid w:val="00F87DE7"/>
    <w:pPr>
      <w:tabs>
        <w:tab w:val="center" w:pos="4677"/>
        <w:tab w:val="right" w:pos="9355"/>
      </w:tabs>
    </w:pPr>
  </w:style>
  <w:style w:type="character" w:customStyle="1" w:styleId="PoratDiagrama">
    <w:name w:val="Poraštė Diagrama"/>
    <w:basedOn w:val="Numatytasispastraiposriftas"/>
    <w:link w:val="Porat"/>
    <w:rsid w:val="00F87DE7"/>
    <w:rPr>
      <w:rFonts w:ascii="Times New Roman" w:eastAsia="Times New Roman" w:hAnsi="Times New Roman" w:cs="Times New Roman"/>
      <w:kern w:val="0"/>
      <w:sz w:val="24"/>
      <w:szCs w:val="24"/>
      <w:lang w:eastAsia="ru-RU"/>
      <w14:ligatures w14:val="none"/>
    </w:rPr>
  </w:style>
  <w:style w:type="character" w:styleId="Puslapionumeris">
    <w:name w:val="page number"/>
    <w:basedOn w:val="Numatytasispastraiposriftas"/>
    <w:rsid w:val="00F87DE7"/>
  </w:style>
  <w:style w:type="paragraph" w:customStyle="1" w:styleId="formul">
    <w:name w:val="formul"/>
    <w:basedOn w:val="prastasis"/>
    <w:rsid w:val="00F87DE7"/>
    <w:pPr>
      <w:tabs>
        <w:tab w:val="center" w:pos="4820"/>
        <w:tab w:val="right" w:pos="9639"/>
      </w:tabs>
      <w:spacing w:before="240" w:after="240"/>
      <w:jc w:val="center"/>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2084</Words>
  <Characters>1189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2025-03-06T11:39:00Z</dcterms:created>
  <dcterms:modified xsi:type="dcterms:W3CDTF">2025-03-18T13:14:00Z</dcterms:modified>
</cp:coreProperties>
</file>