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0A04" w14:textId="77777777" w:rsidR="00FB49DE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</w:pPr>
    </w:p>
    <w:p w14:paraId="257A93EE" w14:textId="1BEF7204" w:rsidR="00FB49DE" w:rsidRPr="00645DBB" w:rsidRDefault="008A47DF" w:rsidP="00FB49D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47DF">
        <w:rPr>
          <w:rFonts w:ascii="Times New Roman" w:eastAsia="Times New Roman" w:hAnsi="Times New Roman" w:cs="Times New Roman"/>
          <w:sz w:val="24"/>
          <w:szCs w:val="24"/>
        </w:rPr>
        <w:t xml:space="preserve">SPEKTAKLIO DARŽELINUKAMS IR PRADINIŲ KLASIŲ MOKSLEIVIAMS SUKŪRIMO IR JO GASTROLIŲ PO LIETUVĄ </w:t>
      </w:r>
      <w:r w:rsidR="00FB49DE" w:rsidRPr="00645DBB">
        <w:rPr>
          <w:rFonts w:ascii="Times New Roman" w:eastAsia="Times New Roman" w:hAnsi="Times New Roman" w:cs="Times New Roman"/>
          <w:sz w:val="24"/>
          <w:szCs w:val="24"/>
        </w:rPr>
        <w:t>PASLAUGOS</w:t>
      </w:r>
    </w:p>
    <w:p w14:paraId="568212A2" w14:textId="77777777" w:rsidR="00FB49DE" w:rsidRPr="00645DBB" w:rsidRDefault="00FB49DE" w:rsidP="00FB49DE">
      <w:pPr>
        <w:tabs>
          <w:tab w:val="right" w:leader="underscore" w:pos="9720"/>
        </w:tabs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806E58" w14:textId="478E478F" w:rsidR="00FB49DE" w:rsidRPr="004D0EBD" w:rsidRDefault="00FB49DE" w:rsidP="00FB49DE">
      <w:pPr>
        <w:pStyle w:val="Body2"/>
        <w:tabs>
          <w:tab w:val="left" w:pos="993"/>
        </w:tabs>
        <w:ind w:firstLine="540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Įvertinimui, kuris atliekamas vadovaujantis konkurso sąlygų </w:t>
      </w:r>
      <w:r w:rsidR="007E598E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7E598E" w:rsidRPr="007E598E">
        <w:rPr>
          <w:rFonts w:eastAsia="Times New Roman" w:cs="Times New Roman"/>
          <w:bCs/>
          <w:iCs/>
          <w:sz w:val="24"/>
          <w:szCs w:val="24"/>
          <w:highlight w:val="yellow"/>
          <w:bdr w:val="none" w:sz="0" w:space="0" w:color="auto"/>
          <w:lang w:val="lt-LT"/>
        </w:rPr>
        <w:t>...</w:t>
      </w:r>
      <w:r w:rsidRPr="004D0EBD">
        <w:rPr>
          <w:rFonts w:eastAsia="Times New Roman" w:cs="Times New Roman"/>
          <w:bCs/>
          <w:i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 skyriuje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pateikta pasiūlymų ekonominio vertinimo metodika, tiekėjas turi pateikti:</w:t>
      </w:r>
    </w:p>
    <w:p w14:paraId="18160C8C" w14:textId="73261AB4" w:rsidR="00FB49DE" w:rsidRPr="00E64A88" w:rsidRDefault="00FB49DE" w:rsidP="00FB49DE">
      <w:pPr>
        <w:pStyle w:val="Body2"/>
        <w:tabs>
          <w:tab w:val="left" w:pos="993"/>
        </w:tabs>
        <w:ind w:firstLine="540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1.</w:t>
      </w: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ab/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spektaklio </w:t>
      </w:r>
      <w:bookmarkStart w:id="0" w:name="_Hlk187652329"/>
      <w:r w:rsidR="00645DBB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sukūrimo ir jo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 gastrolių </w:t>
      </w:r>
      <w:bookmarkEnd w:id="0"/>
      <w:r w:rsidR="00645DBB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p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o </w:t>
      </w:r>
      <w:r w:rsidR="00645DBB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Lietuv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ą </w:t>
      </w:r>
      <w:r w:rsidRPr="004D0EBD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koncepciją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,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apimančią </w:t>
      </w:r>
      <w:r w:rsidR="00B7491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preliminarų </w:t>
      </w:r>
      <w:r w:rsidR="008A47DF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spektaklio </w:t>
      </w:r>
      <w:r w:rsidR="00645DBB" w:rsidRPr="00645DBB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sukūrimo </w:t>
      </w:r>
      <w:r w:rsidR="008A47DF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ir jo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 gastrolių </w:t>
      </w:r>
      <w:r w:rsidR="008A47DF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p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 xml:space="preserve">o </w:t>
      </w:r>
      <w:r w:rsidR="008A47DF" w:rsidRPr="00645DBB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Lietuv</w:t>
      </w:r>
      <w:r w:rsidR="008A47DF">
        <w:rPr>
          <w:rFonts w:eastAsia="Times New Roman" w:cs="Times New Roman"/>
          <w:bCs/>
          <w:iCs/>
          <w:color w:val="auto"/>
          <w:sz w:val="24"/>
          <w:szCs w:val="24"/>
          <w:bdr w:val="none" w:sz="0" w:space="0" w:color="auto"/>
          <w:lang w:val="lt-LT"/>
        </w:rPr>
        <w:t>ą</w:t>
      </w:r>
      <w:r w:rsidR="00B7491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 </w:t>
      </w:r>
      <w:r w:rsidR="001A4C46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organizavimo ir </w:t>
      </w:r>
      <w:r w:rsidR="00B7491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shd w:val="clear" w:color="auto" w:fill="FFFFFF"/>
          <w:lang w:val="lt-LT"/>
        </w:rPr>
        <w:t xml:space="preserve">įgyvendinimo (veiksmų plano) aprašymą,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siūlomo</w:t>
      </w:r>
      <w:r w:rsidR="00645DBB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8A47DF" w:rsidRPr="008A47D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spektaklio </w:t>
      </w:r>
      <w:r w:rsidR="007F2DA2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koncepcijos</w:t>
      </w:r>
      <w:r w:rsidR="00645DBB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aprašymą su </w:t>
      </w:r>
      <w:r w:rsidR="008A47DF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spektaklio </w:t>
      </w:r>
      <w:r w:rsidR="00E64A88" w:rsidRPr="00B74918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pasirinkimo pagrindimu</w:t>
      </w:r>
      <w:r w:rsidR="005F0C7B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.</w:t>
      </w:r>
    </w:p>
    <w:p w14:paraId="20EC23E3" w14:textId="17731910" w:rsidR="00FB49DE" w:rsidRPr="004D0EBD" w:rsidRDefault="00FB49DE" w:rsidP="00FB49DE">
      <w:pPr>
        <w:pStyle w:val="Body2"/>
        <w:tabs>
          <w:tab w:val="left" w:pos="993"/>
        </w:tabs>
        <w:ind w:firstLine="540"/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</w:pP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2.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ab/>
      </w:r>
      <w:r w:rsidR="008A1094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paslaugų valdymo ir kokybės užtikrinimo </w:t>
      </w:r>
      <w:r w:rsidRPr="004D0EBD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mechanizmo aprašymą. 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Pasiūlyme teikėjas pateikia paslaugų teikimo organizavimo ir valdymo </w:t>
      </w:r>
      <w:r w:rsidR="00725D16" w:rsidRPr="00D866C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aprašymą</w:t>
      </w:r>
      <w:r w:rsidR="00AF1675" w:rsidRPr="00D866C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,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siūlomų specialistų funkcijas ir atsakomybes, įvertin</w:t>
      </w:r>
      <w:r w:rsid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a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bei apraš</w:t>
      </w:r>
      <w:r w:rsid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o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 rizikas, susijusias su </w:t>
      </w:r>
      <w:r w:rsidR="00725D16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 xml:space="preserve">paslaugos </w:t>
      </w:r>
      <w:r w:rsidR="00AF1675" w:rsidRPr="00AF1675">
        <w:rPr>
          <w:rFonts w:eastAsia="Times New Roman" w:cs="Times New Roman"/>
          <w:bCs/>
          <w:iCs/>
          <w:sz w:val="24"/>
          <w:szCs w:val="24"/>
          <w:bdr w:val="none" w:sz="0" w:space="0" w:color="auto"/>
          <w:lang w:val="lt-LT"/>
        </w:rPr>
        <w:t>įgyvendinimu, pateikti rizikų valdymo priemonių planą.</w:t>
      </w:r>
    </w:p>
    <w:p w14:paraId="45AA4436" w14:textId="77777777" w:rsidR="00FB49DE" w:rsidRDefault="00FB49DE" w:rsidP="00FB49DE">
      <w:pPr>
        <w:tabs>
          <w:tab w:val="right" w:leader="underscore" w:pos="9720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B3A228" w14:textId="20EB4F77" w:rsidR="000B5B08" w:rsidRDefault="00632C47" w:rsidP="008D558E">
      <w:pPr>
        <w:tabs>
          <w:tab w:val="right" w:leader="underscore" w:pos="972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D558E">
        <w:rPr>
          <w:rFonts w:ascii="Times New Roman" w:hAnsi="Times New Roman" w:cs="Times New Roman"/>
          <w:sz w:val="24"/>
          <w:szCs w:val="24"/>
          <w:lang w:val="lt-LT"/>
        </w:rPr>
        <w:t xml:space="preserve">Kartu su Pasiūlymo B dalimis tiekėjas turi pateikti priedą - detalų biudžeto paskirstymą pagal tiekėjo pasiūlytą </w:t>
      </w:r>
      <w:r w:rsidR="008A47DF" w:rsidRPr="008A47DF">
        <w:rPr>
          <w:rFonts w:ascii="Times New Roman" w:hAnsi="Times New Roman" w:cs="Times New Roman"/>
          <w:sz w:val="24"/>
          <w:szCs w:val="24"/>
          <w:lang w:val="lt-LT"/>
        </w:rPr>
        <w:t>spektaklio sukūrimo ir jo gastrolių po Lietuvą</w:t>
      </w:r>
      <w:r w:rsidR="00645DBB" w:rsidRPr="00645DB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D558E">
        <w:rPr>
          <w:rFonts w:ascii="Times New Roman" w:hAnsi="Times New Roman" w:cs="Times New Roman"/>
          <w:sz w:val="24"/>
          <w:szCs w:val="24"/>
          <w:lang w:val="lt-LT"/>
        </w:rPr>
        <w:t xml:space="preserve">koncepciją detalizuojant </w:t>
      </w:r>
      <w:r w:rsidRPr="007F2DA2">
        <w:rPr>
          <w:rFonts w:ascii="Times New Roman" w:hAnsi="Times New Roman" w:cs="Times New Roman"/>
          <w:sz w:val="24"/>
          <w:szCs w:val="24"/>
          <w:lang w:val="lt-LT"/>
        </w:rPr>
        <w:t>1 (vieno) renginio</w:t>
      </w:r>
      <w:r w:rsidRPr="008D558E">
        <w:rPr>
          <w:rFonts w:ascii="Times New Roman" w:hAnsi="Times New Roman" w:cs="Times New Roman"/>
          <w:sz w:val="24"/>
          <w:szCs w:val="24"/>
          <w:lang w:val="lt-LT"/>
        </w:rPr>
        <w:t xml:space="preserve"> lėšas pagal pasirinktą renginių formatą, priemones, veiklas, specialistus ir t.t.; </w:t>
      </w:r>
      <w:r w:rsidR="00B3558E" w:rsidRPr="008D55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paslaugos kainą turi įeiti visos sudėtinės dalys, tinkamam paslaugų teikimui. </w:t>
      </w:r>
    </w:p>
    <w:p w14:paraId="0FC420F2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6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959"/>
        <w:gridCol w:w="992"/>
        <w:gridCol w:w="1418"/>
        <w:gridCol w:w="1701"/>
      </w:tblGrid>
      <w:tr w:rsidR="00FB49DE" w:rsidRPr="004D0EBD" w14:paraId="7413BFEC" w14:textId="77777777" w:rsidTr="00581BF3">
        <w:trPr>
          <w:cantSplit/>
          <w:trHeight w:val="674"/>
        </w:trPr>
        <w:tc>
          <w:tcPr>
            <w:tcW w:w="10519" w:type="dxa"/>
            <w:gridSpan w:val="3"/>
            <w:vAlign w:val="center"/>
          </w:tcPr>
          <w:p w14:paraId="32652065" w14:textId="77777777" w:rsidR="00FB49DE" w:rsidRPr="004D0EBD" w:rsidRDefault="00FB49DE" w:rsidP="00FB49DE">
            <w:pPr>
              <w:widowControl w:val="0"/>
              <w:spacing w:after="0"/>
              <w:ind w:left="-709" w:firstLine="694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1418" w:type="dxa"/>
            <w:vAlign w:val="center"/>
          </w:tcPr>
          <w:p w14:paraId="6C988EBE" w14:textId="77777777" w:rsidR="00FB49DE" w:rsidRPr="004D0EBD" w:rsidRDefault="00FB49DE" w:rsidP="00FB49DE">
            <w:pPr>
              <w:widowControl w:val="0"/>
              <w:spacing w:after="0"/>
              <w:ind w:left="3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Funkcinio parametro lyginamasis svoris</w:t>
            </w:r>
          </w:p>
        </w:tc>
        <w:tc>
          <w:tcPr>
            <w:tcW w:w="1701" w:type="dxa"/>
            <w:vAlign w:val="center"/>
          </w:tcPr>
          <w:p w14:paraId="33A8F6E0" w14:textId="77777777" w:rsidR="00FB49DE" w:rsidRPr="004D0EBD" w:rsidRDefault="00FB49DE" w:rsidP="00FB49DE">
            <w:pPr>
              <w:widowControl w:val="0"/>
              <w:spacing w:after="0"/>
              <w:ind w:left="-10" w:right="-9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Lyginamasis svoris ekonominio naudingumo įvertinime</w:t>
            </w:r>
          </w:p>
        </w:tc>
      </w:tr>
      <w:tr w:rsidR="00FB49DE" w:rsidRPr="004D0EBD" w14:paraId="6B7537A0" w14:textId="77777777" w:rsidTr="00581BF3">
        <w:trPr>
          <w:cantSplit/>
          <w:trHeight w:val="209"/>
        </w:trPr>
        <w:tc>
          <w:tcPr>
            <w:tcW w:w="10519" w:type="dxa"/>
            <w:gridSpan w:val="3"/>
          </w:tcPr>
          <w:p w14:paraId="34B6A4B1" w14:textId="77777777" w:rsidR="00FB49DE" w:rsidRPr="004D0EBD" w:rsidRDefault="00FB49DE" w:rsidP="00FB49DE">
            <w:pPr>
              <w:pStyle w:val="Header"/>
              <w:spacing w:after="0" w:line="259" w:lineRule="auto"/>
              <w:ind w:left="-709" w:right="1633" w:firstLine="694"/>
              <w:rPr>
                <w:b/>
                <w:i/>
                <w:lang w:eastAsia="en-US"/>
              </w:rPr>
            </w:pPr>
            <w:r w:rsidRPr="004D0EBD">
              <w:rPr>
                <w:b/>
                <w:i/>
                <w:lang w:eastAsia="en-US"/>
              </w:rPr>
              <w:t>1.Kaina</w:t>
            </w:r>
            <w:r w:rsidRPr="004D0EBD">
              <w:rPr>
                <w:b/>
                <w:lang w:eastAsia="en-US"/>
              </w:rPr>
              <w:t xml:space="preserve"> (C)</w:t>
            </w:r>
          </w:p>
        </w:tc>
        <w:tc>
          <w:tcPr>
            <w:tcW w:w="1418" w:type="dxa"/>
            <w:vAlign w:val="center"/>
          </w:tcPr>
          <w:p w14:paraId="5DD8D9C3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3270845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X=40</w:t>
            </w:r>
          </w:p>
        </w:tc>
      </w:tr>
      <w:tr w:rsidR="00FB49DE" w:rsidRPr="004D0EBD" w14:paraId="668BE964" w14:textId="77777777" w:rsidTr="00581BF3">
        <w:trPr>
          <w:cantSplit/>
          <w:trHeight w:val="209"/>
        </w:trPr>
        <w:tc>
          <w:tcPr>
            <w:tcW w:w="10519" w:type="dxa"/>
            <w:gridSpan w:val="3"/>
            <w:shd w:val="clear" w:color="auto" w:fill="FFFFFF"/>
          </w:tcPr>
          <w:p w14:paraId="0AE3D8EF" w14:textId="77777777" w:rsidR="00FB49DE" w:rsidRPr="004D0EBD" w:rsidRDefault="00FB49DE" w:rsidP="00FB49DE">
            <w:pPr>
              <w:pStyle w:val="Header"/>
              <w:spacing w:after="0" w:line="259" w:lineRule="auto"/>
              <w:ind w:left="-709" w:right="1633" w:firstLine="694"/>
              <w:rPr>
                <w:b/>
                <w:i/>
                <w:lang w:eastAsia="en-US"/>
              </w:rPr>
            </w:pPr>
            <w:r w:rsidRPr="004D0EBD">
              <w:rPr>
                <w:b/>
                <w:i/>
                <w:lang w:eastAsia="en-US"/>
              </w:rPr>
              <w:t>2. Kokybė, kūrybiškumas, efektyvumas (T)</w:t>
            </w:r>
          </w:p>
        </w:tc>
        <w:tc>
          <w:tcPr>
            <w:tcW w:w="1418" w:type="dxa"/>
            <w:vAlign w:val="center"/>
          </w:tcPr>
          <w:p w14:paraId="6205FA33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Ls</w:t>
            </w:r>
            <w:proofErr w:type="spellEnd"/>
          </w:p>
        </w:tc>
        <w:tc>
          <w:tcPr>
            <w:tcW w:w="1701" w:type="dxa"/>
            <w:vAlign w:val="center"/>
          </w:tcPr>
          <w:p w14:paraId="1A5C6B45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Y=60</w:t>
            </w:r>
          </w:p>
        </w:tc>
      </w:tr>
      <w:tr w:rsidR="00FB49DE" w:rsidRPr="004D0EBD" w14:paraId="5037A17B" w14:textId="77777777" w:rsidTr="00581BF3">
        <w:trPr>
          <w:trHeight w:val="374"/>
        </w:trPr>
        <w:tc>
          <w:tcPr>
            <w:tcW w:w="568" w:type="dxa"/>
          </w:tcPr>
          <w:p w14:paraId="2F24D3F7" w14:textId="4552494A" w:rsidR="00FB49DE" w:rsidRPr="004D0EBD" w:rsidRDefault="00FB49DE" w:rsidP="00FB49DE">
            <w:pPr>
              <w:widowControl w:val="0"/>
              <w:spacing w:after="0"/>
              <w:ind w:left="-709" w:firstLine="69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  <w:r w:rsidR="00581BF3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959" w:type="dxa"/>
          </w:tcPr>
          <w:p w14:paraId="32E46E9E" w14:textId="72386727" w:rsidR="00FB49DE" w:rsidRPr="004D0EBD" w:rsidRDefault="008A47DF" w:rsidP="00FB4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S</w:t>
            </w:r>
            <w:r w:rsidRPr="008A47D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pektaklio sukūrimo ir jo gastrolių po Lietuvą 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koncepcijos 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jos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įgyvendinimo (veiksmų plano) aprašymas (T</w:t>
            </w:r>
            <w:r w:rsidR="009672C1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1</w:t>
            </w:r>
            <w:r w:rsidR="00FB49DE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) </w:t>
            </w:r>
            <w:r w:rsidR="00FB49DE" w:rsidRPr="004D0EB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(iki 1</w:t>
            </w:r>
            <w:r w:rsidR="00B150E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2</w:t>
            </w:r>
            <w:r w:rsidR="00FB49DE" w:rsidRPr="004D0EB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lapų apimties):</w:t>
            </w:r>
          </w:p>
          <w:p w14:paraId="1AC7DDDF" w14:textId="77777777" w:rsidR="00B74918" w:rsidRDefault="00B74918" w:rsidP="00B74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E05C15" w14:textId="34B97874" w:rsidR="00B74918" w:rsidRPr="004D0EBD" w:rsidRDefault="00FB49DE" w:rsidP="00B749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.1.</w:t>
            </w:r>
            <w:r w:rsidR="008E42CE" w:rsidRPr="008E42CE">
              <w:rPr>
                <w:lang w:val="lt-LT"/>
              </w:rPr>
              <w:t xml:space="preserve"> 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Spektaklio</w:t>
            </w:r>
            <w:r w:rsidR="00645DBB" w:rsidRPr="00645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sukūrimo ir jo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gastrolių po</w:t>
            </w:r>
            <w:r w:rsidR="00645DBB" w:rsidRPr="00645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645DBB" w:rsidRPr="00645D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B74918" w:rsidRP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reliminar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 </w:t>
            </w:r>
            <w:r w:rsidR="00B74918" w:rsidRP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(veiksmų plano) aprašym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(priemon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įgyvendinimo etap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</w:t>
            </w:r>
            <w:r w:rsidR="00B74918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(preliminarus grafik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B74918" w:rsidRPr="003E56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B749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7D12EDB" w14:textId="797E9A4F" w:rsidR="00480852" w:rsidRDefault="00480852" w:rsidP="00FE17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.2.</w:t>
            </w:r>
            <w:bookmarkStart w:id="1" w:name="_Hlk186726352"/>
            <w:r w:rsidRPr="001E5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siūlomo</w:t>
            </w:r>
            <w:r w:rsidR="008A47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spektaklio </w:t>
            </w:r>
            <w:r w:rsidRPr="007F2D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E5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su pagrindimu.</w:t>
            </w:r>
          </w:p>
          <w:bookmarkEnd w:id="1"/>
          <w:p w14:paraId="36F146BF" w14:textId="4E41CA58" w:rsidR="00FB49DE" w:rsidRPr="004D0EBD" w:rsidRDefault="00FB49DE" w:rsidP="005F0C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133CE93" w14:textId="77777777" w:rsidR="00FB49DE" w:rsidRPr="004D0EBD" w:rsidRDefault="00FB49DE" w:rsidP="00FB49DE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88B84B" w14:textId="3B8E493C" w:rsidR="00FB49DE" w:rsidRPr="004D0EBD" w:rsidRDefault="00FB49DE" w:rsidP="00FB49DE">
            <w:pPr>
              <w:widowControl w:val="0"/>
              <w:autoSpaceDE w:val="0"/>
              <w:autoSpaceDN w:val="0"/>
              <w:spacing w:after="0"/>
              <w:ind w:left="101" w:right="78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839EE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Pr="005839EE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Pr="00B74918">
              <w:rPr>
                <w:rFonts w:ascii="Times New Roman" w:eastAsia="Trebuchet MS" w:hAnsi="Times New Roman" w:cs="Times New Roman"/>
                <w:sz w:val="24"/>
                <w:szCs w:val="24"/>
                <w:highlight w:val="yellow"/>
                <w:lang w:val="lt-LT"/>
              </w:rPr>
              <w:t xml:space="preserve"> </w:t>
            </w:r>
            <w:r w:rsidR="005F0C7B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6</w:t>
            </w:r>
          </w:p>
          <w:p w14:paraId="6712D562" w14:textId="77777777" w:rsidR="00FB49DE" w:rsidRPr="004D0EBD" w:rsidRDefault="00FB49DE" w:rsidP="00FB49DE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5890FD06" w14:textId="77777777" w:rsidR="00FB49DE" w:rsidRPr="004D0EBD" w:rsidRDefault="00FB49DE" w:rsidP="00FB49DE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=0,7</w:t>
            </w:r>
          </w:p>
        </w:tc>
        <w:tc>
          <w:tcPr>
            <w:tcW w:w="1701" w:type="dxa"/>
            <w:vAlign w:val="center"/>
          </w:tcPr>
          <w:p w14:paraId="4D47A2A6" w14:textId="77777777" w:rsidR="00FB49DE" w:rsidRPr="004D0EBD" w:rsidRDefault="00FB49DE" w:rsidP="00FB49DE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81BF3" w:rsidRPr="004D0EBD" w14:paraId="4E2C21A8" w14:textId="77777777" w:rsidTr="00581BF3">
        <w:trPr>
          <w:trHeight w:val="374"/>
        </w:trPr>
        <w:tc>
          <w:tcPr>
            <w:tcW w:w="568" w:type="dxa"/>
          </w:tcPr>
          <w:p w14:paraId="65608D96" w14:textId="23855CB1" w:rsidR="00581BF3" w:rsidRPr="004D0EBD" w:rsidRDefault="00581BF3" w:rsidP="00581BF3">
            <w:pPr>
              <w:widowControl w:val="0"/>
              <w:spacing w:after="0"/>
              <w:ind w:left="-709" w:firstLine="69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2.2.</w:t>
            </w:r>
          </w:p>
        </w:tc>
        <w:tc>
          <w:tcPr>
            <w:tcW w:w="8959" w:type="dxa"/>
          </w:tcPr>
          <w:p w14:paraId="10D73DF9" w14:textId="22442723" w:rsidR="00581BF3" w:rsidRPr="004D0EBD" w:rsidRDefault="00581BF3" w:rsidP="00581B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Paslaugų valdymo ir kokybės užtikrinimo aprašymas (T</w:t>
            </w:r>
            <w:r w:rsidR="009672C1"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)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(iki </w:t>
            </w:r>
            <w:r w:rsidR="00D0615F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8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lapų apimties):</w:t>
            </w:r>
          </w:p>
          <w:p w14:paraId="0E8A9658" w14:textId="21297046" w:rsidR="00581BF3" w:rsidRPr="004D0EBD" w:rsidRDefault="00581BF3" w:rsidP="00581BF3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.1.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05828"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teikimo organizavimo ir valdymo </w:t>
            </w:r>
            <w:r w:rsidR="00FE1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7102F14D" w14:textId="1D9B9A34" w:rsidR="00581BF3" w:rsidRPr="004D0EBD" w:rsidRDefault="00581BF3" w:rsidP="00581BF3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.2.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Siūlomų specialistų funkcijos ir atsakomybės,</w:t>
            </w:r>
          </w:p>
          <w:p w14:paraId="44249905" w14:textId="1513D2F4" w:rsidR="00581BF3" w:rsidRPr="004D0EBD" w:rsidRDefault="00581BF3" w:rsidP="00FE173A">
            <w:pPr>
              <w:widowControl w:val="0"/>
              <w:spacing w:after="0"/>
              <w:ind w:hanging="15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672C1"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</w:t>
            </w:r>
            <w:r w:rsidR="0043796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3</w:t>
            </w:r>
            <w:r w:rsidR="00A456E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  </w:t>
            </w:r>
            <w:r w:rsidR="003D0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aslaugų teikimo rizikų ir jų valdymo būdų aprašymas.</w:t>
            </w:r>
          </w:p>
        </w:tc>
        <w:tc>
          <w:tcPr>
            <w:tcW w:w="992" w:type="dxa"/>
            <w:vAlign w:val="center"/>
          </w:tcPr>
          <w:p w14:paraId="2EE40BAA" w14:textId="77777777" w:rsidR="00581BF3" w:rsidRPr="004D0EBD" w:rsidRDefault="00581BF3" w:rsidP="00581BF3">
            <w:pPr>
              <w:widowControl w:val="0"/>
              <w:spacing w:after="0"/>
              <w:ind w:left="-29" w:firstLine="1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A0384B" w14:textId="7743DD5A" w:rsidR="00581BF3" w:rsidRPr="004D0EBD" w:rsidRDefault="00581BF3" w:rsidP="00853C65">
            <w:pPr>
              <w:widowControl w:val="0"/>
              <w:autoSpaceDE w:val="0"/>
              <w:autoSpaceDN w:val="0"/>
              <w:spacing w:after="0"/>
              <w:ind w:left="101" w:right="78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4D0EBD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Pr="004D0EBD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FE173A">
              <w:rPr>
                <w:rFonts w:ascii="Times New Roman" w:eastAsia="Trebuchet MS" w:hAnsi="Times New Roman" w:cs="Times New Roman"/>
                <w:sz w:val="24"/>
                <w:szCs w:val="24"/>
                <w:lang w:val="lt-LT"/>
              </w:rPr>
              <w:t>9</w:t>
            </w:r>
          </w:p>
          <w:p w14:paraId="4B0F3360" w14:textId="77777777" w:rsidR="00581BF3" w:rsidRPr="004D0EBD" w:rsidRDefault="00581BF3" w:rsidP="00581BF3">
            <w:pPr>
              <w:widowControl w:val="0"/>
              <w:spacing w:after="0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132CC8F" w14:textId="069C96A7" w:rsidR="00581BF3" w:rsidRPr="004D0EBD" w:rsidRDefault="00581BF3" w:rsidP="00581BF3">
            <w:pPr>
              <w:widowControl w:val="0"/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=0,3</w:t>
            </w:r>
          </w:p>
        </w:tc>
        <w:tc>
          <w:tcPr>
            <w:tcW w:w="1701" w:type="dxa"/>
            <w:vAlign w:val="center"/>
          </w:tcPr>
          <w:p w14:paraId="34DE45E5" w14:textId="77777777" w:rsidR="00581BF3" w:rsidRPr="004D0EBD" w:rsidRDefault="00581BF3" w:rsidP="00581BF3">
            <w:pPr>
              <w:widowControl w:val="0"/>
              <w:spacing w:after="0"/>
              <w:ind w:left="-1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DFE7F8F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C970CC" w14:textId="77777777" w:rsidR="00FB49DE" w:rsidRPr="004D0EBD" w:rsidRDefault="00FB49DE" w:rsidP="00755AC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742215" w14:textId="77777777" w:rsidR="00755ACB" w:rsidRPr="004D0EBD" w:rsidRDefault="00755ACB" w:rsidP="00581BF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D0E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Jei tiekėjas nepateikia bent vieno parametro aprašymo, toks pasiūlymas bus atmetamas kaip neatitinkantis konkurso sąlygų. </w:t>
      </w:r>
    </w:p>
    <w:p w14:paraId="6AB986C5" w14:textId="77777777" w:rsidR="00755ACB" w:rsidRPr="004D0EBD" w:rsidRDefault="00755ACB" w:rsidP="00871B18">
      <w:pPr>
        <w:spacing w:after="0" w:line="240" w:lineRule="auto"/>
        <w:ind w:left="720" w:firstLine="1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ED2F1D" w14:textId="65840F77" w:rsidR="00581BF3" w:rsidRPr="004D0EBD" w:rsidRDefault="008A47DF" w:rsidP="00581B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A47DF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Spektaklio sukūrimo ir jo gastrolių po Lietuvą koncepcijos ir jos įgyvendinimo (veiksmų plano) aprašymas </w:t>
      </w:r>
      <w:r w:rsidR="00581BF3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(T</w:t>
      </w:r>
      <w:r w:rsidR="007E57EF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1</w:t>
      </w:r>
      <w:r w:rsidR="00581BF3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 (iki 1</w:t>
      </w:r>
      <w:r w:rsidR="00B150EA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2</w:t>
      </w:r>
      <w:r w:rsidR="00581BF3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 lapų apimties; tekstas, viršijantis šią apimtį, nebus vertinamas):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227"/>
        <w:gridCol w:w="1404"/>
        <w:gridCol w:w="3222"/>
        <w:gridCol w:w="2925"/>
        <w:gridCol w:w="3313"/>
      </w:tblGrid>
      <w:tr w:rsidR="0058244A" w:rsidRPr="004D0EBD" w14:paraId="5EB914BA" w14:textId="77777777" w:rsidTr="00921191">
        <w:tc>
          <w:tcPr>
            <w:tcW w:w="590" w:type="dxa"/>
          </w:tcPr>
          <w:p w14:paraId="4635289A" w14:textId="77777777" w:rsidR="00581BF3" w:rsidRPr="004D0EBD" w:rsidRDefault="00581BF3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27" w:type="dxa"/>
          </w:tcPr>
          <w:p w14:paraId="00637736" w14:textId="77777777" w:rsidR="00581BF3" w:rsidRPr="004D0EBD" w:rsidRDefault="00581BF3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04" w:type="dxa"/>
          </w:tcPr>
          <w:p w14:paraId="02E10F3D" w14:textId="77777777" w:rsidR="00581BF3" w:rsidRPr="004D0EBD" w:rsidRDefault="00581BF3" w:rsidP="00C521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Blogai - 0</w:t>
            </w:r>
          </w:p>
        </w:tc>
        <w:tc>
          <w:tcPr>
            <w:tcW w:w="3222" w:type="dxa"/>
          </w:tcPr>
          <w:p w14:paraId="0F12489E" w14:textId="77777777" w:rsidR="00581BF3" w:rsidRPr="004D0EBD" w:rsidRDefault="00581BF3" w:rsidP="00C5216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Patenkinamai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1 balas</w:t>
            </w:r>
          </w:p>
        </w:tc>
        <w:tc>
          <w:tcPr>
            <w:tcW w:w="2925" w:type="dxa"/>
          </w:tcPr>
          <w:p w14:paraId="4B7892C1" w14:textId="77777777" w:rsidR="00581BF3" w:rsidRPr="004D0EBD" w:rsidRDefault="00581BF3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Gerai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balai</w:t>
            </w:r>
          </w:p>
        </w:tc>
        <w:tc>
          <w:tcPr>
            <w:tcW w:w="3313" w:type="dxa"/>
          </w:tcPr>
          <w:p w14:paraId="6BA2C6FF" w14:textId="77777777" w:rsidR="00581BF3" w:rsidRPr="004D0EBD" w:rsidRDefault="00581BF3" w:rsidP="00C5216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Puikiai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 balai</w:t>
            </w:r>
          </w:p>
        </w:tc>
      </w:tr>
      <w:tr w:rsidR="00300CFC" w:rsidRPr="00660070" w14:paraId="4FF1A470" w14:textId="77777777" w:rsidTr="00921191">
        <w:tc>
          <w:tcPr>
            <w:tcW w:w="590" w:type="dxa"/>
          </w:tcPr>
          <w:p w14:paraId="7D5D1994" w14:textId="6A6F7CC8" w:rsidR="00300CFC" w:rsidRPr="004D0EBD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1.1</w:t>
            </w:r>
          </w:p>
        </w:tc>
        <w:tc>
          <w:tcPr>
            <w:tcW w:w="2227" w:type="dxa"/>
          </w:tcPr>
          <w:p w14:paraId="77AB4630" w14:textId="42B64235" w:rsidR="00300CFC" w:rsidRPr="004D0EBD" w:rsidRDefault="008A47DF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Spektaklio 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sukūrimo ir jo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gastrolių po 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402FB" w:rsidRPr="008E42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į</w:t>
            </w:r>
            <w:r w:rsidR="00300CFC"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gyvendinimo  / veiksmų plano aprašymas (priemon</w:t>
            </w:r>
            <w:r w:rsidR="00300C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ės</w:t>
            </w:r>
            <w:r w:rsidR="00300CFC"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įgyvendinimo etap</w:t>
            </w:r>
            <w:r w:rsidR="00300C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300CFC"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(preliminarus grafik</w:t>
            </w:r>
            <w:r w:rsidR="00300C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300CFC"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F317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04" w:type="dxa"/>
          </w:tcPr>
          <w:p w14:paraId="00B0905C" w14:textId="4CFD8F8B" w:rsidR="00300CFC" w:rsidRPr="004D0EBD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Nepateikta</w:t>
            </w:r>
          </w:p>
        </w:tc>
        <w:tc>
          <w:tcPr>
            <w:tcW w:w="3222" w:type="dxa"/>
          </w:tcPr>
          <w:p w14:paraId="35A076D1" w14:textId="1DFA6D76" w:rsidR="00300CFC" w:rsidRPr="004D0EBD" w:rsidRDefault="00300CFC" w:rsidP="00FB379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Pasiūlyme pateiktas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/ veiksmų plano aprašymas, tačiau jis nenuoseklus, nekonkretus, paviršutiniškas, 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neatsižvelgta į </w:t>
            </w:r>
            <w:r w:rsidR="00FB37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spektaklio darželinukams ir pradinių klasių moksleiviams gastrolių po</w:t>
            </w:r>
            <w:r w:rsid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</w:t>
            </w:r>
            <w:r w:rsidR="00FB37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</w:t>
            </w:r>
            <w:r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specifiką (</w:t>
            </w:r>
            <w:r w:rsidR="00FB379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neatsižvelgta į vasaros atostogas ir mokslo metų atostogas mokiniams). </w:t>
            </w:r>
          </w:p>
        </w:tc>
        <w:tc>
          <w:tcPr>
            <w:tcW w:w="2925" w:type="dxa"/>
          </w:tcPr>
          <w:p w14:paraId="3781AF78" w14:textId="603E2432" w:rsidR="00300CFC" w:rsidRDefault="00300CFC" w:rsidP="004320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 glaustas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renginio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/ veiksmų planas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preliminarus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lano įgyvendinimo grafik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vietomis 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jam trūksta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nuoseklumo, konkretumo,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dalinai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atsižvelgta į </w:t>
            </w:r>
            <w:r w:rsidR="00660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spektaklio darželinukams ir pradinių klasių moksleiviams gastrolių po Lietuvą 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specifiką </w:t>
            </w:r>
            <w:r w:rsidR="00F15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dalinai </w:t>
            </w:r>
            <w:r w:rsidR="00F15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 į vasaros atostogas ir mokslo metų atostogas mokiniams).</w:t>
            </w:r>
            <w:r w:rsidR="004320FD" w:rsidRPr="003E46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7FB05D4" w14:textId="022A54D5" w:rsidR="004320FD" w:rsidRPr="004D0EBD" w:rsidRDefault="004320FD" w:rsidP="004320F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13" w:type="dxa"/>
          </w:tcPr>
          <w:p w14:paraId="241B8CB4" w14:textId="0F1A9119" w:rsidR="00300CFC" w:rsidRPr="00815509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aiškiai ir tiksliai išdėstytas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35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organizavimo ir </w:t>
            </w:r>
            <w:r w:rsidRPr="006D07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/ veiksmų plano aprašymas. Jis yra nuoseklus, konkretus, logiškas, įgyvendinamas, atsižvelgta į </w:t>
            </w:r>
            <w:r w:rsidR="00660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spektaklio darželinukams ir pradinių klasių moksleiviams gastrolių po Lietuvą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E46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specifiką 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F15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 į vasaros atostogas ir mokslo metų atostogas mokiniams</w:t>
            </w:r>
            <w:r w:rsidR="004320FD" w:rsidRPr="004320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="00F157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300CFC" w:rsidRPr="00660070" w14:paraId="0A04DA15" w14:textId="77777777" w:rsidTr="00921191">
        <w:tc>
          <w:tcPr>
            <w:tcW w:w="590" w:type="dxa"/>
          </w:tcPr>
          <w:p w14:paraId="4BF5D91A" w14:textId="3864AEF4" w:rsidR="00300CFC" w:rsidRPr="004D0EBD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.</w:t>
            </w:r>
          </w:p>
        </w:tc>
        <w:tc>
          <w:tcPr>
            <w:tcW w:w="2227" w:type="dxa"/>
          </w:tcPr>
          <w:p w14:paraId="1CC5DF07" w14:textId="69653406" w:rsidR="00480852" w:rsidRDefault="00300CFC" w:rsidP="00300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4804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pektaklio </w:t>
            </w:r>
            <w:r w:rsidR="00480852" w:rsidRP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 aprašymas</w:t>
            </w:r>
            <w:r w:rsidR="00C455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0852" w:rsidRP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C455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pagrindimu</w:t>
            </w:r>
          </w:p>
          <w:p w14:paraId="456D2520" w14:textId="77777777" w:rsidR="00300CFC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EA46073" w14:textId="77777777" w:rsidR="00300CFC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968AFF" w14:textId="0894A30B" w:rsidR="00300CFC" w:rsidRPr="004D0EBD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04" w:type="dxa"/>
          </w:tcPr>
          <w:p w14:paraId="775F163A" w14:textId="7CEC4C06" w:rsidR="00300CFC" w:rsidRPr="004D0EBD" w:rsidRDefault="00300CFC" w:rsidP="00300CF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Nepateikta</w:t>
            </w:r>
          </w:p>
        </w:tc>
        <w:tc>
          <w:tcPr>
            <w:tcW w:w="3222" w:type="dxa"/>
            <w:shd w:val="clear" w:color="auto" w:fill="auto"/>
          </w:tcPr>
          <w:p w14:paraId="5961B620" w14:textId="28E3D067" w:rsidR="007B0C57" w:rsidRPr="00D03BCE" w:rsidRDefault="00300CFC" w:rsidP="007B0C5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bendro pobūdžio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spektaklio</w:t>
            </w:r>
            <w:r w:rsidR="0048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koncepcijos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aprašymas, </w:t>
            </w:r>
            <w:r w:rsidR="00B025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formaliai atitinka pirkimo tikslą ir uždavinius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Koncepcijos 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įgyvendinimo priemonės klišinės, nepaveikios, fragmentiškos; pasirinktos temos ir žinutės yra neįtaigios, </w:t>
            </w:r>
            <w:r w:rsidR="00AE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neįtraukiančios, 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neatitinka tikslinių grupių specifikos. Nepagrįsta, kaip šiomis priemonėmis bus pasiekta tikslinė auditorija.</w:t>
            </w:r>
          </w:p>
          <w:p w14:paraId="5C474982" w14:textId="7FF0AAD2" w:rsidR="00AE40D9" w:rsidRDefault="007B0C57" w:rsidP="00AE40D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Trūksta stiliaus vientisumo, vizualaus estetiškumo.</w:t>
            </w:r>
          </w:p>
          <w:p w14:paraId="5B63D09A" w14:textId="77777777" w:rsidR="007B0C57" w:rsidRDefault="007B0C57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E494C0" w14:textId="400BAE9F" w:rsidR="00300CFC" w:rsidRPr="00D03BCE" w:rsidRDefault="00300CFC" w:rsidP="007B0C5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25" w:type="dxa"/>
          </w:tcPr>
          <w:p w14:paraId="7D2B4FF4" w14:textId="533DABB2" w:rsidR="00300CFC" w:rsidRPr="00D03BCE" w:rsidRDefault="00300CFC" w:rsidP="00AE40D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Pateiktas glaustas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spektaklio </w:t>
            </w:r>
            <w:r w:rsidR="00CA47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 aprašymas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CA47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esmės atitinka pirkimo tikslą ir uždavinius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Koncepcijos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priemonės sudominančios, pasirinktos temos ir žinutės yra įtaigios, tačiau</w:t>
            </w:r>
            <w:r w:rsidR="00AE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neįtraukia žiūrovų,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pasitaiko klišių, teminio nenuoseklumo, stilius vientisas, </w:t>
            </w:r>
            <w:r w:rsidR="007F2D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tpažįstamas, tačiau trūksta vizualinio ir stilistinio išbaigtumo.</w:t>
            </w:r>
            <w:r w:rsidR="00AE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Spektaklio</w:t>
            </w:r>
            <w:r w:rsidR="00CA4729" w:rsidRPr="00CA47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A4729" w:rsidRPr="00CA47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koncepcija turi trūkumų, neleidžiančių jai skirti aukščiausio balo.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313" w:type="dxa"/>
          </w:tcPr>
          <w:p w14:paraId="5D04EC52" w14:textId="1528FC85" w:rsidR="007B0C57" w:rsidRDefault="00300CFC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Pateiktas išsamus </w:t>
            </w:r>
            <w:r w:rsidR="00C455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pektaklio </w:t>
            </w:r>
            <w:r w:rsidR="00C455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koncepcijos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aprašymas, </w:t>
            </w:r>
            <w:r w:rsidR="00C455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pilnai atitinka pirkimo tikslą ir uždavinius</w:t>
            </w:r>
            <w:r w:rsidR="00AE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Koncepcijos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priemonės paveikios, pasirinktos temos ir žinutės yra įtaigios,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traukiančios</w:t>
            </w:r>
            <w:r w:rsidR="00AE40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žiūrovus.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B0C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7B0C57" w:rsidRPr="00D03B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rgumentuotai pagrįsta kaip siūlomos priemonės veiks tikslinių grupių informacijos priėmimą ir supratimą; stilius vientisas ir atpažįstamas</w:t>
            </w:r>
            <w:r w:rsidR="00FE5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112CCCF" w14:textId="77777777" w:rsidR="007B0C57" w:rsidRDefault="007B0C57" w:rsidP="00300CF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A74B6A" w14:textId="06064659" w:rsidR="00300CFC" w:rsidRPr="00D03BCE" w:rsidRDefault="00300CFC" w:rsidP="007B0C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D0894A5" w14:textId="77777777" w:rsidR="007E57EF" w:rsidRPr="004D0EBD" w:rsidRDefault="007E57EF" w:rsidP="00871B18">
      <w:pPr>
        <w:spacing w:after="0" w:line="240" w:lineRule="auto"/>
        <w:ind w:left="720" w:firstLine="18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19A77BD" w14:textId="77777777" w:rsidR="00A456EF" w:rsidRPr="00C83097" w:rsidRDefault="00A456EF" w:rsidP="00871B18">
      <w:pPr>
        <w:spacing w:after="0" w:line="240" w:lineRule="auto"/>
        <w:ind w:left="720" w:firstLine="18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56D854F7" w14:textId="771615E0" w:rsidR="00871B18" w:rsidRPr="004D0EBD" w:rsidRDefault="00871B18" w:rsidP="00871B18">
      <w:pPr>
        <w:numPr>
          <w:ilvl w:val="0"/>
          <w:numId w:val="2"/>
        </w:num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Paslaugų valdymo ir kokybės užtikrinimo aprašymas (T</w:t>
      </w:r>
      <w:r w:rsidR="007E57EF"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2</w:t>
      </w: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)</w:t>
      </w:r>
      <w:r w:rsidRPr="004D0E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(iki </w:t>
      </w:r>
      <w:r w:rsidR="009F73C1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8</w:t>
      </w:r>
      <w:r w:rsidRPr="004D0EBD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 lapų apimties; tekstas, viršijantis šią apimtį, nebus vertinamas):</w:t>
      </w:r>
      <w:r w:rsidRPr="004D0EBD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</w:p>
    <w:p w14:paraId="4A0FAFCE" w14:textId="77777777" w:rsidR="00871B18" w:rsidRPr="004D0EBD" w:rsidRDefault="00871B18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1935"/>
        <w:gridCol w:w="1414"/>
        <w:gridCol w:w="3222"/>
        <w:gridCol w:w="3085"/>
        <w:gridCol w:w="3434"/>
      </w:tblGrid>
      <w:tr w:rsidR="00871B18" w:rsidRPr="004D0EBD" w14:paraId="4C8E43ED" w14:textId="77777777" w:rsidTr="000033CC">
        <w:tc>
          <w:tcPr>
            <w:tcW w:w="460" w:type="dxa"/>
          </w:tcPr>
          <w:p w14:paraId="155A3DFF" w14:textId="77777777" w:rsidR="00871B18" w:rsidRPr="004D0EBD" w:rsidRDefault="00871B18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5" w:type="dxa"/>
          </w:tcPr>
          <w:p w14:paraId="4209216D" w14:textId="77777777" w:rsidR="00871B18" w:rsidRPr="004D0EBD" w:rsidRDefault="00871B18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14:paraId="73541881" w14:textId="31F33FC3" w:rsidR="00871B18" w:rsidRPr="004D0EBD" w:rsidRDefault="00871B18" w:rsidP="00806B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Blogai - 0</w:t>
            </w:r>
          </w:p>
        </w:tc>
        <w:tc>
          <w:tcPr>
            <w:tcW w:w="3260" w:type="dxa"/>
          </w:tcPr>
          <w:p w14:paraId="77F75989" w14:textId="2699A731" w:rsidR="00871B18" w:rsidRPr="004D0EBD" w:rsidRDefault="00871B18" w:rsidP="00806B5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Patenkinamai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1 balas</w:t>
            </w:r>
          </w:p>
        </w:tc>
        <w:tc>
          <w:tcPr>
            <w:tcW w:w="3118" w:type="dxa"/>
          </w:tcPr>
          <w:p w14:paraId="7C3CF8C2" w14:textId="5FE8905E" w:rsidR="00871B18" w:rsidRPr="004D0EBD" w:rsidRDefault="00871B18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Gerai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2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balai</w:t>
            </w:r>
          </w:p>
        </w:tc>
        <w:tc>
          <w:tcPr>
            <w:tcW w:w="3480" w:type="dxa"/>
          </w:tcPr>
          <w:p w14:paraId="4A2019E5" w14:textId="0F40488E" w:rsidR="00871B18" w:rsidRPr="004D0EBD" w:rsidRDefault="00871B18" w:rsidP="00806B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 w:eastAsia="ar-SA"/>
              </w:rPr>
              <w:t>Puikiai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 xml:space="preserve"> – </w:t>
            </w:r>
            <w:r w:rsidRPr="004D0EB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 balai</w:t>
            </w:r>
          </w:p>
        </w:tc>
      </w:tr>
      <w:tr w:rsidR="00037B44" w:rsidRPr="00660070" w14:paraId="5E1CD135" w14:textId="77777777" w:rsidTr="000033CC">
        <w:tc>
          <w:tcPr>
            <w:tcW w:w="460" w:type="dxa"/>
          </w:tcPr>
          <w:p w14:paraId="08D0BDDB" w14:textId="3C6E17E1" w:rsidR="00037B44" w:rsidRPr="004D0EBD" w:rsidRDefault="009F73C1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2.1.</w:t>
            </w:r>
          </w:p>
        </w:tc>
        <w:tc>
          <w:tcPr>
            <w:tcW w:w="1945" w:type="dxa"/>
          </w:tcPr>
          <w:p w14:paraId="4B103D78" w14:textId="62448550" w:rsidR="00405828" w:rsidRPr="004D0EBD" w:rsidRDefault="00405828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teikimo organizavimo ir valdymo </w:t>
            </w:r>
            <w:r w:rsidR="003D0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14:paraId="4913064D" w14:textId="402FA78D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Nepateikta</w:t>
            </w:r>
          </w:p>
        </w:tc>
        <w:tc>
          <w:tcPr>
            <w:tcW w:w="3260" w:type="dxa"/>
          </w:tcPr>
          <w:p w14:paraId="23C1A050" w14:textId="403800CB" w:rsidR="00A456EF" w:rsidRPr="004D0EBD" w:rsidRDefault="00405828" w:rsidP="00A456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</w:t>
            </w:r>
            <w:r w:rsid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paviršutiniškas,</w:t>
            </w: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456EF" w:rsidRP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 pobūdžio</w:t>
            </w:r>
            <w:r w:rsidR="00A456EF"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teikimo organizavimo ir valdymo </w:t>
            </w:r>
            <w:r w:rsidR="002D49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</w:tcPr>
          <w:p w14:paraId="79E58C6A" w14:textId="41BC94F5" w:rsidR="00037B44" w:rsidRPr="004D0EBD" w:rsidRDefault="00405828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Pateiktas  glaustas paslaugų teikimo organizavimo ir valdymo </w:t>
            </w:r>
            <w:r w:rsidR="002D49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aprašymas</w:t>
            </w:r>
            <w:r w:rsid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456EF" w:rsidRPr="00A456EF">
              <w:rPr>
                <w:lang w:val="lt-LT"/>
              </w:rPr>
              <w:t xml:space="preserve"> </w:t>
            </w:r>
            <w:r w:rsidR="00A456EF" w:rsidRPr="00A456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 yra netikslumų, trūksta nuoseklumo, argumentavimo.</w:t>
            </w:r>
          </w:p>
        </w:tc>
        <w:tc>
          <w:tcPr>
            <w:tcW w:w="3480" w:type="dxa"/>
          </w:tcPr>
          <w:p w14:paraId="0F3EC2EC" w14:textId="097F8D8D" w:rsidR="00037B44" w:rsidRDefault="00405828" w:rsidP="00037B4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58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Pateiktas aiškus, detalus ir pagrįstas paslaugų teikimo organizavimo ir valdymo </w:t>
            </w:r>
            <w:r w:rsidR="002D49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aprašymas</w:t>
            </w:r>
            <w:r w:rsidRPr="0040582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  <w:p w14:paraId="7648B38B" w14:textId="1F128DB0" w:rsidR="00405828" w:rsidRPr="00405828" w:rsidRDefault="00405828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37B44" w:rsidRPr="00660070" w14:paraId="250E933D" w14:textId="77777777" w:rsidTr="000033CC">
        <w:tc>
          <w:tcPr>
            <w:tcW w:w="460" w:type="dxa"/>
          </w:tcPr>
          <w:p w14:paraId="6D1C9F02" w14:textId="47BEB8B8" w:rsidR="00037B44" w:rsidRPr="004D0EBD" w:rsidRDefault="009F73C1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2.2.</w:t>
            </w:r>
          </w:p>
        </w:tc>
        <w:tc>
          <w:tcPr>
            <w:tcW w:w="1945" w:type="dxa"/>
          </w:tcPr>
          <w:p w14:paraId="7E0CF939" w14:textId="6550520F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Specialistų funkcijos ir atsakomybės</w:t>
            </w:r>
          </w:p>
        </w:tc>
        <w:tc>
          <w:tcPr>
            <w:tcW w:w="1418" w:type="dxa"/>
          </w:tcPr>
          <w:p w14:paraId="52C1F651" w14:textId="7C4EB478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Nepateikta</w:t>
            </w:r>
          </w:p>
        </w:tc>
        <w:tc>
          <w:tcPr>
            <w:tcW w:w="3260" w:type="dxa"/>
          </w:tcPr>
          <w:p w14:paraId="1AABA3FE" w14:textId="7AC47BE2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Pasitelkiamų specialistų funkcijos ir atsakomybės aprašomos paviršutiniškai, trūksta detalumo, pagrindimo.</w:t>
            </w:r>
          </w:p>
        </w:tc>
        <w:tc>
          <w:tcPr>
            <w:tcW w:w="3118" w:type="dxa"/>
          </w:tcPr>
          <w:p w14:paraId="6F97E3AA" w14:textId="1D62323B" w:rsidR="00037B44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Suprantamai aprašomos specialistų funkcijos ir atsakomybės už konkrečius darbus ir darbų rezultat</w:t>
            </w:r>
            <w:r w:rsidR="003D06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yra netikslumų, trūksta nuoseklumo, argumentavimo.</w:t>
            </w:r>
          </w:p>
          <w:p w14:paraId="76136FF1" w14:textId="41CE14EA" w:rsidR="001E1BAD" w:rsidRPr="004D0EBD" w:rsidRDefault="001E1BAD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80" w:type="dxa"/>
          </w:tcPr>
          <w:p w14:paraId="6498A6CB" w14:textId="77777777" w:rsidR="00037B44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Tiksliai ir detaliai aprašomos, lanksčiai ir racionaliai paskirstytos specialistų funkcijos ir atsakomybės, kurios yra susietos su tikslų ir rezultatų įgyvendinimu.</w:t>
            </w:r>
          </w:p>
          <w:p w14:paraId="205F8D40" w14:textId="77777777" w:rsidR="001D20E5" w:rsidRDefault="001D20E5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1D20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sant reikalui numatyta galimybė pasitelkti papildomus išteklius. </w:t>
            </w:r>
          </w:p>
          <w:p w14:paraId="62BA6DAE" w14:textId="4FCCDA7A" w:rsidR="001D20E5" w:rsidRPr="004D0EBD" w:rsidRDefault="001D20E5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37B44" w:rsidRPr="00660070" w14:paraId="2E285688" w14:textId="77777777" w:rsidTr="000033CC">
        <w:tc>
          <w:tcPr>
            <w:tcW w:w="460" w:type="dxa"/>
          </w:tcPr>
          <w:p w14:paraId="5D5DB66F" w14:textId="5B307698" w:rsidR="00037B44" w:rsidRPr="004D0EBD" w:rsidRDefault="009F73C1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D0EB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 xml:space="preserve">3  </w:t>
            </w:r>
          </w:p>
        </w:tc>
        <w:tc>
          <w:tcPr>
            <w:tcW w:w="1945" w:type="dxa"/>
          </w:tcPr>
          <w:p w14:paraId="6F2CA301" w14:textId="7DAE5DFE" w:rsidR="00037B44" w:rsidRPr="004D0EBD" w:rsidRDefault="003D0613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EA49EB" w:rsidRPr="00EA49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aslaugų teikimo rizikų ir jų valdymo būdų aprašymas</w:t>
            </w:r>
          </w:p>
        </w:tc>
        <w:tc>
          <w:tcPr>
            <w:tcW w:w="1418" w:type="dxa"/>
          </w:tcPr>
          <w:p w14:paraId="1E763FAC" w14:textId="02B3A5E0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Nepateikta</w:t>
            </w:r>
          </w:p>
        </w:tc>
        <w:tc>
          <w:tcPr>
            <w:tcW w:w="3260" w:type="dxa"/>
          </w:tcPr>
          <w:p w14:paraId="2CF22607" w14:textId="6C71A19A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teikimo rizikos aprašytos paviršutiniškai, jos yra bendro pobūdžio</w:t>
            </w:r>
            <w:r w:rsidR="000D4DB7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nepritaikytos pirkimo objektui.</w:t>
            </w:r>
          </w:p>
        </w:tc>
        <w:tc>
          <w:tcPr>
            <w:tcW w:w="3118" w:type="dxa"/>
          </w:tcPr>
          <w:p w14:paraId="397568F3" w14:textId="59D4B1A7" w:rsidR="00037B44" w:rsidRPr="004D0EBD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Siūlomi gana aiškūs rizikų valdymo sprendimai, </w:t>
            </w:r>
            <w:r w:rsidR="000D4DB7"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 nepagrįstas rizikų valdymo priemonių aprašymas.</w:t>
            </w:r>
          </w:p>
        </w:tc>
        <w:tc>
          <w:tcPr>
            <w:tcW w:w="3480" w:type="dxa"/>
          </w:tcPr>
          <w:p w14:paraId="2ADC4D39" w14:textId="77777777" w:rsidR="00037B44" w:rsidRDefault="00037B44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0E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Pateikiama aiški ir detali sutarties vykdymo rizikų analizė ir jų valdymo priemonės. Siūlomi aiškūs rizikų valdymo sprendimai, pagrįstas rizikų valdymo priemonių aprašymas.</w:t>
            </w:r>
          </w:p>
          <w:p w14:paraId="68480658" w14:textId="2F78604D" w:rsidR="003D0613" w:rsidRPr="004D0EBD" w:rsidRDefault="003D0613" w:rsidP="00037B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23648D3" w14:textId="77777777" w:rsidR="003A53C2" w:rsidRPr="004D0EBD" w:rsidRDefault="003A53C2" w:rsidP="00806B58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D896F15" w14:textId="32463CE0" w:rsidR="00545883" w:rsidRPr="004D0EBD" w:rsidRDefault="00545883" w:rsidP="002C04F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4D0EBD">
        <w:rPr>
          <w:rFonts w:ascii="Times New Roman" w:hAnsi="Times New Roman" w:cs="Times New Roman"/>
          <w:b/>
          <w:sz w:val="24"/>
          <w:szCs w:val="24"/>
          <w:lang w:val="lt-LT"/>
        </w:rPr>
        <w:t>Jei dalyvio pateiktas pasiūlymas pagal T</w:t>
      </w:r>
      <w:r w:rsidR="00581BF3" w:rsidRPr="004D0EBD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4D0EB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vertinimo kriterijaus parametrą bus </w:t>
      </w:r>
      <w:r w:rsidRPr="004D0EB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įvertintas</w:t>
      </w:r>
      <w:r w:rsidR="001E459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3,5 ir </w:t>
      </w:r>
      <w:r w:rsidRPr="00676AEA">
        <w:rPr>
          <w:rFonts w:ascii="Times New Roman" w:hAnsi="Times New Roman" w:cs="Times New Roman"/>
          <w:b/>
          <w:bCs/>
          <w:sz w:val="24"/>
          <w:szCs w:val="24"/>
          <w:lang w:val="lt-LT"/>
        </w:rPr>
        <w:t>bal</w:t>
      </w:r>
      <w:r w:rsidR="001E4592"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4D0EB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, toks pasiūlymas bus atmestas</w:t>
      </w:r>
      <w:r w:rsidR="00C83E1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.</w:t>
      </w:r>
    </w:p>
    <w:sectPr w:rsidR="00545883" w:rsidRPr="004D0EBD" w:rsidSect="002C04FA">
      <w:pgSz w:w="15840" w:h="12240" w:orient="landscape"/>
      <w:pgMar w:top="426" w:right="709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61B"/>
    <w:multiLevelType w:val="multilevel"/>
    <w:tmpl w:val="AC98C4FE"/>
    <w:lvl w:ilvl="0">
      <w:start w:val="11"/>
      <w:numFmt w:val="decimal"/>
      <w:lvlText w:val="%1."/>
      <w:lvlJc w:val="left"/>
      <w:pPr>
        <w:ind w:left="2280" w:hanging="4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45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" w15:restartNumberingAfterBreak="0">
    <w:nsid w:val="254E58D1"/>
    <w:multiLevelType w:val="multilevel"/>
    <w:tmpl w:val="7EAAE5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E9746C7"/>
    <w:multiLevelType w:val="hybridMultilevel"/>
    <w:tmpl w:val="B4EEA2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2348"/>
    <w:multiLevelType w:val="hybridMultilevel"/>
    <w:tmpl w:val="85A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A24A2"/>
    <w:multiLevelType w:val="multilevel"/>
    <w:tmpl w:val="277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C6A33"/>
    <w:multiLevelType w:val="hybridMultilevel"/>
    <w:tmpl w:val="8BFA6B8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14048">
    <w:abstractNumId w:val="4"/>
  </w:num>
  <w:num w:numId="2" w16cid:durableId="871042127">
    <w:abstractNumId w:val="1"/>
  </w:num>
  <w:num w:numId="3" w16cid:durableId="609238674">
    <w:abstractNumId w:val="3"/>
  </w:num>
  <w:num w:numId="4" w16cid:durableId="747656181">
    <w:abstractNumId w:val="0"/>
  </w:num>
  <w:num w:numId="5" w16cid:durableId="970750332">
    <w:abstractNumId w:val="2"/>
  </w:num>
  <w:num w:numId="6" w16cid:durableId="109908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1"/>
    <w:rsid w:val="00001ABF"/>
    <w:rsid w:val="000033CC"/>
    <w:rsid w:val="000147D7"/>
    <w:rsid w:val="00020885"/>
    <w:rsid w:val="000278A7"/>
    <w:rsid w:val="00037B44"/>
    <w:rsid w:val="00040202"/>
    <w:rsid w:val="00047FB3"/>
    <w:rsid w:val="000642AE"/>
    <w:rsid w:val="00072B97"/>
    <w:rsid w:val="00074C3D"/>
    <w:rsid w:val="000771BF"/>
    <w:rsid w:val="00096A99"/>
    <w:rsid w:val="000B5B08"/>
    <w:rsid w:val="000C381D"/>
    <w:rsid w:val="000D4DB7"/>
    <w:rsid w:val="0010372D"/>
    <w:rsid w:val="00121536"/>
    <w:rsid w:val="001646BE"/>
    <w:rsid w:val="001A2B7F"/>
    <w:rsid w:val="001A4C00"/>
    <w:rsid w:val="001A4C46"/>
    <w:rsid w:val="001B0B54"/>
    <w:rsid w:val="001B15D4"/>
    <w:rsid w:val="001C1295"/>
    <w:rsid w:val="001C63E0"/>
    <w:rsid w:val="001D20E5"/>
    <w:rsid w:val="001E1BAD"/>
    <w:rsid w:val="001E4592"/>
    <w:rsid w:val="001E541A"/>
    <w:rsid w:val="001F414C"/>
    <w:rsid w:val="001F79A9"/>
    <w:rsid w:val="002029C6"/>
    <w:rsid w:val="00207B92"/>
    <w:rsid w:val="002237C0"/>
    <w:rsid w:val="00240540"/>
    <w:rsid w:val="00253806"/>
    <w:rsid w:val="00270D89"/>
    <w:rsid w:val="002A3ABC"/>
    <w:rsid w:val="002A7D29"/>
    <w:rsid w:val="002B03F3"/>
    <w:rsid w:val="002C04FA"/>
    <w:rsid w:val="002C791B"/>
    <w:rsid w:val="002D493D"/>
    <w:rsid w:val="002D5A16"/>
    <w:rsid w:val="002D67B2"/>
    <w:rsid w:val="002E2BE2"/>
    <w:rsid w:val="002E4AD2"/>
    <w:rsid w:val="002F6187"/>
    <w:rsid w:val="00300CFC"/>
    <w:rsid w:val="0036376A"/>
    <w:rsid w:val="00377FAA"/>
    <w:rsid w:val="0038568C"/>
    <w:rsid w:val="003916C2"/>
    <w:rsid w:val="00396F72"/>
    <w:rsid w:val="003A53C2"/>
    <w:rsid w:val="003A7F4E"/>
    <w:rsid w:val="003B62BE"/>
    <w:rsid w:val="003C5EF1"/>
    <w:rsid w:val="003D0613"/>
    <w:rsid w:val="003E4637"/>
    <w:rsid w:val="003E5666"/>
    <w:rsid w:val="00405828"/>
    <w:rsid w:val="004137B9"/>
    <w:rsid w:val="00414EDA"/>
    <w:rsid w:val="00421694"/>
    <w:rsid w:val="004320FD"/>
    <w:rsid w:val="00432E44"/>
    <w:rsid w:val="00437965"/>
    <w:rsid w:val="00472B4B"/>
    <w:rsid w:val="00480460"/>
    <w:rsid w:val="00480852"/>
    <w:rsid w:val="004B005A"/>
    <w:rsid w:val="004B5E08"/>
    <w:rsid w:val="004B6553"/>
    <w:rsid w:val="004B77D2"/>
    <w:rsid w:val="004C1E7A"/>
    <w:rsid w:val="004D0EBD"/>
    <w:rsid w:val="004D56DA"/>
    <w:rsid w:val="004D57E7"/>
    <w:rsid w:val="004F4946"/>
    <w:rsid w:val="00520BF2"/>
    <w:rsid w:val="00523CD3"/>
    <w:rsid w:val="00527398"/>
    <w:rsid w:val="00534519"/>
    <w:rsid w:val="00545883"/>
    <w:rsid w:val="00556F2E"/>
    <w:rsid w:val="00564423"/>
    <w:rsid w:val="00577B78"/>
    <w:rsid w:val="00581BF3"/>
    <w:rsid w:val="0058244A"/>
    <w:rsid w:val="005839EE"/>
    <w:rsid w:val="0059252C"/>
    <w:rsid w:val="00594DFE"/>
    <w:rsid w:val="005A14DB"/>
    <w:rsid w:val="005C0134"/>
    <w:rsid w:val="005E433D"/>
    <w:rsid w:val="005E646B"/>
    <w:rsid w:val="005F0C7B"/>
    <w:rsid w:val="005F524C"/>
    <w:rsid w:val="00632C47"/>
    <w:rsid w:val="006402FB"/>
    <w:rsid w:val="006436B8"/>
    <w:rsid w:val="00645DBB"/>
    <w:rsid w:val="00660070"/>
    <w:rsid w:val="0066252E"/>
    <w:rsid w:val="00676AEA"/>
    <w:rsid w:val="006960FE"/>
    <w:rsid w:val="006D07E1"/>
    <w:rsid w:val="00725D16"/>
    <w:rsid w:val="0072625C"/>
    <w:rsid w:val="007512B6"/>
    <w:rsid w:val="00755ACB"/>
    <w:rsid w:val="00763261"/>
    <w:rsid w:val="007668F4"/>
    <w:rsid w:val="007757A4"/>
    <w:rsid w:val="007B0C57"/>
    <w:rsid w:val="007B10DD"/>
    <w:rsid w:val="007D5F93"/>
    <w:rsid w:val="007D730B"/>
    <w:rsid w:val="007E57EF"/>
    <w:rsid w:val="007E598E"/>
    <w:rsid w:val="007E6C77"/>
    <w:rsid w:val="007F2DA2"/>
    <w:rsid w:val="0080051D"/>
    <w:rsid w:val="00806B58"/>
    <w:rsid w:val="00815509"/>
    <w:rsid w:val="00816A20"/>
    <w:rsid w:val="008500D2"/>
    <w:rsid w:val="00853C65"/>
    <w:rsid w:val="00855ECF"/>
    <w:rsid w:val="00871B18"/>
    <w:rsid w:val="00880627"/>
    <w:rsid w:val="00893521"/>
    <w:rsid w:val="008A05B4"/>
    <w:rsid w:val="008A0615"/>
    <w:rsid w:val="008A1094"/>
    <w:rsid w:val="008A47DF"/>
    <w:rsid w:val="008C02D6"/>
    <w:rsid w:val="008D4494"/>
    <w:rsid w:val="008D558E"/>
    <w:rsid w:val="008E42CE"/>
    <w:rsid w:val="00921191"/>
    <w:rsid w:val="0093431D"/>
    <w:rsid w:val="009352B6"/>
    <w:rsid w:val="009400C4"/>
    <w:rsid w:val="009672C1"/>
    <w:rsid w:val="009820C8"/>
    <w:rsid w:val="009904EC"/>
    <w:rsid w:val="0099428A"/>
    <w:rsid w:val="009A78BA"/>
    <w:rsid w:val="009E4714"/>
    <w:rsid w:val="009F3546"/>
    <w:rsid w:val="009F4C3B"/>
    <w:rsid w:val="009F73C1"/>
    <w:rsid w:val="00A058B7"/>
    <w:rsid w:val="00A124A3"/>
    <w:rsid w:val="00A25E1A"/>
    <w:rsid w:val="00A456EF"/>
    <w:rsid w:val="00A56D6E"/>
    <w:rsid w:val="00A8124E"/>
    <w:rsid w:val="00A91843"/>
    <w:rsid w:val="00A93456"/>
    <w:rsid w:val="00A97D4B"/>
    <w:rsid w:val="00AA12BB"/>
    <w:rsid w:val="00AB2662"/>
    <w:rsid w:val="00AD327E"/>
    <w:rsid w:val="00AE01B7"/>
    <w:rsid w:val="00AE40D9"/>
    <w:rsid w:val="00AF1675"/>
    <w:rsid w:val="00AF3BED"/>
    <w:rsid w:val="00AF6F28"/>
    <w:rsid w:val="00B0253B"/>
    <w:rsid w:val="00B150EA"/>
    <w:rsid w:val="00B21315"/>
    <w:rsid w:val="00B24E5A"/>
    <w:rsid w:val="00B340B8"/>
    <w:rsid w:val="00B3558E"/>
    <w:rsid w:val="00B502DC"/>
    <w:rsid w:val="00B50726"/>
    <w:rsid w:val="00B55E70"/>
    <w:rsid w:val="00B60CB4"/>
    <w:rsid w:val="00B65306"/>
    <w:rsid w:val="00B71B69"/>
    <w:rsid w:val="00B71ECF"/>
    <w:rsid w:val="00B74918"/>
    <w:rsid w:val="00BB1265"/>
    <w:rsid w:val="00BF44B3"/>
    <w:rsid w:val="00C04A92"/>
    <w:rsid w:val="00C14C04"/>
    <w:rsid w:val="00C155BF"/>
    <w:rsid w:val="00C35EB2"/>
    <w:rsid w:val="00C41FF6"/>
    <w:rsid w:val="00C43D25"/>
    <w:rsid w:val="00C4558E"/>
    <w:rsid w:val="00C50EF2"/>
    <w:rsid w:val="00C66689"/>
    <w:rsid w:val="00C74867"/>
    <w:rsid w:val="00C7584F"/>
    <w:rsid w:val="00C7654B"/>
    <w:rsid w:val="00C83097"/>
    <w:rsid w:val="00C83E11"/>
    <w:rsid w:val="00C96B97"/>
    <w:rsid w:val="00CA01BD"/>
    <w:rsid w:val="00CA4729"/>
    <w:rsid w:val="00CA673E"/>
    <w:rsid w:val="00CB2073"/>
    <w:rsid w:val="00CB5E0F"/>
    <w:rsid w:val="00D03BCE"/>
    <w:rsid w:val="00D0615F"/>
    <w:rsid w:val="00D20595"/>
    <w:rsid w:val="00D23964"/>
    <w:rsid w:val="00D47413"/>
    <w:rsid w:val="00D64D63"/>
    <w:rsid w:val="00D64E40"/>
    <w:rsid w:val="00D66D01"/>
    <w:rsid w:val="00D866C6"/>
    <w:rsid w:val="00D925A6"/>
    <w:rsid w:val="00D92E0F"/>
    <w:rsid w:val="00DA15AC"/>
    <w:rsid w:val="00DA2456"/>
    <w:rsid w:val="00DB0304"/>
    <w:rsid w:val="00DB68C1"/>
    <w:rsid w:val="00DD1525"/>
    <w:rsid w:val="00DF59AF"/>
    <w:rsid w:val="00E066EF"/>
    <w:rsid w:val="00E30C92"/>
    <w:rsid w:val="00E330D8"/>
    <w:rsid w:val="00E356AB"/>
    <w:rsid w:val="00E56E07"/>
    <w:rsid w:val="00E601BF"/>
    <w:rsid w:val="00E64A88"/>
    <w:rsid w:val="00E73122"/>
    <w:rsid w:val="00E74610"/>
    <w:rsid w:val="00EA0D8E"/>
    <w:rsid w:val="00EA49EB"/>
    <w:rsid w:val="00F10B0E"/>
    <w:rsid w:val="00F1509A"/>
    <w:rsid w:val="00F1579C"/>
    <w:rsid w:val="00F258B7"/>
    <w:rsid w:val="00F2796B"/>
    <w:rsid w:val="00F31797"/>
    <w:rsid w:val="00F35879"/>
    <w:rsid w:val="00F55536"/>
    <w:rsid w:val="00F61B10"/>
    <w:rsid w:val="00F72D60"/>
    <w:rsid w:val="00F7415C"/>
    <w:rsid w:val="00F90431"/>
    <w:rsid w:val="00F91739"/>
    <w:rsid w:val="00F9437E"/>
    <w:rsid w:val="00FB085E"/>
    <w:rsid w:val="00FB3795"/>
    <w:rsid w:val="00FB49DE"/>
    <w:rsid w:val="00FC06D2"/>
    <w:rsid w:val="00FC4467"/>
    <w:rsid w:val="00FC59B8"/>
    <w:rsid w:val="00FC708E"/>
    <w:rsid w:val="00FE12F4"/>
    <w:rsid w:val="00FE173A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2164"/>
  <w15:chartTrackingRefBased/>
  <w15:docId w15:val="{DEE35659-97BD-4C7E-8DE6-46B57290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5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536"/>
    <w:rPr>
      <w:b/>
      <w:bCs/>
    </w:rPr>
  </w:style>
  <w:style w:type="character" w:styleId="Hyperlink">
    <w:name w:val="Hyperlink"/>
    <w:basedOn w:val="DefaultParagraphFont"/>
    <w:uiPriority w:val="99"/>
    <w:unhideWhenUsed/>
    <w:rsid w:val="00472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B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F9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F93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customStyle="1" w:styleId="last-path-child">
    <w:name w:val="last-path-child"/>
    <w:basedOn w:val="Normal"/>
    <w:rsid w:val="00CA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Normal"/>
    <w:link w:val="ListParagraphChar"/>
    <w:uiPriority w:val="34"/>
    <w:qFormat/>
    <w:rsid w:val="002C04FA"/>
    <w:pPr>
      <w:ind w:left="720"/>
      <w:contextualSpacing/>
    </w:pPr>
  </w:style>
  <w:style w:type="paragraph" w:customStyle="1" w:styleId="ColorfulList-Accent12">
    <w:name w:val="Colorful List - Accent 12"/>
    <w:basedOn w:val="Normal"/>
    <w:uiPriority w:val="72"/>
    <w:qFormat/>
    <w:rsid w:val="00594DF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Body2">
    <w:name w:val="Body 2"/>
    <w:rsid w:val="00FB49D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Header">
    <w:name w:val="header"/>
    <w:aliases w:val="En-tête-1,En-tête-2,hd,Header 2,Viršutinis kolontitulas Diagrama1,Viršutinis kolontitulas Diagrama Diagrama1,Char Diagrama Diagrama1,Viršutinis kolontitulas Diagrama Diagrama Diagrama,Char Diagrama Diagrama Diagrama"/>
    <w:basedOn w:val="Normal"/>
    <w:link w:val="HeaderChar"/>
    <w:rsid w:val="00FB49D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aliases w:val="En-tête-1 Char,En-tête-2 Char,hd Char,Header 2 Char,Viršutinis kolontitulas Diagrama1 Char,Viršutinis kolontitulas Diagrama Diagrama1 Char,Char Diagrama Diagrama1 Char,Viršutinis kolontitulas Diagrama Diagrama Diagrama Char"/>
    <w:basedOn w:val="DefaultParagraphFont"/>
    <w:link w:val="Header"/>
    <w:rsid w:val="00FB49D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B49DE"/>
  </w:style>
  <w:style w:type="paragraph" w:customStyle="1" w:styleId="53">
    <w:name w:val="_53"/>
    <w:basedOn w:val="Normal"/>
    <w:rsid w:val="002405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C166-E2BB-4A4B-AAB6-01ACFA50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4212</Words>
  <Characters>2401</Characters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2024-04-24T15:06:00Z</dcterms:created>
  <dcterms:modified xsi:type="dcterms:W3CDTF">2025-01-21T09:46:00Z</dcterms:modified>
</cp:coreProperties>
</file>