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17C41F51" w14:textId="07A3D9FE" w:rsidR="00A9381B" w:rsidRPr="00642F9A" w:rsidRDefault="004964F0"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FANTOMAI</w:t>
      </w:r>
      <w:r w:rsidR="000A567D">
        <w:rPr>
          <w:rFonts w:eastAsia="TimesNewRomanPS-BoldMT"/>
          <w:b/>
          <w:bCs/>
          <w:sz w:val="22"/>
          <w:szCs w:val="22"/>
          <w14:ligatures w14:val="standardContextual"/>
        </w:rPr>
        <w:t xml:space="preserve"> KOKYBĖS KONTROLĖS BANDYMAMS</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32E65BD5" w14:textId="07A963AC" w:rsidR="00B1694E" w:rsidRPr="00642F9A" w:rsidRDefault="006F17CA" w:rsidP="00B1694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FANTOMAI</w:t>
            </w:r>
            <w:r w:rsidR="00B1694E">
              <w:rPr>
                <w:rFonts w:eastAsia="TimesNewRomanPS-BoldMT"/>
                <w:b/>
                <w:bCs/>
                <w:sz w:val="22"/>
                <w:szCs w:val="22"/>
                <w14:ligatures w14:val="standardContextual"/>
              </w:rPr>
              <w:t xml:space="preserve"> KOKYBĖS KONTROLĖS BANDYMAMS</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proofErr w:type="spellStart"/>
            <w:r w:rsidRPr="00F52A42">
              <w:rPr>
                <w:color w:val="000000" w:themeColor="text1"/>
                <w:kern w:val="2"/>
                <w:sz w:val="22"/>
                <w:szCs w:val="22"/>
              </w:rPr>
              <w:t>kul</w:t>
            </w:r>
            <w:proofErr w:type="spellEnd"/>
            <w:r w:rsidRPr="00F52A42">
              <w:rPr>
                <w:color w:val="000000" w:themeColor="text1"/>
                <w:kern w:val="2"/>
                <w:sz w:val="22"/>
                <w:szCs w:val="22"/>
                <w:lang w:val="en-US"/>
              </w:rPr>
              <w:t>@</w:t>
            </w:r>
            <w:proofErr w:type="spellStart"/>
            <w:r w:rsidRPr="00F52A42">
              <w:rPr>
                <w:color w:val="000000" w:themeColor="text1"/>
                <w:kern w:val="2"/>
                <w:sz w:val="22"/>
                <w:szCs w:val="22"/>
              </w:rPr>
              <w:t>kul.lt</w:t>
            </w:r>
            <w:proofErr w:type="spellEnd"/>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w:t>
            </w:r>
            <w:proofErr w:type="spellStart"/>
            <w:r w:rsidR="00A66954" w:rsidRPr="00F52A42">
              <w:rPr>
                <w:rFonts w:eastAsia="Calibri"/>
                <w:color w:val="000000" w:themeColor="text1"/>
                <w:sz w:val="22"/>
                <w:szCs w:val="22"/>
              </w:rPr>
              <w:t>Grubliauskienė</w:t>
            </w:r>
            <w:proofErr w:type="spellEnd"/>
            <w:r w:rsidR="00A66954" w:rsidRPr="00F52A42">
              <w:rPr>
                <w:rFonts w:eastAsia="Calibri"/>
                <w:color w:val="000000" w:themeColor="text1"/>
                <w:sz w:val="22"/>
                <w:szCs w:val="22"/>
              </w:rPr>
              <w:t xml:space="preserve">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w:t>
            </w:r>
            <w:proofErr w:type="spellStart"/>
            <w:r w:rsidRPr="00F52A42">
              <w:rPr>
                <w:rFonts w:eastAsia="Calibri"/>
                <w:color w:val="000000" w:themeColor="text1"/>
                <w:sz w:val="22"/>
                <w:szCs w:val="22"/>
              </w:rPr>
              <w:t>Šimaičio</w:t>
            </w:r>
            <w:proofErr w:type="spellEnd"/>
            <w:r w:rsidRPr="00F52A42">
              <w:rPr>
                <w:rFonts w:eastAsia="Calibri"/>
                <w:color w:val="000000" w:themeColor="text1"/>
                <w:sz w:val="22"/>
                <w:szCs w:val="22"/>
              </w:rPr>
              <w:t xml:space="preserve">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6432EA86" w14:textId="737BEB0E" w:rsidR="00BA0BCD" w:rsidRPr="00F52A42" w:rsidRDefault="00D80803" w:rsidP="00BA0BCD">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Radiacinės saugos tarnybos vadovas Marius Gedvilas</w:t>
            </w:r>
            <w:r w:rsidR="00BA0BCD" w:rsidRPr="00F52A42">
              <w:rPr>
                <w:rFonts w:eastAsia="TimesNewRomanPSMT"/>
                <w:color w:val="000000" w:themeColor="text1"/>
                <w:sz w:val="22"/>
                <w:szCs w:val="22"/>
                <w14:ligatures w14:val="standardContextual"/>
              </w:rPr>
              <w:t xml:space="preserve"> </w:t>
            </w:r>
            <w:r w:rsidR="00BA0BCD" w:rsidRPr="00F52A42">
              <w:rPr>
                <w:rFonts w:eastAsia="TimesNewRomanPSMT"/>
                <w:color w:val="000000" w:themeColor="text1"/>
                <w:sz w:val="22"/>
                <w:szCs w:val="22"/>
              </w:rPr>
              <w:t>, tel. +370</w:t>
            </w:r>
            <w:r w:rsidR="00BA0BCD"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491190</w:t>
            </w:r>
            <w:r w:rsidR="00BA0BCD" w:rsidRPr="00F52A42">
              <w:rPr>
                <w:rFonts w:eastAsia="TimesNewRomanPSMT"/>
                <w:color w:val="000000" w:themeColor="text1"/>
                <w:sz w:val="22"/>
                <w:szCs w:val="22"/>
              </w:rPr>
              <w:t xml:space="preserve">, el. paštas </w:t>
            </w:r>
            <w:hyperlink r:id="rId5" w:history="1">
              <w:r w:rsidRPr="00AC5913">
                <w:rPr>
                  <w:rStyle w:val="Hipersaitas"/>
                </w:rPr>
                <w:t>marius.gedvilas</w:t>
              </w:r>
              <w:r w:rsidRPr="00AC5913">
                <w:rPr>
                  <w:rStyle w:val="Hipersaitas"/>
                  <w:rFonts w:eastAsia="TimesNewRomanPSMT"/>
                  <w:sz w:val="22"/>
                  <w:szCs w:val="22"/>
                </w:rPr>
                <w:t>@kulig.lt</w:t>
              </w:r>
            </w:hyperlink>
            <w:r w:rsidR="00BA0BCD" w:rsidRPr="00F52A42">
              <w:rPr>
                <w:rFonts w:eastAsia="TimesNewRomanPSMT"/>
                <w:color w:val="000000" w:themeColor="text1"/>
                <w:sz w:val="22"/>
                <w:szCs w:val="22"/>
              </w:rPr>
              <w:t xml:space="preserve">; </w:t>
            </w:r>
          </w:p>
          <w:p w14:paraId="3B808530" w14:textId="77777777" w:rsidR="004460AC" w:rsidRPr="00F52A42" w:rsidRDefault="004460AC" w:rsidP="00BA0BCD">
            <w:pPr>
              <w:autoSpaceDE w:val="0"/>
              <w:autoSpaceDN w:val="0"/>
              <w:adjustRightInd w:val="0"/>
              <w:jc w:val="both"/>
              <w:rPr>
                <w:color w:val="000000" w:themeColor="text1"/>
                <w:sz w:val="22"/>
                <w:szCs w:val="22"/>
              </w:rPr>
            </w:pP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proofErr w:type="spellStart"/>
            <w:r w:rsidRPr="00F52A42">
              <w:rPr>
                <w:rStyle w:val="Emfaz"/>
                <w:i w:val="0"/>
                <w:iCs w:val="0"/>
                <w:color w:val="000000" w:themeColor="text1"/>
                <w:sz w:val="22"/>
                <w:szCs w:val="22"/>
                <w:shd w:val="clear" w:color="auto" w:fill="FFFFFF"/>
              </w:rPr>
              <w:t>Zajančauskytė</w:t>
            </w:r>
            <w:proofErr w:type="spellEnd"/>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72777072" w:rsidR="00BA48C4" w:rsidRPr="00F52A42" w:rsidRDefault="00645760"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Pr>
                <w:rStyle w:val="markedcontent"/>
                <w:color w:val="000000" w:themeColor="text1"/>
                <w:sz w:val="22"/>
                <w:szCs w:val="22"/>
                <w:shd w:val="clear" w:color="auto" w:fill="FFFFFF"/>
              </w:rPr>
              <w:t>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2775DE1F" w14:textId="00100221" w:rsidR="005C19F3" w:rsidRPr="00444CBC" w:rsidRDefault="006537BD" w:rsidP="005C19F3">
            <w:pPr>
              <w:rPr>
                <w:sz w:val="22"/>
                <w:szCs w:val="22"/>
              </w:rPr>
            </w:pPr>
            <w:r>
              <w:rPr>
                <w:sz w:val="22"/>
                <w:szCs w:val="22"/>
              </w:rPr>
              <w:t>Fantomai kokybės kontrolės bandymams</w:t>
            </w:r>
            <w:r w:rsidR="005C19F3">
              <w:rPr>
                <w:sz w:val="22"/>
                <w:szCs w:val="22"/>
              </w:rPr>
              <w:t>,</w:t>
            </w:r>
            <w:r w:rsidR="005C19F3" w:rsidRPr="00486652">
              <w:rPr>
                <w:sz w:val="22"/>
                <w:szCs w:val="22"/>
              </w:rPr>
              <w:t xml:space="preserve"> </w:t>
            </w:r>
            <w:r w:rsidR="005C19F3" w:rsidRPr="00444CBC">
              <w:rPr>
                <w:sz w:val="22"/>
                <w:szCs w:val="22"/>
              </w:rPr>
              <w:t>įskaitant įrangos pristatymą, taip pat montavimą, instaliavimą, įdiegimą ir paleidimą bei personalo apmokym</w:t>
            </w:r>
            <w:r w:rsidR="00261D02">
              <w:rPr>
                <w:sz w:val="22"/>
                <w:szCs w:val="22"/>
              </w:rPr>
              <w:t>o</w:t>
            </w:r>
            <w:r w:rsidR="00A81963">
              <w:rPr>
                <w:sz w:val="22"/>
                <w:szCs w:val="22"/>
              </w:rPr>
              <w:t>, (jeigu taikoma)</w:t>
            </w:r>
            <w:r w:rsidR="005C19F3" w:rsidRPr="00444CBC">
              <w:rPr>
                <w:sz w:val="22"/>
                <w:szCs w:val="22"/>
              </w:rPr>
              <w:t>.</w:t>
            </w:r>
          </w:p>
          <w:p w14:paraId="6FD716C9" w14:textId="77777777" w:rsidR="005C19F3" w:rsidRDefault="005C19F3" w:rsidP="005C19F3">
            <w:pPr>
              <w:rPr>
                <w:kern w:val="2"/>
                <w:sz w:val="22"/>
                <w:szCs w:val="22"/>
              </w:rPr>
            </w:pPr>
            <w:r w:rsidRPr="000D629B">
              <w:rPr>
                <w:kern w:val="2"/>
                <w:sz w:val="22"/>
                <w:szCs w:val="22"/>
              </w:rPr>
              <w:lastRenderedPageBreak/>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Pr>
                <w:kern w:val="2"/>
                <w:sz w:val="22"/>
                <w:szCs w:val="22"/>
              </w:rPr>
              <w:t>Prekės, Įranga</w:t>
            </w:r>
            <w:r w:rsidRPr="000D629B">
              <w:rPr>
                <w:kern w:val="2"/>
                <w:sz w:val="22"/>
                <w:szCs w:val="22"/>
              </w:rPr>
              <w:t>).</w:t>
            </w:r>
          </w:p>
          <w:p w14:paraId="18E0756C" w14:textId="299220D2" w:rsidR="000C6411" w:rsidRPr="00F52A42" w:rsidRDefault="005C19F3" w:rsidP="005C19F3">
            <w:pPr>
              <w:jc w:val="both"/>
              <w:rPr>
                <w:color w:val="000000" w:themeColor="text1"/>
                <w:kern w:val="2"/>
                <w:sz w:val="22"/>
                <w:szCs w:val="22"/>
              </w:rPr>
            </w:pPr>
            <w:r w:rsidRPr="000D629B">
              <w:rPr>
                <w:kern w:val="2"/>
                <w:sz w:val="22"/>
                <w:szCs w:val="22"/>
              </w:rPr>
              <w:t xml:space="preserve">Išsamus </w:t>
            </w:r>
            <w:r>
              <w:rPr>
                <w:kern w:val="2"/>
                <w:sz w:val="22"/>
                <w:szCs w:val="22"/>
              </w:rPr>
              <w:t>Įrangos</w:t>
            </w:r>
            <w:r w:rsidRPr="000D629B">
              <w:rPr>
                <w:kern w:val="2"/>
                <w:sz w:val="22"/>
                <w:szCs w:val="22"/>
              </w:rPr>
              <w:t xml:space="preserve"> aprašymas ir kiti reikalavimai tiekiam</w:t>
            </w:r>
            <w:r>
              <w:rPr>
                <w:kern w:val="2"/>
                <w:sz w:val="22"/>
                <w:szCs w:val="22"/>
              </w:rPr>
              <w:t>ai</w:t>
            </w:r>
            <w:r w:rsidRPr="000D629B">
              <w:rPr>
                <w:kern w:val="2"/>
                <w:sz w:val="22"/>
                <w:szCs w:val="22"/>
              </w:rPr>
              <w:t xml:space="preserve"> </w:t>
            </w:r>
            <w:r>
              <w:rPr>
                <w:kern w:val="2"/>
                <w:sz w:val="22"/>
                <w:szCs w:val="22"/>
              </w:rPr>
              <w:t>Įrangai</w:t>
            </w:r>
            <w:r w:rsidRPr="000D629B">
              <w:rPr>
                <w:kern w:val="2"/>
                <w:sz w:val="22"/>
                <w:szCs w:val="22"/>
              </w:rPr>
              <w:t xml:space="preserve"> nustatyti Sutarties priede Nr. 1 „Pasiūlymas</w:t>
            </w:r>
            <w:r w:rsidRPr="000D629B">
              <w:rPr>
                <w:color w:val="000000"/>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39B7E035"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786409B2" w14:textId="627DE5ED" w:rsidR="00176A4F" w:rsidRDefault="00176A4F" w:rsidP="00176A4F">
            <w:pPr>
              <w:jc w:val="both"/>
              <w:rPr>
                <w:kern w:val="2"/>
                <w:sz w:val="22"/>
                <w:szCs w:val="22"/>
              </w:rPr>
            </w:pPr>
            <w:r w:rsidRPr="00404429">
              <w:rPr>
                <w:kern w:val="2"/>
                <w:sz w:val="22"/>
                <w:szCs w:val="22"/>
              </w:rPr>
              <w:t xml:space="preserve">Tiekėjas Įrangą, </w:t>
            </w:r>
            <w:r>
              <w:rPr>
                <w:kern w:val="2"/>
                <w:sz w:val="22"/>
                <w:szCs w:val="22"/>
              </w:rPr>
              <w:t>kartu su</w:t>
            </w:r>
            <w:r w:rsidRPr="00404429">
              <w:rPr>
                <w:kern w:val="2"/>
                <w:sz w:val="22"/>
                <w:szCs w:val="22"/>
              </w:rPr>
              <w:t xml:space="preserve"> </w:t>
            </w:r>
            <w:r>
              <w:rPr>
                <w:kern w:val="2"/>
                <w:sz w:val="22"/>
                <w:szCs w:val="22"/>
              </w:rPr>
              <w:t xml:space="preserve">Įrangos </w:t>
            </w:r>
            <w:r w:rsidRPr="00404429">
              <w:rPr>
                <w:sz w:val="22"/>
                <w:szCs w:val="22"/>
              </w:rPr>
              <w:t>montavim</w:t>
            </w:r>
            <w:r>
              <w:rPr>
                <w:sz w:val="22"/>
                <w:szCs w:val="22"/>
              </w:rPr>
              <w:t>u</w:t>
            </w:r>
            <w:r w:rsidRPr="00404429">
              <w:rPr>
                <w:sz w:val="22"/>
                <w:szCs w:val="22"/>
              </w:rPr>
              <w:t>, instaliavim</w:t>
            </w:r>
            <w:r>
              <w:rPr>
                <w:sz w:val="22"/>
                <w:szCs w:val="22"/>
              </w:rPr>
              <w:t>u</w:t>
            </w:r>
            <w:r w:rsidRPr="00404429">
              <w:rPr>
                <w:sz w:val="22"/>
                <w:szCs w:val="22"/>
              </w:rPr>
              <w:t>/įdiegim</w:t>
            </w:r>
            <w:r>
              <w:rPr>
                <w:sz w:val="22"/>
                <w:szCs w:val="22"/>
              </w:rPr>
              <w:t>u</w:t>
            </w:r>
            <w:r w:rsidRPr="00404429">
              <w:rPr>
                <w:sz w:val="22"/>
                <w:szCs w:val="22"/>
              </w:rPr>
              <w:t xml:space="preserve"> ir paleidim</w:t>
            </w:r>
            <w:r>
              <w:rPr>
                <w:sz w:val="22"/>
                <w:szCs w:val="22"/>
              </w:rPr>
              <w:t>u</w:t>
            </w:r>
            <w:r w:rsidRPr="00404429">
              <w:rPr>
                <w:sz w:val="22"/>
                <w:szCs w:val="22"/>
              </w:rPr>
              <w:t xml:space="preserve"> bei personalo apmokym</w:t>
            </w:r>
            <w:r>
              <w:rPr>
                <w:sz w:val="22"/>
                <w:szCs w:val="22"/>
              </w:rPr>
              <w:t>u,</w:t>
            </w:r>
            <w:r w:rsidRPr="00404429">
              <w:rPr>
                <w:kern w:val="2"/>
                <w:sz w:val="22"/>
                <w:szCs w:val="22"/>
              </w:rPr>
              <w:t xml:space="preserve"> įsipareigoja pristatyti </w:t>
            </w:r>
            <w:r w:rsidRPr="00404429">
              <w:rPr>
                <w:b/>
                <w:bCs/>
                <w:kern w:val="2"/>
                <w:sz w:val="22"/>
                <w:szCs w:val="22"/>
              </w:rPr>
              <w:t xml:space="preserve">ne vėliau kaip per </w:t>
            </w:r>
            <w:r>
              <w:rPr>
                <w:b/>
                <w:bCs/>
                <w:kern w:val="2"/>
                <w:sz w:val="22"/>
                <w:szCs w:val="22"/>
              </w:rPr>
              <w:t>3</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p>
          <w:p w14:paraId="30D4E0B6" w14:textId="77777777" w:rsidR="00176A4F" w:rsidRDefault="00176A4F" w:rsidP="00176A4F">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2E346D69" w14:textId="312D2539" w:rsidR="005F3E80" w:rsidRPr="00F52A42" w:rsidRDefault="00176A4F" w:rsidP="00176A4F">
            <w:pPr>
              <w:jc w:val="both"/>
              <w:rPr>
                <w:color w:val="000000" w:themeColor="text1"/>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Pr>
                <w:kern w:val="2"/>
                <w:sz w:val="22"/>
                <w:szCs w:val="22"/>
              </w:rPr>
              <w:t>Liepojos g. 4</w:t>
            </w:r>
            <w:r w:rsidR="008D4ADB">
              <w:rPr>
                <w:kern w:val="2"/>
                <w:sz w:val="22"/>
                <w:szCs w:val="22"/>
              </w:rPr>
              <w:t>5</w:t>
            </w:r>
            <w:r>
              <w:rPr>
                <w:kern w:val="2"/>
                <w:sz w:val="22"/>
                <w:szCs w:val="22"/>
              </w:rPr>
              <w:t>, Klaipėda.</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71F362C5" w14:textId="712A8815" w:rsidR="00E04D88" w:rsidRPr="00F52A42" w:rsidRDefault="007D59E8" w:rsidP="006F4C55">
            <w:pPr>
              <w:jc w:val="both"/>
              <w:rPr>
                <w:color w:val="000000" w:themeColor="text1"/>
                <w:kern w:val="2"/>
                <w:sz w:val="22"/>
                <w:szCs w:val="22"/>
              </w:rPr>
            </w:pPr>
            <w:r>
              <w:rPr>
                <w:sz w:val="22"/>
                <w:szCs w:val="22"/>
              </w:rPr>
              <w:t>Netaikoma</w:t>
            </w: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425D4F3B" w:rsidR="00744809" w:rsidRPr="00F52A42" w:rsidRDefault="008D4ADB" w:rsidP="00744809">
            <w:pPr>
              <w:jc w:val="both"/>
              <w:rPr>
                <w:color w:val="000000" w:themeColor="text1"/>
                <w:kern w:val="2"/>
                <w:sz w:val="22"/>
                <w:szCs w:val="22"/>
              </w:rPr>
            </w:pPr>
            <w:r>
              <w:rPr>
                <w:kern w:val="2"/>
                <w:sz w:val="22"/>
                <w:szCs w:val="22"/>
              </w:rPr>
              <w:t>Netaikoma</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052694B2"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w:t>
            </w:r>
            <w:r w:rsidR="00FF0E7A">
              <w:rPr>
                <w:b/>
                <w:bCs/>
                <w:color w:val="000000" w:themeColor="text1"/>
                <w:kern w:val="2"/>
                <w:sz w:val="22"/>
                <w:szCs w:val="22"/>
                <w:u w:val="single"/>
              </w:rPr>
              <w:t>s</w:t>
            </w:r>
            <w:r w:rsidRPr="00F52A42">
              <w:rPr>
                <w:b/>
                <w:bCs/>
                <w:color w:val="000000" w:themeColor="text1"/>
                <w:kern w:val="2"/>
                <w:sz w:val="22"/>
                <w:szCs w:val="22"/>
                <w:u w:val="single"/>
              </w:rPr>
              <w:t xml:space="preserve"> </w:t>
            </w:r>
            <w:r w:rsidR="00FF0E7A">
              <w:rPr>
                <w:b/>
                <w:bCs/>
                <w:color w:val="000000" w:themeColor="text1"/>
                <w:kern w:val="2"/>
                <w:sz w:val="22"/>
                <w:szCs w:val="22"/>
                <w:u w:val="single"/>
              </w:rPr>
              <w:t>kainos</w:t>
            </w:r>
            <w:r w:rsidRPr="00F52A42">
              <w:rPr>
                <w:b/>
                <w:bCs/>
                <w:color w:val="000000" w:themeColor="text1"/>
                <w:kern w:val="2"/>
                <w:sz w:val="22"/>
                <w:szCs w:val="22"/>
              </w:rPr>
              <w:t xml:space="preserve"> kainodara</w:t>
            </w:r>
          </w:p>
        </w:tc>
        <w:tc>
          <w:tcPr>
            <w:tcW w:w="6831" w:type="dxa"/>
          </w:tcPr>
          <w:p w14:paraId="3A6B65EF" w14:textId="77777777" w:rsidR="008D4ADB" w:rsidRPr="00F27621" w:rsidRDefault="008D4ADB" w:rsidP="008D4AD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53260AF" w14:textId="77777777" w:rsidR="008D4ADB" w:rsidRPr="00F27621" w:rsidRDefault="008D4ADB" w:rsidP="008D4AD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8B3F1C4" w14:textId="77777777" w:rsidR="008D4ADB" w:rsidRPr="00F27621" w:rsidRDefault="008D4ADB" w:rsidP="008D4AD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6A4EBE06" w:rsidR="005F3E80" w:rsidRPr="00F52A42" w:rsidRDefault="008D4ADB" w:rsidP="008D4ADB">
            <w:pPr>
              <w:jc w:val="both"/>
              <w:rPr>
                <w:color w:val="000000" w:themeColor="text1"/>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19938EFF" w14:textId="4E00C2B1" w:rsidR="004D77E8" w:rsidRPr="00F52A42" w:rsidRDefault="008D4ADB" w:rsidP="004D77E8">
            <w:pPr>
              <w:jc w:val="both"/>
              <w:rPr>
                <w:color w:val="000000" w:themeColor="text1"/>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165FAC4A" w14:textId="77777777" w:rsidR="008D4ADB" w:rsidRPr="00F52A42" w:rsidRDefault="008D4ADB" w:rsidP="008D4ADB">
            <w:pPr>
              <w:jc w:val="both"/>
              <w:rPr>
                <w:color w:val="000000" w:themeColor="text1"/>
                <w:kern w:val="2"/>
                <w:sz w:val="22"/>
                <w:szCs w:val="22"/>
              </w:rPr>
            </w:pPr>
            <w:r w:rsidRPr="00F52A42">
              <w:rPr>
                <w:color w:val="000000" w:themeColor="text1"/>
                <w:kern w:val="2"/>
                <w:sz w:val="22"/>
                <w:szCs w:val="22"/>
              </w:rPr>
              <w:t>Netaikoma</w:t>
            </w:r>
          </w:p>
          <w:p w14:paraId="5C641BA2" w14:textId="63C1A18E" w:rsidR="004D77E8" w:rsidRPr="00F52A42" w:rsidRDefault="004D77E8" w:rsidP="004D77E8">
            <w:pPr>
              <w:jc w:val="both"/>
              <w:rPr>
                <w:color w:val="000000" w:themeColor="text1"/>
                <w:kern w:val="2"/>
                <w:sz w:val="22"/>
                <w:szCs w:val="22"/>
              </w:rPr>
            </w:pP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2F1A8DDF" w:rsidR="00F15070" w:rsidRPr="00F52A42" w:rsidRDefault="00F15070" w:rsidP="00F15070">
            <w:pPr>
              <w:jc w:val="both"/>
              <w:rPr>
                <w:color w:val="000000" w:themeColor="text1"/>
                <w:kern w:val="2"/>
                <w:sz w:val="22"/>
                <w:szCs w:val="22"/>
              </w:rPr>
            </w:pP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7434BF21" w14:textId="6FED0075" w:rsidR="00A22D81" w:rsidRPr="00F52A42" w:rsidRDefault="002F3CC9" w:rsidP="00A22D81">
            <w:pPr>
              <w:jc w:val="both"/>
              <w:rPr>
                <w:color w:val="000000" w:themeColor="text1"/>
                <w:kern w:val="2"/>
                <w:sz w:val="22"/>
                <w:szCs w:val="22"/>
              </w:rPr>
            </w:pPr>
            <w:r w:rsidRPr="00211E30">
              <w:rPr>
                <w:kern w:val="2"/>
                <w:sz w:val="22"/>
                <w:szCs w:val="22"/>
              </w:rPr>
              <w:t xml:space="preserve">Įrangai nustatomas Tiekėjo pasiūlytas arba Įrangos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2A4869">
              <w:rPr>
                <w:b/>
                <w:bCs/>
                <w:kern w:val="2"/>
                <w:sz w:val="22"/>
                <w:szCs w:val="22"/>
              </w:rPr>
              <w:t>12</w:t>
            </w:r>
            <w:r w:rsidRPr="00486652">
              <w:rPr>
                <w:b/>
                <w:bCs/>
                <w:kern w:val="2"/>
                <w:sz w:val="22"/>
                <w:szCs w:val="22"/>
              </w:rPr>
              <w:t xml:space="preserve"> mėn.</w:t>
            </w:r>
            <w:r>
              <w:rPr>
                <w:b/>
                <w:bCs/>
                <w:kern w:val="2"/>
                <w:sz w:val="22"/>
                <w:szCs w:val="22"/>
              </w:rPr>
              <w:t xml:space="preserve"> </w:t>
            </w:r>
            <w:r w:rsidRPr="00882B1A">
              <w:rPr>
                <w:kern w:val="2"/>
                <w:sz w:val="22"/>
                <w:szCs w:val="22"/>
              </w:rPr>
              <w:t>[</w:t>
            </w:r>
            <w:r w:rsidRPr="00882B1A">
              <w:rPr>
                <w:i/>
                <w:iCs/>
                <w:color w:val="C00000"/>
                <w:kern w:val="2"/>
                <w:sz w:val="22"/>
                <w:szCs w:val="22"/>
              </w:rPr>
              <w:t>įrašomas konkretus tiekėjo pasiūlyme nurodytas garantinis terminas</w:t>
            </w:r>
            <w:r w:rsidRPr="00882B1A">
              <w:rPr>
                <w:kern w:val="2"/>
                <w:sz w:val="22"/>
                <w:szCs w:val="22"/>
              </w:rPr>
              <w:t>]</w:t>
            </w:r>
            <w:r>
              <w:rPr>
                <w:b/>
                <w:bCs/>
                <w:kern w:val="2"/>
                <w:sz w:val="22"/>
                <w:szCs w:val="22"/>
              </w:rPr>
              <w:t>.</w:t>
            </w:r>
            <w:r>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w:t>
            </w:r>
            <w:r w:rsidRPr="00F52A42">
              <w:rPr>
                <w:b/>
                <w:bCs/>
                <w:color w:val="000000" w:themeColor="text1"/>
                <w:kern w:val="2"/>
                <w:sz w:val="22"/>
                <w:szCs w:val="22"/>
              </w:rPr>
              <w:lastRenderedPageBreak/>
              <w:t xml:space="preserve">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9.5. Tiekėjui taikomos baudos dėl aplinkosauginių ir (arba) 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9.7. Tiekėjui taikomos netesybos dėl pirkimo dokumentuose nustatytų kokybinių kriterijų </w:t>
            </w:r>
            <w:proofErr w:type="spellStart"/>
            <w:r w:rsidRPr="00F52A42">
              <w:rPr>
                <w:b/>
                <w:bCs/>
                <w:color w:val="000000" w:themeColor="text1"/>
                <w:kern w:val="2"/>
                <w:sz w:val="22"/>
                <w:szCs w:val="22"/>
              </w:rPr>
              <w:t>nepasiekimo</w:t>
            </w:r>
            <w:proofErr w:type="spellEnd"/>
            <w:r w:rsidRPr="00F52A42">
              <w:rPr>
                <w:b/>
                <w:bCs/>
                <w:color w:val="000000" w:themeColor="text1"/>
                <w:kern w:val="2"/>
                <w:sz w:val="22"/>
                <w:szCs w:val="22"/>
              </w:rPr>
              <w:t xml:space="preserve">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75ADF5C1" w14:textId="77777777" w:rsidR="00904984" w:rsidRPr="00882B1A" w:rsidRDefault="00904984" w:rsidP="00904984">
            <w:pPr>
              <w:jc w:val="both"/>
              <w:rPr>
                <w:kern w:val="2"/>
                <w:sz w:val="22"/>
                <w:szCs w:val="22"/>
              </w:rPr>
            </w:pPr>
            <w:r w:rsidRPr="00882B1A">
              <w:rPr>
                <w:kern w:val="2"/>
                <w:sz w:val="22"/>
                <w:szCs w:val="22"/>
              </w:rPr>
              <w:t>Ši Sutartis laikoma sudaryta ir įsigalioja nuo Sutarties pasirašymo dienos (antrosios Šalies pasirašymo dieną).</w:t>
            </w:r>
          </w:p>
          <w:p w14:paraId="0FE6C53E" w14:textId="5F0BE458" w:rsidR="00F15070" w:rsidRPr="00F52A42" w:rsidRDefault="00904984" w:rsidP="00904984">
            <w:pPr>
              <w:jc w:val="both"/>
              <w:rPr>
                <w:color w:val="000000" w:themeColor="text1"/>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terminas (jei reikalinga)</w:t>
            </w:r>
            <w:r w:rsidRPr="00882B1A">
              <w:rPr>
                <w:kern w:val="2"/>
                <w:sz w:val="22"/>
                <w:szCs w:val="22"/>
              </w:rPr>
              <w:t xml:space="preserve"> terminas negali būti ilgesnis kaip </w:t>
            </w:r>
            <w:r w:rsidR="00F33732" w:rsidRPr="00306D16">
              <w:rPr>
                <w:b/>
                <w:bCs/>
                <w:sz w:val="22"/>
                <w:szCs w:val="22"/>
              </w:rPr>
              <w:t>6</w:t>
            </w:r>
            <w:r>
              <w:rPr>
                <w:b/>
                <w:bCs/>
                <w:sz w:val="22"/>
                <w:szCs w:val="22"/>
              </w:rPr>
              <w:t xml:space="preserve"> mėnesiai.</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52A42">
              <w:rPr>
                <w:color w:val="000000" w:themeColor="text1"/>
                <w:kern w:val="2"/>
                <w:sz w:val="22"/>
                <w:szCs w:val="22"/>
                <w:shd w:val="clear" w:color="auto" w:fill="FFFFFF"/>
              </w:rPr>
              <w:t>perdirbamumą</w:t>
            </w:r>
            <w:proofErr w:type="spellEnd"/>
            <w:r w:rsidRPr="00F52A42">
              <w:rPr>
                <w:color w:val="000000" w:themeColor="text1"/>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107F1155" w14:textId="2649D440" w:rsidR="009D58A1" w:rsidRPr="00F52A42" w:rsidRDefault="009D64FF" w:rsidP="000B2673">
            <w:pPr>
              <w:jc w:val="both"/>
              <w:rPr>
                <w:color w:val="000000" w:themeColor="text1"/>
                <w:kern w:val="2"/>
                <w:sz w:val="22"/>
                <w:szCs w:val="22"/>
              </w:rPr>
            </w:pPr>
            <w:r>
              <w:rPr>
                <w:sz w:val="22"/>
                <w:szCs w:val="22"/>
              </w:rPr>
              <w:t>Netaikoma</w:t>
            </w: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lastRenderedPageBreak/>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lastRenderedPageBreak/>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 xml:space="preserve">Direktorė valdymui ir ekonomikai dr. Jūratė </w:t>
            </w:r>
            <w:proofErr w:type="spellStart"/>
            <w:r w:rsidRPr="00F52A42">
              <w:rPr>
                <w:rFonts w:eastAsia="Calibri"/>
                <w:bCs/>
                <w:color w:val="000000" w:themeColor="text1"/>
                <w:sz w:val="22"/>
                <w:szCs w:val="22"/>
              </w:rPr>
              <w:t>Grubliauskienė</w:t>
            </w:r>
            <w:proofErr w:type="spellEnd"/>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A567D"/>
    <w:rsid w:val="000B2673"/>
    <w:rsid w:val="000B3611"/>
    <w:rsid w:val="000C6411"/>
    <w:rsid w:val="000D4187"/>
    <w:rsid w:val="000E102F"/>
    <w:rsid w:val="00101C21"/>
    <w:rsid w:val="001160AB"/>
    <w:rsid w:val="00120E12"/>
    <w:rsid w:val="00121A49"/>
    <w:rsid w:val="00123288"/>
    <w:rsid w:val="0013308D"/>
    <w:rsid w:val="00140658"/>
    <w:rsid w:val="0017205F"/>
    <w:rsid w:val="001736EF"/>
    <w:rsid w:val="00176A4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61D02"/>
    <w:rsid w:val="00282049"/>
    <w:rsid w:val="00293138"/>
    <w:rsid w:val="002A07AB"/>
    <w:rsid w:val="002A4869"/>
    <w:rsid w:val="002C34FC"/>
    <w:rsid w:val="002F0BF9"/>
    <w:rsid w:val="002F3CC9"/>
    <w:rsid w:val="003010DE"/>
    <w:rsid w:val="00302C15"/>
    <w:rsid w:val="003069A9"/>
    <w:rsid w:val="00306D16"/>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0907"/>
    <w:rsid w:val="003B3D9E"/>
    <w:rsid w:val="003B57DD"/>
    <w:rsid w:val="003C3CF8"/>
    <w:rsid w:val="003C4DAF"/>
    <w:rsid w:val="003D0A45"/>
    <w:rsid w:val="003F6933"/>
    <w:rsid w:val="0040239B"/>
    <w:rsid w:val="00405C53"/>
    <w:rsid w:val="00410A5E"/>
    <w:rsid w:val="004141BD"/>
    <w:rsid w:val="0042142A"/>
    <w:rsid w:val="00432475"/>
    <w:rsid w:val="004460AC"/>
    <w:rsid w:val="00460DAD"/>
    <w:rsid w:val="00470A63"/>
    <w:rsid w:val="00481CE2"/>
    <w:rsid w:val="00483AC1"/>
    <w:rsid w:val="004964F0"/>
    <w:rsid w:val="00496748"/>
    <w:rsid w:val="004A14B9"/>
    <w:rsid w:val="004A14BE"/>
    <w:rsid w:val="004A6CAA"/>
    <w:rsid w:val="004B13E9"/>
    <w:rsid w:val="004C5CCC"/>
    <w:rsid w:val="004C752B"/>
    <w:rsid w:val="004D2AFF"/>
    <w:rsid w:val="004D77E8"/>
    <w:rsid w:val="004E2F9D"/>
    <w:rsid w:val="004F5F00"/>
    <w:rsid w:val="00500569"/>
    <w:rsid w:val="005005C4"/>
    <w:rsid w:val="00525A7E"/>
    <w:rsid w:val="005279F0"/>
    <w:rsid w:val="00527E62"/>
    <w:rsid w:val="005361D1"/>
    <w:rsid w:val="00541A46"/>
    <w:rsid w:val="005525CC"/>
    <w:rsid w:val="00555405"/>
    <w:rsid w:val="005750B0"/>
    <w:rsid w:val="00576B45"/>
    <w:rsid w:val="00581727"/>
    <w:rsid w:val="005965B7"/>
    <w:rsid w:val="005A35E4"/>
    <w:rsid w:val="005B72A3"/>
    <w:rsid w:val="005C19F3"/>
    <w:rsid w:val="005C7BA6"/>
    <w:rsid w:val="005E24EF"/>
    <w:rsid w:val="005E4E49"/>
    <w:rsid w:val="005E568C"/>
    <w:rsid w:val="005F3E80"/>
    <w:rsid w:val="005F606C"/>
    <w:rsid w:val="005F7DDB"/>
    <w:rsid w:val="00603254"/>
    <w:rsid w:val="006079A2"/>
    <w:rsid w:val="00612954"/>
    <w:rsid w:val="00642F9A"/>
    <w:rsid w:val="00644FDC"/>
    <w:rsid w:val="00645587"/>
    <w:rsid w:val="00645760"/>
    <w:rsid w:val="00645C86"/>
    <w:rsid w:val="00645CF7"/>
    <w:rsid w:val="00646078"/>
    <w:rsid w:val="006537BD"/>
    <w:rsid w:val="00663F45"/>
    <w:rsid w:val="00667CC4"/>
    <w:rsid w:val="006707D7"/>
    <w:rsid w:val="006743FE"/>
    <w:rsid w:val="006971AB"/>
    <w:rsid w:val="006A60C5"/>
    <w:rsid w:val="006B3D65"/>
    <w:rsid w:val="006F17CA"/>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D59E8"/>
    <w:rsid w:val="007E32FE"/>
    <w:rsid w:val="00800FF0"/>
    <w:rsid w:val="00814F9F"/>
    <w:rsid w:val="00825A64"/>
    <w:rsid w:val="00825D41"/>
    <w:rsid w:val="008355C2"/>
    <w:rsid w:val="00870C68"/>
    <w:rsid w:val="00874B3C"/>
    <w:rsid w:val="008B6D1A"/>
    <w:rsid w:val="008D4ADB"/>
    <w:rsid w:val="008E2D02"/>
    <w:rsid w:val="008F1294"/>
    <w:rsid w:val="008F2873"/>
    <w:rsid w:val="00904984"/>
    <w:rsid w:val="009129FC"/>
    <w:rsid w:val="00916C58"/>
    <w:rsid w:val="00923608"/>
    <w:rsid w:val="00925E90"/>
    <w:rsid w:val="00932CB8"/>
    <w:rsid w:val="00936DEB"/>
    <w:rsid w:val="00985B22"/>
    <w:rsid w:val="009B178D"/>
    <w:rsid w:val="009C3B1A"/>
    <w:rsid w:val="009D58A1"/>
    <w:rsid w:val="009D58F7"/>
    <w:rsid w:val="009D64FF"/>
    <w:rsid w:val="009E1CBF"/>
    <w:rsid w:val="009F320E"/>
    <w:rsid w:val="00A22D81"/>
    <w:rsid w:val="00A3442B"/>
    <w:rsid w:val="00A43E87"/>
    <w:rsid w:val="00A455A9"/>
    <w:rsid w:val="00A66954"/>
    <w:rsid w:val="00A715C1"/>
    <w:rsid w:val="00A81963"/>
    <w:rsid w:val="00A86586"/>
    <w:rsid w:val="00A927E9"/>
    <w:rsid w:val="00A92E1D"/>
    <w:rsid w:val="00A9381B"/>
    <w:rsid w:val="00AB4447"/>
    <w:rsid w:val="00AB545D"/>
    <w:rsid w:val="00AC465B"/>
    <w:rsid w:val="00AC7B86"/>
    <w:rsid w:val="00AD1470"/>
    <w:rsid w:val="00AE0DFF"/>
    <w:rsid w:val="00AF1F47"/>
    <w:rsid w:val="00AF6958"/>
    <w:rsid w:val="00B02ED1"/>
    <w:rsid w:val="00B07071"/>
    <w:rsid w:val="00B1694E"/>
    <w:rsid w:val="00B326CD"/>
    <w:rsid w:val="00B34219"/>
    <w:rsid w:val="00B54E2F"/>
    <w:rsid w:val="00B60AEF"/>
    <w:rsid w:val="00B65961"/>
    <w:rsid w:val="00B72372"/>
    <w:rsid w:val="00B72C39"/>
    <w:rsid w:val="00B73B5F"/>
    <w:rsid w:val="00B7507A"/>
    <w:rsid w:val="00B838E6"/>
    <w:rsid w:val="00B91AE9"/>
    <w:rsid w:val="00BA0BCD"/>
    <w:rsid w:val="00BA48C4"/>
    <w:rsid w:val="00BB6492"/>
    <w:rsid w:val="00BC7422"/>
    <w:rsid w:val="00BE472B"/>
    <w:rsid w:val="00BE77F6"/>
    <w:rsid w:val="00BF7CB6"/>
    <w:rsid w:val="00C35E57"/>
    <w:rsid w:val="00C545FE"/>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80803"/>
    <w:rsid w:val="00D94304"/>
    <w:rsid w:val="00DB0918"/>
    <w:rsid w:val="00DC0504"/>
    <w:rsid w:val="00DC5A34"/>
    <w:rsid w:val="00DC6502"/>
    <w:rsid w:val="00DD4C56"/>
    <w:rsid w:val="00DE09AF"/>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1713F"/>
    <w:rsid w:val="00F21D57"/>
    <w:rsid w:val="00F33732"/>
    <w:rsid w:val="00F37BFC"/>
    <w:rsid w:val="00F44CBF"/>
    <w:rsid w:val="00F457A8"/>
    <w:rsid w:val="00F5016D"/>
    <w:rsid w:val="00F52A42"/>
    <w:rsid w:val="00F552B0"/>
    <w:rsid w:val="00F579D6"/>
    <w:rsid w:val="00F655CE"/>
    <w:rsid w:val="00F72545"/>
    <w:rsid w:val="00F7706D"/>
    <w:rsid w:val="00F81B5B"/>
    <w:rsid w:val="00FA20CD"/>
    <w:rsid w:val="00FC4A42"/>
    <w:rsid w:val="00FC773B"/>
    <w:rsid w:val="00FD2B41"/>
    <w:rsid w:val="00FD74B1"/>
    <w:rsid w:val="00FE28A1"/>
    <w:rsid w:val="00FF0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Body2">
    <w:name w:val="Body 2"/>
    <w:rsid w:val="000B267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marius.gedvila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22</Pages>
  <Words>62163</Words>
  <Characters>35433</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79</cp:revision>
  <dcterms:created xsi:type="dcterms:W3CDTF">2025-02-12T15:46:00Z</dcterms:created>
  <dcterms:modified xsi:type="dcterms:W3CDTF">2025-03-20T07:36:00Z</dcterms:modified>
</cp:coreProperties>
</file>