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77777777" w:rsidR="00EB3945" w:rsidRDefault="00BB782A">
      <w:pPr>
        <w:pStyle w:val="Pagrindinistekstas"/>
        <w:spacing w:before="68"/>
        <w:ind w:left="2372" w:right="2317"/>
        <w:jc w:val="center"/>
      </w:pPr>
      <w:r>
        <w:t>RINKOS DALYVIŲ KONSULTACIJOS (RDK) ATASKAITA</w:t>
      </w:r>
    </w:p>
    <w:p w14:paraId="6F793C05" w14:textId="77777777" w:rsidR="00EB3945" w:rsidRDefault="00EB3945">
      <w:pPr>
        <w:spacing w:before="10" w:after="1"/>
        <w:rPr>
          <w:b/>
          <w:sz w:val="20"/>
        </w:rPr>
      </w:pPr>
    </w:p>
    <w:tbl>
      <w:tblPr>
        <w:tblStyle w:val="TableNormal"/>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979"/>
        <w:gridCol w:w="3116"/>
        <w:gridCol w:w="2552"/>
      </w:tblGrid>
      <w:tr w:rsidR="00EB3945" w14:paraId="2C477D5D" w14:textId="77777777" w:rsidTr="001F54A2">
        <w:trPr>
          <w:trHeight w:val="254"/>
        </w:trPr>
        <w:tc>
          <w:tcPr>
            <w:tcW w:w="4272" w:type="dxa"/>
            <w:gridSpan w:val="2"/>
          </w:tcPr>
          <w:p w14:paraId="190091B7" w14:textId="77777777" w:rsidR="00EB3945" w:rsidRDefault="00BB782A">
            <w:pPr>
              <w:pStyle w:val="TableParagraph"/>
              <w:spacing w:line="234" w:lineRule="exact"/>
              <w:ind w:left="1326"/>
            </w:pPr>
            <w:r>
              <w:t>Pirkimo objekto pavadinimas</w:t>
            </w:r>
          </w:p>
        </w:tc>
        <w:tc>
          <w:tcPr>
            <w:tcW w:w="5668" w:type="dxa"/>
            <w:gridSpan w:val="2"/>
          </w:tcPr>
          <w:p w14:paraId="45E2E3BC" w14:textId="27228242" w:rsidR="00EB3945" w:rsidRPr="00F92616" w:rsidRDefault="00BB782A" w:rsidP="004E06AD">
            <w:pPr>
              <w:pStyle w:val="TableParagraph"/>
              <w:spacing w:line="234" w:lineRule="exact"/>
              <w:ind w:left="48"/>
              <w:jc w:val="center"/>
              <w:rPr>
                <w:b/>
                <w:bCs/>
              </w:rPr>
            </w:pPr>
            <w:r w:rsidRPr="00F92616">
              <w:rPr>
                <w:b/>
                <w:bCs/>
              </w:rPr>
              <w:t>„</w:t>
            </w:r>
            <w:r w:rsidR="001C0140">
              <w:rPr>
                <w:b/>
                <w:bCs/>
              </w:rPr>
              <w:t>REAGENT</w:t>
            </w:r>
            <w:r w:rsidR="00C12E5C">
              <w:rPr>
                <w:b/>
                <w:bCs/>
              </w:rPr>
              <w:t>AI</w:t>
            </w:r>
            <w:r w:rsidR="001C0140">
              <w:rPr>
                <w:b/>
                <w:bCs/>
              </w:rPr>
              <w:t>, EKSPLOATACIN</w:t>
            </w:r>
            <w:r w:rsidR="00C12E5C">
              <w:rPr>
                <w:b/>
                <w:bCs/>
              </w:rPr>
              <w:t>ĖS</w:t>
            </w:r>
            <w:r w:rsidR="001C0140">
              <w:rPr>
                <w:b/>
                <w:bCs/>
              </w:rPr>
              <w:t xml:space="preserve"> MEDŽIAG</w:t>
            </w:r>
            <w:r w:rsidR="00C12E5C">
              <w:rPr>
                <w:b/>
                <w:bCs/>
              </w:rPr>
              <w:t>OS</w:t>
            </w:r>
            <w:r w:rsidR="001C0140">
              <w:rPr>
                <w:b/>
                <w:bCs/>
              </w:rPr>
              <w:t xml:space="preserve"> BEI PAPILDOM</w:t>
            </w:r>
            <w:r w:rsidR="00C12E5C">
              <w:rPr>
                <w:b/>
                <w:bCs/>
              </w:rPr>
              <w:t>OS</w:t>
            </w:r>
            <w:r w:rsidR="001C0140">
              <w:rPr>
                <w:b/>
                <w:bCs/>
              </w:rPr>
              <w:t xml:space="preserve"> PRIEMON</w:t>
            </w:r>
            <w:r w:rsidR="00C12E5C">
              <w:rPr>
                <w:b/>
                <w:bCs/>
              </w:rPr>
              <w:t>ĖS</w:t>
            </w:r>
            <w:r w:rsidR="001C0140">
              <w:rPr>
                <w:b/>
                <w:bCs/>
              </w:rPr>
              <w:t xml:space="preserve"> HEMATOLOGINIŲ TYRIMŲ ANALIZATORI</w:t>
            </w:r>
            <w:r w:rsidR="00C12E5C">
              <w:rPr>
                <w:b/>
                <w:bCs/>
              </w:rPr>
              <w:t>UI</w:t>
            </w:r>
            <w:r w:rsidR="001C0140">
              <w:rPr>
                <w:b/>
                <w:bCs/>
              </w:rPr>
              <w:t xml:space="preserve"> SU PANAUDA</w:t>
            </w:r>
            <w:r w:rsidRPr="00F92616">
              <w:rPr>
                <w:b/>
                <w:bCs/>
              </w:rPr>
              <w:t>“</w:t>
            </w:r>
            <w:r w:rsidR="00F81C41" w:rsidRPr="00F92616">
              <w:rPr>
                <w:b/>
                <w:bCs/>
              </w:rPr>
              <w:t xml:space="preserve"> </w:t>
            </w:r>
          </w:p>
        </w:tc>
      </w:tr>
      <w:tr w:rsidR="00EB3945" w14:paraId="5F13F5E4" w14:textId="77777777" w:rsidTr="001F54A2">
        <w:trPr>
          <w:trHeight w:val="252"/>
        </w:trPr>
        <w:tc>
          <w:tcPr>
            <w:tcW w:w="4272" w:type="dxa"/>
            <w:gridSpan w:val="2"/>
          </w:tcPr>
          <w:p w14:paraId="4DA11900" w14:textId="77777777" w:rsidR="00EB3945" w:rsidRDefault="00BB782A">
            <w:pPr>
              <w:pStyle w:val="TableParagraph"/>
              <w:spacing w:line="232" w:lineRule="exact"/>
              <w:ind w:left="1166"/>
            </w:pPr>
            <w:r>
              <w:t>RDK paskelbimo data ir numeris</w:t>
            </w:r>
          </w:p>
        </w:tc>
        <w:tc>
          <w:tcPr>
            <w:tcW w:w="5668" w:type="dxa"/>
            <w:gridSpan w:val="2"/>
          </w:tcPr>
          <w:p w14:paraId="3848E207" w14:textId="0A3BE104" w:rsidR="00EB3945" w:rsidRPr="00F65860" w:rsidRDefault="00F81C41">
            <w:pPr>
              <w:pStyle w:val="TableParagraph"/>
              <w:spacing w:line="232" w:lineRule="exact"/>
              <w:ind w:left="1545"/>
            </w:pPr>
            <w:r w:rsidRPr="00F65860">
              <w:t>202</w:t>
            </w:r>
            <w:r w:rsidR="00D73471" w:rsidRPr="00F65860">
              <w:t>5-0</w:t>
            </w:r>
            <w:r w:rsidR="00C12E5C" w:rsidRPr="00F65860">
              <w:t>3-05</w:t>
            </w:r>
            <w:r w:rsidR="00BB782A" w:rsidRPr="00F65860">
              <w:t>, Nr.</w:t>
            </w:r>
            <w:r w:rsidR="004E06AD" w:rsidRPr="00F65860">
              <w:t xml:space="preserve"> </w:t>
            </w:r>
            <w:r w:rsidR="00C12E5C" w:rsidRPr="00F65860">
              <w:t>1526134</w:t>
            </w:r>
          </w:p>
        </w:tc>
      </w:tr>
      <w:tr w:rsidR="00EB3945" w14:paraId="6CE7F120" w14:textId="77777777" w:rsidTr="001F54A2">
        <w:trPr>
          <w:trHeight w:val="253"/>
        </w:trPr>
        <w:tc>
          <w:tcPr>
            <w:tcW w:w="4272" w:type="dxa"/>
            <w:gridSpan w:val="2"/>
          </w:tcPr>
          <w:p w14:paraId="1BCD1362" w14:textId="77777777" w:rsidR="00EB3945" w:rsidRDefault="00BB782A">
            <w:pPr>
              <w:pStyle w:val="TableParagraph"/>
              <w:spacing w:line="234" w:lineRule="exact"/>
              <w:ind w:left="1454"/>
            </w:pPr>
            <w:r>
              <w:t>RDK vykdymo laikotarpis</w:t>
            </w:r>
          </w:p>
        </w:tc>
        <w:tc>
          <w:tcPr>
            <w:tcW w:w="5668" w:type="dxa"/>
            <w:gridSpan w:val="2"/>
          </w:tcPr>
          <w:p w14:paraId="256D4B21" w14:textId="535AC7EC" w:rsidR="00EB3945" w:rsidRPr="00F65860" w:rsidRDefault="00BB782A">
            <w:pPr>
              <w:pStyle w:val="TableParagraph"/>
              <w:spacing w:line="234" w:lineRule="exact"/>
              <w:ind w:left="1197"/>
            </w:pPr>
            <w:r w:rsidRPr="00F65860">
              <w:t>nuo 202</w:t>
            </w:r>
            <w:r w:rsidR="00D73471" w:rsidRPr="00F65860">
              <w:t>5-0</w:t>
            </w:r>
            <w:r w:rsidR="00C12E5C" w:rsidRPr="00F65860">
              <w:t>3-05</w:t>
            </w:r>
            <w:r w:rsidRPr="00F65860">
              <w:t xml:space="preserve"> iki 202</w:t>
            </w:r>
            <w:r w:rsidR="00D73471" w:rsidRPr="00F65860">
              <w:t>5-0</w:t>
            </w:r>
            <w:r w:rsidR="00C12E5C" w:rsidRPr="00F65860">
              <w:t>3</w:t>
            </w:r>
            <w:r w:rsidR="00A122E4" w:rsidRPr="00F65860">
              <w:t>-14</w:t>
            </w:r>
          </w:p>
        </w:tc>
      </w:tr>
      <w:tr w:rsidR="00EB3945" w14:paraId="30AA7C10" w14:textId="77777777" w:rsidTr="001F54A2">
        <w:trPr>
          <w:trHeight w:val="251"/>
        </w:trPr>
        <w:tc>
          <w:tcPr>
            <w:tcW w:w="4272" w:type="dxa"/>
            <w:gridSpan w:val="2"/>
          </w:tcPr>
          <w:p w14:paraId="191A450D" w14:textId="77777777" w:rsidR="00EB3945" w:rsidRDefault="00BB782A">
            <w:pPr>
              <w:pStyle w:val="TableParagraph"/>
              <w:spacing w:line="232" w:lineRule="exact"/>
              <w:ind w:left="1547"/>
            </w:pPr>
            <w:r>
              <w:t>RDK vykdyta šiuo būdu</w:t>
            </w:r>
          </w:p>
        </w:tc>
        <w:tc>
          <w:tcPr>
            <w:tcW w:w="5668" w:type="dxa"/>
            <w:gridSpan w:val="2"/>
          </w:tcPr>
          <w:p w14:paraId="1FD7B0E8" w14:textId="77777777" w:rsidR="00EB3945" w:rsidRPr="00F65860" w:rsidRDefault="00BB782A" w:rsidP="003C7524">
            <w:pPr>
              <w:pStyle w:val="TableParagraph"/>
              <w:spacing w:line="232" w:lineRule="exact"/>
              <w:ind w:left="48" w:hanging="48"/>
              <w:jc w:val="center"/>
            </w:pPr>
            <w:r w:rsidRPr="00F65860">
              <w:t>CVP IS</w:t>
            </w:r>
          </w:p>
        </w:tc>
      </w:tr>
      <w:tr w:rsidR="00EB3945" w14:paraId="4A825690" w14:textId="77777777" w:rsidTr="001F54A2">
        <w:trPr>
          <w:trHeight w:val="254"/>
        </w:trPr>
        <w:tc>
          <w:tcPr>
            <w:tcW w:w="9940"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1F54A2">
        <w:trPr>
          <w:trHeight w:val="505"/>
        </w:trPr>
        <w:tc>
          <w:tcPr>
            <w:tcW w:w="4272" w:type="dxa"/>
            <w:gridSpan w:val="2"/>
          </w:tcPr>
          <w:p w14:paraId="78B60F13" w14:textId="020D38CF" w:rsidR="00EB3945" w:rsidRDefault="00BB782A" w:rsidP="00A122E4">
            <w:pPr>
              <w:pStyle w:val="TableParagraph"/>
              <w:spacing w:line="246" w:lineRule="exact"/>
              <w:ind w:left="190" w:right="148"/>
              <w:jc w:val="center"/>
            </w:pPr>
            <w:r>
              <w:t>Atsakymus, pasiūlymus ar pastabas CVP IS pateikusių</w:t>
            </w:r>
            <w:r w:rsidR="00A122E4">
              <w:t xml:space="preserve"> </w:t>
            </w:r>
            <w:r>
              <w:t>dalyvių skaičius</w:t>
            </w:r>
          </w:p>
        </w:tc>
        <w:tc>
          <w:tcPr>
            <w:tcW w:w="5668" w:type="dxa"/>
            <w:gridSpan w:val="2"/>
          </w:tcPr>
          <w:p w14:paraId="7B6D4F40" w14:textId="17326E59" w:rsidR="00EB3945" w:rsidRDefault="00C12E5C">
            <w:pPr>
              <w:pStyle w:val="TableParagraph"/>
              <w:spacing w:line="247" w:lineRule="exact"/>
              <w:ind w:left="10"/>
              <w:jc w:val="center"/>
            </w:pPr>
            <w:r>
              <w:t>3</w:t>
            </w:r>
          </w:p>
        </w:tc>
      </w:tr>
      <w:tr w:rsidR="00EB3945" w14:paraId="19D44268" w14:textId="77777777" w:rsidTr="001F54A2">
        <w:trPr>
          <w:trHeight w:val="506"/>
        </w:trPr>
        <w:tc>
          <w:tcPr>
            <w:tcW w:w="9940"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1F54A2">
        <w:trPr>
          <w:trHeight w:val="251"/>
        </w:trPr>
        <w:tc>
          <w:tcPr>
            <w:tcW w:w="4272" w:type="dxa"/>
            <w:gridSpan w:val="2"/>
          </w:tcPr>
          <w:p w14:paraId="7F045D54" w14:textId="77777777" w:rsidR="00EB3945" w:rsidRPr="00A72115" w:rsidRDefault="00BB782A">
            <w:pPr>
              <w:pStyle w:val="TableParagraph"/>
              <w:spacing w:line="232" w:lineRule="exact"/>
              <w:ind w:left="1434"/>
              <w:rPr>
                <w:b/>
                <w:bCs/>
              </w:rPr>
            </w:pPr>
            <w:r w:rsidRPr="00A72115">
              <w:rPr>
                <w:b/>
                <w:bCs/>
              </w:rPr>
              <w:t>Tiekėjo siūlomi pakeitimai</w:t>
            </w:r>
          </w:p>
        </w:tc>
        <w:tc>
          <w:tcPr>
            <w:tcW w:w="5668" w:type="dxa"/>
            <w:gridSpan w:val="2"/>
          </w:tcPr>
          <w:p w14:paraId="657D5FA4" w14:textId="77777777" w:rsidR="00EB3945" w:rsidRPr="00A72115" w:rsidRDefault="00BB782A">
            <w:pPr>
              <w:pStyle w:val="TableParagraph"/>
              <w:spacing w:line="232" w:lineRule="exact"/>
              <w:ind w:left="835"/>
              <w:rPr>
                <w:b/>
                <w:bCs/>
              </w:rPr>
            </w:pPr>
            <w:r w:rsidRPr="00A72115">
              <w:rPr>
                <w:b/>
                <w:bCs/>
              </w:rPr>
              <w:t>Perkančiosios organizacijos sprendimas</w:t>
            </w:r>
          </w:p>
        </w:tc>
      </w:tr>
      <w:tr w:rsidR="00EB3945" w14:paraId="70A41E2D" w14:textId="77777777" w:rsidTr="001F54A2">
        <w:trPr>
          <w:trHeight w:val="1065"/>
        </w:trPr>
        <w:tc>
          <w:tcPr>
            <w:tcW w:w="4272" w:type="dxa"/>
            <w:gridSpan w:val="2"/>
          </w:tcPr>
          <w:p w14:paraId="1A7FEDFA" w14:textId="5E43A6A5" w:rsidR="00C50048" w:rsidRPr="00C50048" w:rsidRDefault="00C50048" w:rsidP="00C50048">
            <w:pPr>
              <w:pStyle w:val="TableParagraph"/>
              <w:spacing w:line="252" w:lineRule="exact"/>
              <w:ind w:left="164" w:right="117" w:hanging="2"/>
              <w:jc w:val="both"/>
              <w:rPr>
                <w:b/>
                <w:bCs/>
                <w:i/>
                <w:iCs/>
              </w:rPr>
            </w:pPr>
            <w:r>
              <w:t xml:space="preserve">Į perkančiosios organizacijos pateiktą klausimą </w:t>
            </w:r>
            <w:r w:rsidRPr="009C1EAA">
              <w:rPr>
                <w:b/>
                <w:bCs/>
                <w:i/>
                <w:iCs/>
              </w:rPr>
              <w:t>„</w:t>
            </w:r>
            <w:r w:rsidRPr="00C50048">
              <w:rPr>
                <w:b/>
                <w:bCs/>
                <w:i/>
                <w:iCs/>
              </w:rPr>
              <w:t>Jei perkančioji organizacija rinktųsi ekonominio naudingumo vertinimo kriterijų, kokie, Jūsų</w:t>
            </w:r>
            <w:r>
              <w:rPr>
                <w:b/>
                <w:bCs/>
                <w:i/>
                <w:iCs/>
              </w:rPr>
              <w:t xml:space="preserve"> </w:t>
            </w:r>
            <w:r w:rsidRPr="00C50048">
              <w:rPr>
                <w:b/>
                <w:bCs/>
                <w:i/>
                <w:iCs/>
              </w:rPr>
              <w:t>nuomone, ekonominio naudingumo vertinimo kriterijai turėtų būti taikomi pirkimo procedūrų</w:t>
            </w:r>
            <w:r>
              <w:rPr>
                <w:b/>
                <w:bCs/>
                <w:i/>
                <w:iCs/>
              </w:rPr>
              <w:t xml:space="preserve"> </w:t>
            </w:r>
            <w:r w:rsidRPr="00C50048">
              <w:rPr>
                <w:b/>
                <w:bCs/>
                <w:i/>
                <w:iCs/>
              </w:rPr>
              <w:t>metu bei kokie turėtų būti nustatyti šių kriterijų (ir jų parametrų) lyginamieji svoriai ekonominio</w:t>
            </w:r>
            <w:r>
              <w:rPr>
                <w:b/>
                <w:bCs/>
                <w:i/>
                <w:iCs/>
              </w:rPr>
              <w:t xml:space="preserve"> </w:t>
            </w:r>
          </w:p>
          <w:p w14:paraId="22505DC6" w14:textId="295B576D" w:rsidR="00EB3945" w:rsidRDefault="00C50048" w:rsidP="00C50048">
            <w:pPr>
              <w:pStyle w:val="TableParagraph"/>
              <w:spacing w:line="252" w:lineRule="exact"/>
              <w:ind w:left="164" w:right="117" w:hanging="2"/>
              <w:jc w:val="both"/>
            </w:pPr>
            <w:r w:rsidRPr="00C50048">
              <w:rPr>
                <w:b/>
                <w:bCs/>
                <w:i/>
                <w:iCs/>
              </w:rPr>
              <w:t>naudingumo įvertinime?</w:t>
            </w:r>
            <w:r w:rsidRPr="009C1EAA">
              <w:rPr>
                <w:b/>
                <w:bCs/>
                <w:i/>
                <w:iCs/>
              </w:rPr>
              <w:t>“</w:t>
            </w:r>
            <w:r>
              <w:t xml:space="preserve"> tiekėjas pateikė atsakymą </w:t>
            </w:r>
            <w:r w:rsidRPr="009C1EAA">
              <w:rPr>
                <w:i/>
                <w:iCs/>
              </w:rPr>
              <w:t>„</w:t>
            </w:r>
            <w:r w:rsidRPr="00C50048">
              <w:rPr>
                <w:i/>
                <w:iCs/>
              </w:rPr>
              <w:t>Siūlome kainai skirti 60 balų kainai, o ekonominei naudai 40 balų:</w:t>
            </w:r>
            <w:r>
              <w:rPr>
                <w:i/>
                <w:iCs/>
              </w:rPr>
              <w:t xml:space="preserve"> </w:t>
            </w:r>
            <w:r w:rsidRPr="00C50048">
              <w:rPr>
                <w:i/>
                <w:iCs/>
              </w:rPr>
              <w:t>Skiediklio kiekis ne didesnis nei 10L – 10 balų</w:t>
            </w:r>
            <w:r>
              <w:rPr>
                <w:i/>
                <w:iCs/>
              </w:rPr>
              <w:t xml:space="preserve">; </w:t>
            </w:r>
            <w:r w:rsidRPr="00C50048">
              <w:rPr>
                <w:i/>
                <w:iCs/>
              </w:rPr>
              <w:t>Mėginio kiekis ne didesnis nei 15ul – 10 balų</w:t>
            </w:r>
            <w:r>
              <w:rPr>
                <w:i/>
                <w:iCs/>
              </w:rPr>
              <w:t xml:space="preserve">; </w:t>
            </w:r>
            <w:r w:rsidRPr="00C50048">
              <w:rPr>
                <w:i/>
                <w:iCs/>
              </w:rPr>
              <w:t xml:space="preserve">Ne daugiau nei 3 reagentai (be kontrolės ir </w:t>
            </w:r>
            <w:proofErr w:type="spellStart"/>
            <w:r w:rsidRPr="00C50048">
              <w:rPr>
                <w:i/>
                <w:iCs/>
              </w:rPr>
              <w:t>kalibratoriaus</w:t>
            </w:r>
            <w:proofErr w:type="spellEnd"/>
            <w:r w:rsidRPr="00C50048">
              <w:rPr>
                <w:i/>
                <w:iCs/>
              </w:rPr>
              <w:t>) – 10 balų</w:t>
            </w:r>
            <w:r>
              <w:rPr>
                <w:i/>
                <w:iCs/>
              </w:rPr>
              <w:t xml:space="preserve">; </w:t>
            </w:r>
            <w:r w:rsidRPr="00C50048">
              <w:rPr>
                <w:i/>
                <w:iCs/>
              </w:rPr>
              <w:t>WBC populiacijos pamatuojamos tiesiogiai, nėra jokių dažų ar fluorescencijos reakcijų– 10 balų</w:t>
            </w:r>
            <w:r w:rsidRPr="00661750">
              <w:rPr>
                <w:i/>
                <w:iCs/>
              </w:rPr>
              <w:t>.</w:t>
            </w:r>
            <w:r w:rsidRPr="009C1EAA">
              <w:rPr>
                <w:i/>
                <w:iCs/>
              </w:rPr>
              <w:t>“</w:t>
            </w:r>
          </w:p>
        </w:tc>
        <w:tc>
          <w:tcPr>
            <w:tcW w:w="5668" w:type="dxa"/>
            <w:gridSpan w:val="2"/>
          </w:tcPr>
          <w:p w14:paraId="1FAC7C42" w14:textId="77777777" w:rsidR="00EA0EF8" w:rsidRDefault="00EA0EF8" w:rsidP="00D13CFD">
            <w:pPr>
              <w:tabs>
                <w:tab w:val="left" w:pos="473"/>
              </w:tabs>
              <w:ind w:left="47" w:right="138"/>
              <w:jc w:val="both"/>
            </w:pPr>
            <w:r>
              <w:t>PO ekonomiškai naudingiausią pasiūlymą išrinks pagal tiekėjo nurodytą kainą.</w:t>
            </w:r>
          </w:p>
          <w:p w14:paraId="002A44F5" w14:textId="3727C060" w:rsidR="00274254" w:rsidRDefault="00274254" w:rsidP="00D13CFD">
            <w:pPr>
              <w:tabs>
                <w:tab w:val="left" w:pos="473"/>
              </w:tabs>
              <w:ind w:left="47" w:right="138"/>
              <w:jc w:val="both"/>
            </w:pPr>
          </w:p>
        </w:tc>
      </w:tr>
      <w:tr w:rsidR="000B6445" w14:paraId="7CFAB65A" w14:textId="77777777" w:rsidTr="001F54A2">
        <w:trPr>
          <w:trHeight w:val="1065"/>
        </w:trPr>
        <w:tc>
          <w:tcPr>
            <w:tcW w:w="4272" w:type="dxa"/>
            <w:gridSpan w:val="2"/>
          </w:tcPr>
          <w:p w14:paraId="4D99B283" w14:textId="66638B4B" w:rsidR="000B6445" w:rsidRDefault="000B6445" w:rsidP="009D24B6">
            <w:pPr>
              <w:pStyle w:val="TableParagraph"/>
              <w:spacing w:line="252" w:lineRule="exact"/>
              <w:ind w:left="164" w:right="117" w:hanging="2"/>
              <w:jc w:val="both"/>
            </w:pPr>
            <w:r>
              <w:t xml:space="preserve"> </w:t>
            </w:r>
            <w:r w:rsidR="009D24B6">
              <w:t xml:space="preserve">Į perkančiosios organizacijos pateiktą klausimą </w:t>
            </w:r>
            <w:r w:rsidR="009D24B6" w:rsidRPr="009C1EAA">
              <w:rPr>
                <w:b/>
                <w:bCs/>
                <w:i/>
                <w:iCs/>
              </w:rPr>
              <w:t>„</w:t>
            </w:r>
            <w:r w:rsidR="009D24B6" w:rsidRPr="009D24B6">
              <w:rPr>
                <w:b/>
                <w:bCs/>
                <w:i/>
                <w:iCs/>
              </w:rPr>
              <w:t>Ar, Jūsų nuomone, pirkimo procedūroje ketinančioms dalyvauti tiekėjų įmonėms turėtų būti</w:t>
            </w:r>
            <w:r w:rsidR="009D24B6">
              <w:rPr>
                <w:b/>
                <w:bCs/>
                <w:i/>
                <w:iCs/>
              </w:rPr>
              <w:t xml:space="preserve"> </w:t>
            </w:r>
            <w:r w:rsidR="009D24B6" w:rsidRPr="009D24B6">
              <w:rPr>
                <w:b/>
                <w:bCs/>
                <w:i/>
                <w:iCs/>
              </w:rPr>
              <w:t>keliami kvalifikaciniai reikalavimai? Jei taip, prašome pateikti argumentuotus siūlymus</w:t>
            </w:r>
            <w:r w:rsidR="009D24B6">
              <w:rPr>
                <w:b/>
                <w:bCs/>
                <w:i/>
                <w:iCs/>
              </w:rPr>
              <w:t xml:space="preserve"> </w:t>
            </w:r>
            <w:r w:rsidR="009D24B6" w:rsidRPr="009D24B6">
              <w:rPr>
                <w:b/>
                <w:bCs/>
                <w:i/>
                <w:iCs/>
              </w:rPr>
              <w:t>nurodant, kokie kvalifikaciniai reikalavimai turėtų būti keliami tiekėjams, norintiems dalyvauti</w:t>
            </w:r>
            <w:r w:rsidR="009D24B6">
              <w:rPr>
                <w:b/>
                <w:bCs/>
                <w:i/>
                <w:iCs/>
              </w:rPr>
              <w:t xml:space="preserve"> </w:t>
            </w:r>
            <w:r w:rsidR="009D24B6" w:rsidRPr="009D24B6">
              <w:rPr>
                <w:b/>
                <w:bCs/>
                <w:i/>
                <w:iCs/>
              </w:rPr>
              <w:t>šiame pirkime</w:t>
            </w:r>
            <w:r w:rsidR="009D24B6" w:rsidRPr="009C1EAA">
              <w:rPr>
                <w:b/>
                <w:bCs/>
                <w:i/>
                <w:iCs/>
              </w:rPr>
              <w:t>“</w:t>
            </w:r>
            <w:r w:rsidR="009D24B6">
              <w:t xml:space="preserve"> tiekėjas pateikė atsakymą </w:t>
            </w:r>
            <w:r w:rsidR="009D24B6" w:rsidRPr="009C1EAA">
              <w:rPr>
                <w:i/>
                <w:iCs/>
              </w:rPr>
              <w:t>„</w:t>
            </w:r>
            <w:r w:rsidR="000A363A" w:rsidRPr="000A363A">
              <w:rPr>
                <w:i/>
                <w:iCs/>
              </w:rPr>
              <w:t xml:space="preserve">reikalingas inžinieriui išduotas apmokymų </w:t>
            </w:r>
            <w:proofErr w:type="spellStart"/>
            <w:r w:rsidR="000A363A" w:rsidRPr="000A363A">
              <w:rPr>
                <w:i/>
                <w:iCs/>
              </w:rPr>
              <w:t>tech</w:t>
            </w:r>
            <w:proofErr w:type="spellEnd"/>
            <w:r w:rsidR="000A363A" w:rsidRPr="000A363A">
              <w:rPr>
                <w:i/>
                <w:iCs/>
              </w:rPr>
              <w:t>.</w:t>
            </w:r>
            <w:r w:rsidR="000A363A">
              <w:rPr>
                <w:i/>
                <w:iCs/>
              </w:rPr>
              <w:t xml:space="preserve"> </w:t>
            </w:r>
            <w:r w:rsidR="000A363A" w:rsidRPr="000A363A">
              <w:rPr>
                <w:i/>
                <w:iCs/>
              </w:rPr>
              <w:t>priežiūrai atlikti, sertifikatas</w:t>
            </w:r>
            <w:r w:rsidR="009D24B6" w:rsidRPr="00661750">
              <w:rPr>
                <w:i/>
                <w:iCs/>
              </w:rPr>
              <w:t>.</w:t>
            </w:r>
            <w:r w:rsidR="009D24B6" w:rsidRPr="009C1EAA">
              <w:rPr>
                <w:i/>
                <w:iCs/>
              </w:rPr>
              <w:t>“</w:t>
            </w:r>
          </w:p>
        </w:tc>
        <w:tc>
          <w:tcPr>
            <w:tcW w:w="5668" w:type="dxa"/>
            <w:gridSpan w:val="2"/>
          </w:tcPr>
          <w:p w14:paraId="1C622A3A" w14:textId="5547039B" w:rsidR="000B6445" w:rsidRPr="00C640E4" w:rsidRDefault="00844015" w:rsidP="00D13CFD">
            <w:pPr>
              <w:tabs>
                <w:tab w:val="left" w:pos="473"/>
              </w:tabs>
              <w:ind w:left="47" w:right="138"/>
              <w:jc w:val="both"/>
            </w:pPr>
            <w:r>
              <w:t>Tiekėjams nebus keliami kvalifikaciniai reikalavimai.</w:t>
            </w:r>
          </w:p>
        </w:tc>
      </w:tr>
      <w:tr w:rsidR="003B05B7" w14:paraId="55CC1B52" w14:textId="77777777" w:rsidTr="001F54A2">
        <w:trPr>
          <w:trHeight w:val="1065"/>
        </w:trPr>
        <w:tc>
          <w:tcPr>
            <w:tcW w:w="4272" w:type="dxa"/>
            <w:gridSpan w:val="2"/>
          </w:tcPr>
          <w:p w14:paraId="4A9176DF" w14:textId="1C0C0D68" w:rsidR="003B05B7" w:rsidRDefault="003B05B7" w:rsidP="003B05B7">
            <w:pPr>
              <w:pStyle w:val="TableParagraph"/>
              <w:spacing w:line="252" w:lineRule="exact"/>
              <w:ind w:left="164" w:right="117" w:hanging="2"/>
              <w:jc w:val="both"/>
            </w:pPr>
            <w:r>
              <w:t xml:space="preserve">Į perkančiosios organizacijos pateiktą klausimą </w:t>
            </w:r>
            <w:r w:rsidRPr="009C1EAA">
              <w:rPr>
                <w:b/>
                <w:bCs/>
                <w:i/>
                <w:iCs/>
              </w:rPr>
              <w:t>„</w:t>
            </w:r>
            <w:r w:rsidRPr="003B05B7">
              <w:rPr>
                <w:b/>
                <w:bCs/>
                <w:i/>
                <w:iCs/>
              </w:rPr>
              <w:t>Ar galėtų būti taikytini aplinkosauginiai reikalavimai, socialiniai kriterijai? Jei taikomi, tada</w:t>
            </w:r>
            <w:r>
              <w:rPr>
                <w:b/>
                <w:bCs/>
                <w:i/>
                <w:iCs/>
              </w:rPr>
              <w:t xml:space="preserve"> </w:t>
            </w:r>
            <w:r w:rsidRPr="003B05B7">
              <w:rPr>
                <w:b/>
                <w:bCs/>
                <w:i/>
                <w:iCs/>
              </w:rPr>
              <w:t>kokie?</w:t>
            </w:r>
            <w:r w:rsidRPr="009C1EAA">
              <w:rPr>
                <w:b/>
                <w:bCs/>
                <w:i/>
                <w:iCs/>
              </w:rPr>
              <w:t>“</w:t>
            </w:r>
            <w:r>
              <w:t xml:space="preserve"> tiekėjas pateikė atsakymą </w:t>
            </w:r>
            <w:r w:rsidRPr="009C1EAA">
              <w:rPr>
                <w:i/>
                <w:iCs/>
              </w:rPr>
              <w:t>„</w:t>
            </w:r>
            <w:r w:rsidRPr="003B05B7">
              <w:rPr>
                <w:i/>
                <w:iCs/>
              </w:rPr>
              <w:t>perdirbamos pakuotės, kuo mažesnis naudojamų reagentų kiekis</w:t>
            </w:r>
            <w:r w:rsidRPr="009C1EAA">
              <w:rPr>
                <w:i/>
                <w:iCs/>
              </w:rPr>
              <w:t>“</w:t>
            </w:r>
          </w:p>
        </w:tc>
        <w:tc>
          <w:tcPr>
            <w:tcW w:w="5668" w:type="dxa"/>
            <w:gridSpan w:val="2"/>
          </w:tcPr>
          <w:p w14:paraId="498A32CF" w14:textId="66629AD1" w:rsidR="003B05B7" w:rsidRDefault="00844015" w:rsidP="005933A6">
            <w:pPr>
              <w:tabs>
                <w:tab w:val="left" w:pos="473"/>
              </w:tabs>
              <w:ind w:left="47" w:right="138"/>
              <w:jc w:val="both"/>
            </w:pPr>
            <w:r w:rsidRPr="00844015">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4.4.4 punkte nustatytų aplinkosauginių principų</w:t>
            </w:r>
            <w:r w:rsidR="00F30845">
              <w:t xml:space="preserve"> (perdirbtos pakuotės).</w:t>
            </w:r>
          </w:p>
        </w:tc>
      </w:tr>
      <w:tr w:rsidR="003B05B7" w14:paraId="163ED039" w14:textId="77777777" w:rsidTr="001F54A2">
        <w:trPr>
          <w:trHeight w:val="1065"/>
        </w:trPr>
        <w:tc>
          <w:tcPr>
            <w:tcW w:w="4272" w:type="dxa"/>
            <w:gridSpan w:val="2"/>
          </w:tcPr>
          <w:p w14:paraId="04BE2E24" w14:textId="7F4C2236" w:rsidR="003B05B7" w:rsidRDefault="003B05B7" w:rsidP="003B05B7">
            <w:pPr>
              <w:pStyle w:val="TableParagraph"/>
              <w:spacing w:line="252" w:lineRule="exact"/>
              <w:ind w:left="164" w:right="117" w:hanging="2"/>
              <w:jc w:val="both"/>
            </w:pPr>
            <w:r>
              <w:t xml:space="preserve">Į perkančiosios organizacijos pateiktą klausimą </w:t>
            </w:r>
            <w:r w:rsidRPr="009C1EAA">
              <w:rPr>
                <w:b/>
                <w:bCs/>
                <w:i/>
                <w:iCs/>
              </w:rPr>
              <w:t>„</w:t>
            </w:r>
            <w:r w:rsidRPr="00661750">
              <w:rPr>
                <w:b/>
                <w:bCs/>
                <w:i/>
                <w:iCs/>
              </w:rPr>
              <w:t>Kokie techninius reikalavimus patvirtinantys dokumentai išduodami ir gali būti pateikiami Pasiūlymų pateikimo metu</w:t>
            </w:r>
            <w:r w:rsidRPr="009C1EAA">
              <w:rPr>
                <w:b/>
                <w:bCs/>
                <w:i/>
                <w:iCs/>
              </w:rPr>
              <w:t>“</w:t>
            </w:r>
            <w:r>
              <w:t xml:space="preserve"> tiekėjas pateikė atsakymą </w:t>
            </w:r>
            <w:r w:rsidRPr="009C1EAA">
              <w:rPr>
                <w:i/>
                <w:iCs/>
              </w:rPr>
              <w:t>„</w:t>
            </w:r>
            <w:r>
              <w:rPr>
                <w:i/>
                <w:iCs/>
              </w:rPr>
              <w:t>Gamintojo deklaracijos, saugos duomenų lapai, sertifikatai</w:t>
            </w:r>
            <w:r w:rsidRPr="00661750">
              <w:rPr>
                <w:i/>
                <w:iCs/>
              </w:rPr>
              <w:t>.</w:t>
            </w:r>
            <w:r w:rsidRPr="009C1EAA">
              <w:rPr>
                <w:i/>
                <w:iCs/>
              </w:rPr>
              <w:t>“</w:t>
            </w:r>
          </w:p>
        </w:tc>
        <w:tc>
          <w:tcPr>
            <w:tcW w:w="5668" w:type="dxa"/>
            <w:gridSpan w:val="2"/>
          </w:tcPr>
          <w:p w14:paraId="0369A5B6" w14:textId="3A19313C" w:rsidR="00D4305B" w:rsidRDefault="00D4305B" w:rsidP="00567A0F">
            <w:pPr>
              <w:jc w:val="both"/>
              <w:rPr>
                <w:color w:val="000000"/>
              </w:rPr>
            </w:pPr>
            <w:r w:rsidRPr="00C40AC8">
              <w:rPr>
                <w:rFonts w:ascii="Times New Roman1" w:hAnsi="Times New Roman1" w:cs="Calibri"/>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C40AC8">
              <w:rPr>
                <w:rFonts w:ascii="Times New Roman1" w:hAnsi="Times New Roman1" w:cs="Calibri"/>
              </w:rPr>
              <w:t>pdf</w:t>
            </w:r>
            <w:proofErr w:type="spellEnd"/>
            <w:r w:rsidRPr="00C40AC8">
              <w:rPr>
                <w:rFonts w:ascii="Times New Roman1" w:hAnsi="Times New Roman1" w:cs="Calibri"/>
              </w:rPr>
              <w:t xml:space="preserve"> formatu) su vertimu į lietuvių kalbą. Šiuose dokumentuose tiekėjas turi </w:t>
            </w:r>
            <w:r w:rsidRPr="00C40AC8">
              <w:rPr>
                <w:rFonts w:ascii="Times New Roman1" w:hAnsi="Times New Roman1" w:cs="Calibri"/>
              </w:rPr>
              <w:lastRenderedPageBreak/>
              <w:t xml:space="preserve">grafiškai nurodyti (t. y. pastebimai pažymėti – spalvotai </w:t>
            </w:r>
            <w:proofErr w:type="spellStart"/>
            <w:r w:rsidRPr="00C40AC8">
              <w:rPr>
                <w:rFonts w:ascii="Times New Roman1" w:hAnsi="Times New Roman1" w:cs="Calibri"/>
              </w:rPr>
              <w:t>markiruoti</w:t>
            </w:r>
            <w:proofErr w:type="spellEnd"/>
            <w:r w:rsidRPr="00C40AC8">
              <w:rPr>
                <w:rFonts w:ascii="Times New Roman1" w:hAnsi="Times New Roman1" w:cs="Calibri"/>
              </w:rPr>
              <w:t>, ir/ar nurodyti rodyklėmis, ir/ar pabraukti)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 Perkančioji organizacija turi teisę reikalauti pateikti katalogų ir techninių aprašų originalus</w:t>
            </w:r>
          </w:p>
          <w:p w14:paraId="7C950252" w14:textId="77777777" w:rsidR="00D4305B" w:rsidRPr="00C40AC8" w:rsidRDefault="00D4305B" w:rsidP="00D4305B">
            <w:pPr>
              <w:jc w:val="both"/>
            </w:pPr>
            <w:r w:rsidRPr="00C40AC8">
              <w:t>Tiekėjas turi pateikti dokumentą, patvirtinantį, kad tiekėjas yra oficialus siūlomų prekių gamintojo atstovas arba turi rašytinį susitarimą su tokiu atstovu dėl prekybos siūlomomis prekėmis, t. y. turi prekių gamintojo suteiktas teises arba lygiavertį dokumentą (pateikiama skaitmeninė dokumento kopija).</w:t>
            </w:r>
          </w:p>
          <w:p w14:paraId="06D3B671" w14:textId="5007E802" w:rsidR="00D4305B" w:rsidRPr="00D4305B" w:rsidRDefault="00D4305B" w:rsidP="00567A0F">
            <w:pPr>
              <w:jc w:val="both"/>
            </w:pPr>
            <w:r w:rsidRPr="00C40AC8">
              <w:t xml:space="preserve"> Tiekėjas turi pateikti dokumentą, patvirtinantį, kad tiekėjas yra gamintojo įgaliotas atlikti techninį aptarnavimą įrangos, siūlomos panaudos būdu, arba turi rašytinį susitarimą su kitu ūkio subjektu, kuris yra gamintojo įgaliotas atlikti šios įrangos techninį aptarnavimą (pateikiama skaitmeninė dokumento kopija).</w:t>
            </w:r>
          </w:p>
          <w:p w14:paraId="0EFCE08A" w14:textId="56BEF458" w:rsidR="00860D37" w:rsidRDefault="00567A0F" w:rsidP="00F30845">
            <w:pPr>
              <w:jc w:val="both"/>
            </w:pPr>
            <w:r w:rsidRPr="00C40AC8">
              <w:rPr>
                <w:color w:val="000000"/>
              </w:rPr>
              <w:t xml:space="preserve">Kartu su reagentais, kalibravimo, kontrolinėmis medžiagomis ir kitomis priemonėmis turi būti pateiktos naudojimo instrukcijos, darbo metodikos, bei saugos duomenų (pristatyti kartu su reagentais) lapai anglų ir lietuvių kalba. Galima pateikti elektroninėje laikmenoje. </w:t>
            </w:r>
          </w:p>
        </w:tc>
      </w:tr>
      <w:tr w:rsidR="003B05B7" w14:paraId="583A9F86" w14:textId="77777777" w:rsidTr="001F54A2">
        <w:trPr>
          <w:trHeight w:val="292"/>
        </w:trPr>
        <w:tc>
          <w:tcPr>
            <w:tcW w:w="9940" w:type="dxa"/>
            <w:gridSpan w:val="4"/>
          </w:tcPr>
          <w:p w14:paraId="0ABB8DC6" w14:textId="475FC178" w:rsidR="003B05B7" w:rsidRDefault="003B05B7" w:rsidP="003B05B7">
            <w:pPr>
              <w:tabs>
                <w:tab w:val="left" w:pos="473"/>
              </w:tabs>
              <w:ind w:left="47" w:right="138"/>
              <w:jc w:val="center"/>
            </w:pPr>
            <w:r w:rsidRPr="00C96DB6">
              <w:rPr>
                <w:b/>
                <w:bCs/>
              </w:rPr>
              <w:lastRenderedPageBreak/>
              <w:t>Tiekėjų pastabos ir siūlomi pakeitimai Techninių specifikacijų projektui</w:t>
            </w:r>
          </w:p>
        </w:tc>
      </w:tr>
      <w:tr w:rsidR="003B05B7" w14:paraId="3AE39E81" w14:textId="77777777" w:rsidTr="00F21CCC">
        <w:trPr>
          <w:trHeight w:val="685"/>
        </w:trPr>
        <w:tc>
          <w:tcPr>
            <w:tcW w:w="1293" w:type="dxa"/>
            <w:vAlign w:val="center"/>
          </w:tcPr>
          <w:p w14:paraId="523BDD1D" w14:textId="4A09965E" w:rsidR="003B05B7" w:rsidRDefault="003B05B7" w:rsidP="003B05B7">
            <w:pPr>
              <w:pStyle w:val="TableParagraph"/>
              <w:ind w:left="164" w:right="117" w:hanging="2"/>
              <w:jc w:val="center"/>
            </w:pPr>
            <w:r>
              <w:rPr>
                <w:b/>
                <w:sz w:val="16"/>
              </w:rPr>
              <w:t>Techninės specifikacijos punktas</w:t>
            </w:r>
          </w:p>
        </w:tc>
        <w:tc>
          <w:tcPr>
            <w:tcW w:w="2979" w:type="dxa"/>
            <w:vAlign w:val="center"/>
          </w:tcPr>
          <w:p w14:paraId="3EE432BD" w14:textId="6CDA6585" w:rsidR="003B05B7" w:rsidRDefault="003B05B7" w:rsidP="003B05B7">
            <w:pPr>
              <w:pStyle w:val="TableParagraph"/>
              <w:ind w:left="164" w:right="117" w:hanging="2"/>
              <w:jc w:val="center"/>
            </w:pPr>
            <w:r>
              <w:rPr>
                <w:b/>
              </w:rPr>
              <w:t>Reikalaujamas parametras</w:t>
            </w:r>
          </w:p>
        </w:tc>
        <w:tc>
          <w:tcPr>
            <w:tcW w:w="3116" w:type="dxa"/>
            <w:vAlign w:val="center"/>
          </w:tcPr>
          <w:p w14:paraId="548E0B5A" w14:textId="11758333" w:rsidR="003B05B7" w:rsidRDefault="003B05B7" w:rsidP="003B05B7">
            <w:pPr>
              <w:tabs>
                <w:tab w:val="left" w:pos="473"/>
              </w:tabs>
              <w:ind w:left="47" w:right="138"/>
              <w:jc w:val="center"/>
            </w:pPr>
            <w:r>
              <w:rPr>
                <w:b/>
              </w:rPr>
              <w:t>Tiekėjo siūlomas pakeitimas</w:t>
            </w:r>
          </w:p>
        </w:tc>
        <w:tc>
          <w:tcPr>
            <w:tcW w:w="2552" w:type="dxa"/>
            <w:vAlign w:val="center"/>
          </w:tcPr>
          <w:p w14:paraId="537B43C4" w14:textId="6436F3F2" w:rsidR="003B05B7" w:rsidRDefault="003B05B7" w:rsidP="003B05B7">
            <w:pPr>
              <w:tabs>
                <w:tab w:val="left" w:pos="473"/>
              </w:tabs>
              <w:ind w:left="47" w:right="138"/>
              <w:jc w:val="center"/>
            </w:pPr>
            <w:r>
              <w:rPr>
                <w:b/>
              </w:rPr>
              <w:t>Perkančiosios organizacijos sprendimas</w:t>
            </w:r>
          </w:p>
        </w:tc>
      </w:tr>
      <w:tr w:rsidR="003B05B7" w14:paraId="48E754AD" w14:textId="77777777" w:rsidTr="00810208">
        <w:trPr>
          <w:trHeight w:val="407"/>
        </w:trPr>
        <w:tc>
          <w:tcPr>
            <w:tcW w:w="9940" w:type="dxa"/>
            <w:gridSpan w:val="4"/>
          </w:tcPr>
          <w:p w14:paraId="0A611174" w14:textId="30BDE2E6" w:rsidR="003B05B7" w:rsidRPr="00810208" w:rsidRDefault="003B05B7" w:rsidP="003B05B7">
            <w:pPr>
              <w:tabs>
                <w:tab w:val="left" w:pos="473"/>
              </w:tabs>
              <w:ind w:left="47" w:right="138"/>
              <w:jc w:val="center"/>
              <w:rPr>
                <w:b/>
                <w:i/>
                <w:iCs/>
                <w:szCs w:val="32"/>
              </w:rPr>
            </w:pPr>
            <w:r w:rsidRPr="00810208">
              <w:rPr>
                <w:b/>
                <w:i/>
                <w:iCs/>
                <w:szCs w:val="32"/>
              </w:rPr>
              <w:t xml:space="preserve">Diagnostikos reagentai ir papildomos priemonės </w:t>
            </w:r>
            <w:r>
              <w:rPr>
                <w:b/>
                <w:i/>
                <w:iCs/>
                <w:szCs w:val="32"/>
              </w:rPr>
              <w:t>hematologinių tyrimų</w:t>
            </w:r>
            <w:r w:rsidRPr="00810208">
              <w:rPr>
                <w:b/>
                <w:i/>
                <w:iCs/>
                <w:szCs w:val="32"/>
              </w:rPr>
              <w:t xml:space="preserve"> analizatoriui.</w:t>
            </w:r>
          </w:p>
        </w:tc>
      </w:tr>
      <w:tr w:rsidR="003B05B7" w14:paraId="3AFF0F36" w14:textId="77777777" w:rsidTr="00F21CCC">
        <w:trPr>
          <w:trHeight w:val="699"/>
        </w:trPr>
        <w:tc>
          <w:tcPr>
            <w:tcW w:w="1293" w:type="dxa"/>
          </w:tcPr>
          <w:p w14:paraId="52EF3796" w14:textId="61D0ECF8" w:rsidR="003B05B7" w:rsidRPr="007F3FB8" w:rsidRDefault="003B05B7" w:rsidP="003B05B7">
            <w:pPr>
              <w:pStyle w:val="TableParagraph"/>
              <w:numPr>
                <w:ilvl w:val="0"/>
                <w:numId w:val="8"/>
              </w:numPr>
              <w:ind w:right="117"/>
              <w:jc w:val="center"/>
              <w:rPr>
                <w:bCs/>
                <w:szCs w:val="32"/>
              </w:rPr>
            </w:pPr>
          </w:p>
        </w:tc>
        <w:tc>
          <w:tcPr>
            <w:tcW w:w="2979" w:type="dxa"/>
          </w:tcPr>
          <w:p w14:paraId="3E3454CD" w14:textId="20231792" w:rsidR="003B05B7" w:rsidRPr="001F54A2" w:rsidRDefault="003B05B7" w:rsidP="003B05B7">
            <w:pPr>
              <w:pStyle w:val="Sraopastraipa"/>
              <w:widowControl/>
              <w:tabs>
                <w:tab w:val="left" w:pos="347"/>
              </w:tabs>
              <w:autoSpaceDE/>
              <w:autoSpaceDN/>
              <w:ind w:left="144" w:right="117"/>
              <w:contextualSpacing/>
              <w:rPr>
                <w:bCs/>
              </w:rPr>
            </w:pPr>
            <w:r>
              <w:rPr>
                <w:b/>
                <w:bCs/>
              </w:rPr>
              <w:t>T</w:t>
            </w:r>
            <w:r w:rsidRPr="00C84D0E">
              <w:rPr>
                <w:b/>
                <w:bCs/>
              </w:rPr>
              <w:t xml:space="preserve">iriamosios analitės: </w:t>
            </w:r>
            <w:r w:rsidRPr="00C84D0E">
              <w:rPr>
                <w:bCs/>
              </w:rPr>
              <w:t>WBC, LYM (#, %), NEUT (#, %) MONO (#, %), EO (#, %), BASO (#, %), RBC, HGB, HCT, MCV, MCH, MCHC, PLT, RDW-SD, RDW-CV, PDW, MPV, P-LCR, PCT, P – LCC, LIC (#, %),  </w:t>
            </w:r>
          </w:p>
        </w:tc>
        <w:tc>
          <w:tcPr>
            <w:tcW w:w="3116" w:type="dxa"/>
          </w:tcPr>
          <w:p w14:paraId="78A6181B" w14:textId="0FCC3FA0" w:rsidR="003B05B7" w:rsidRPr="00AF23C9" w:rsidRDefault="003B05B7" w:rsidP="003B05B7">
            <w:pPr>
              <w:pStyle w:val="Sraopastraipa"/>
              <w:widowControl/>
              <w:tabs>
                <w:tab w:val="left" w:pos="347"/>
              </w:tabs>
              <w:autoSpaceDE/>
              <w:autoSpaceDN/>
              <w:ind w:left="141" w:right="142"/>
              <w:contextualSpacing/>
              <w:rPr>
                <w:bCs/>
                <w:i/>
                <w:iCs/>
                <w:szCs w:val="32"/>
              </w:rPr>
            </w:pPr>
            <w:r w:rsidRPr="00C84D0E">
              <w:rPr>
                <w:bCs/>
                <w:i/>
                <w:iCs/>
                <w:szCs w:val="32"/>
              </w:rPr>
              <w:t xml:space="preserve">Tiriamosios analitės: WBC, LYM (#, %), NEUT (#, %) MONO (#, %), EO (#, %), BASO (#, %), RBC, HGB, HCT, MCV, MCH, MCHC, PLT, RDW-SD, RDW-CV, </w:t>
            </w:r>
            <w:r w:rsidRPr="00D24D42">
              <w:rPr>
                <w:bCs/>
                <w:i/>
                <w:iCs/>
                <w:color w:val="FF0000"/>
                <w:szCs w:val="32"/>
              </w:rPr>
              <w:t>PDW</w:t>
            </w:r>
            <w:r w:rsidRPr="00C84D0E">
              <w:rPr>
                <w:bCs/>
                <w:i/>
                <w:iCs/>
                <w:szCs w:val="32"/>
              </w:rPr>
              <w:t xml:space="preserve">, MPV, </w:t>
            </w:r>
            <w:r w:rsidRPr="00D24D42">
              <w:rPr>
                <w:bCs/>
                <w:i/>
                <w:iCs/>
                <w:color w:val="FF0000"/>
                <w:szCs w:val="32"/>
              </w:rPr>
              <w:t>P-LCR, PCT, P – LCC, LIC (#, %), - prašome naikinti raudonai pažymėtus parametrus!</w:t>
            </w:r>
          </w:p>
        </w:tc>
        <w:tc>
          <w:tcPr>
            <w:tcW w:w="2552" w:type="dxa"/>
          </w:tcPr>
          <w:p w14:paraId="16F7C9A2" w14:textId="67035C83" w:rsidR="003B05B7" w:rsidRPr="007F3FB8" w:rsidRDefault="00801ACE" w:rsidP="00F30845">
            <w:pPr>
              <w:tabs>
                <w:tab w:val="left" w:pos="473"/>
              </w:tabs>
              <w:ind w:left="47" w:right="138"/>
              <w:jc w:val="both"/>
              <w:rPr>
                <w:bCs/>
                <w:szCs w:val="32"/>
              </w:rPr>
            </w:pPr>
            <w:r>
              <w:rPr>
                <w:bCs/>
                <w:szCs w:val="32"/>
              </w:rPr>
              <w:t>PO</w:t>
            </w:r>
            <w:r w:rsidR="00F30845">
              <w:rPr>
                <w:bCs/>
                <w:szCs w:val="32"/>
              </w:rPr>
              <w:t xml:space="preserve"> </w:t>
            </w:r>
            <w:r>
              <w:rPr>
                <w:bCs/>
                <w:szCs w:val="32"/>
              </w:rPr>
              <w:t>nesutinka naikinti nurodytų parametrų,</w:t>
            </w:r>
            <w:r w:rsidR="00F30845">
              <w:rPr>
                <w:bCs/>
                <w:szCs w:val="32"/>
              </w:rPr>
              <w:t xml:space="preserve"> </w:t>
            </w:r>
            <w:r>
              <w:rPr>
                <w:bCs/>
                <w:szCs w:val="32"/>
              </w:rPr>
              <w:t>nes tiriamos analitės reikalingos diagnostikos tikslams.</w:t>
            </w:r>
          </w:p>
        </w:tc>
      </w:tr>
      <w:tr w:rsidR="003B05B7" w14:paraId="3240A102" w14:textId="77777777" w:rsidTr="00ED2514">
        <w:trPr>
          <w:trHeight w:val="294"/>
        </w:trPr>
        <w:tc>
          <w:tcPr>
            <w:tcW w:w="9940" w:type="dxa"/>
            <w:gridSpan w:val="4"/>
          </w:tcPr>
          <w:p w14:paraId="33ED50C7" w14:textId="2E72025A" w:rsidR="003B05B7" w:rsidRPr="00ED2514" w:rsidRDefault="003B05B7" w:rsidP="003B05B7">
            <w:pPr>
              <w:tabs>
                <w:tab w:val="left" w:pos="473"/>
              </w:tabs>
              <w:ind w:left="47" w:right="138"/>
              <w:jc w:val="center"/>
              <w:rPr>
                <w:b/>
                <w:i/>
                <w:iCs/>
                <w:szCs w:val="32"/>
              </w:rPr>
            </w:pPr>
            <w:r w:rsidRPr="00F87E49">
              <w:rPr>
                <w:b/>
                <w:i/>
                <w:iCs/>
                <w:szCs w:val="32"/>
              </w:rPr>
              <w:t>Hematologinių tyrimų automatinio analizatoriaus techninė specifikacija</w:t>
            </w:r>
          </w:p>
        </w:tc>
      </w:tr>
      <w:tr w:rsidR="003B05B7" w14:paraId="2E160995" w14:textId="77777777" w:rsidTr="00F21CCC">
        <w:trPr>
          <w:trHeight w:val="698"/>
        </w:trPr>
        <w:tc>
          <w:tcPr>
            <w:tcW w:w="1293" w:type="dxa"/>
          </w:tcPr>
          <w:p w14:paraId="21B1DF8F" w14:textId="153806C4" w:rsidR="003B05B7" w:rsidRDefault="003B05B7" w:rsidP="003B05B7">
            <w:pPr>
              <w:pStyle w:val="TableParagraph"/>
              <w:spacing w:line="252" w:lineRule="exact"/>
              <w:ind w:left="164" w:right="117" w:hanging="2"/>
              <w:jc w:val="center"/>
            </w:pPr>
            <w:r>
              <w:t>2.</w:t>
            </w:r>
          </w:p>
        </w:tc>
        <w:tc>
          <w:tcPr>
            <w:tcW w:w="2979" w:type="dxa"/>
          </w:tcPr>
          <w:p w14:paraId="3944784C" w14:textId="71143DD0" w:rsidR="003B05B7" w:rsidRDefault="003B05B7" w:rsidP="003B05B7">
            <w:pPr>
              <w:ind w:left="144"/>
              <w:rPr>
                <w:color w:val="000000"/>
                <w:lang w:eastAsia="lt-LT"/>
              </w:rPr>
            </w:pPr>
            <w:r w:rsidRPr="00F87E49">
              <w:rPr>
                <w:color w:val="000000"/>
                <w:lang w:eastAsia="lt-LT"/>
              </w:rPr>
              <w:t>Matuojami diagnostiniai parametrai</w:t>
            </w:r>
            <w:r>
              <w:rPr>
                <w:color w:val="000000"/>
                <w:lang w:eastAsia="lt-LT"/>
              </w:rPr>
              <w:t xml:space="preserve">: </w:t>
            </w:r>
            <w:r w:rsidRPr="00F87E49">
              <w:rPr>
                <w:color w:val="000000"/>
                <w:lang w:eastAsia="lt-LT"/>
              </w:rPr>
              <w:t>WBC, LYM (#, %), NEUT (#, %) MONO (#, %), EO (#, %), BASO (#, %), RBC, HGB, HCT, MCV, MCH, MCHC, PLT, RDW-SD, RDW-CV, PDW, MPV, P-LCR, PCT, P – LCC, LIC (#, %).</w:t>
            </w:r>
          </w:p>
          <w:p w14:paraId="3FDA361C" w14:textId="651099CD" w:rsidR="003B05B7" w:rsidRPr="003A65E8" w:rsidRDefault="003B05B7" w:rsidP="003B05B7">
            <w:pPr>
              <w:ind w:left="144"/>
              <w:rPr>
                <w:color w:val="000000"/>
                <w:lang w:eastAsia="lt-LT"/>
              </w:rPr>
            </w:pPr>
          </w:p>
        </w:tc>
        <w:tc>
          <w:tcPr>
            <w:tcW w:w="3116" w:type="dxa"/>
          </w:tcPr>
          <w:p w14:paraId="78939CB2" w14:textId="77777777" w:rsidR="003B05B7" w:rsidRPr="00513B4B" w:rsidRDefault="003B05B7" w:rsidP="003B05B7">
            <w:pPr>
              <w:pStyle w:val="prastasiniatinklio"/>
              <w:spacing w:before="0" w:beforeAutospacing="0" w:after="0" w:afterAutospacing="0"/>
              <w:rPr>
                <w:i/>
                <w:iCs/>
                <w:color w:val="000000"/>
                <w:sz w:val="22"/>
                <w:szCs w:val="22"/>
              </w:rPr>
            </w:pPr>
            <w:r w:rsidRPr="00513B4B">
              <w:rPr>
                <w:i/>
                <w:iCs/>
                <w:color w:val="000000"/>
                <w:sz w:val="22"/>
                <w:szCs w:val="22"/>
              </w:rPr>
              <w:t>Galime pasiūlyti analizatorių, kurio matuojami parametrai nežymiai skiriasi: WBC, RBC,</w:t>
            </w:r>
          </w:p>
          <w:p w14:paraId="6747E1C6" w14:textId="772792BF" w:rsidR="003B05B7" w:rsidRPr="00513B4B" w:rsidRDefault="003B05B7" w:rsidP="003B05B7">
            <w:pPr>
              <w:pStyle w:val="prastasiniatinklio"/>
              <w:spacing w:before="0" w:beforeAutospacing="0" w:after="0" w:afterAutospacing="0"/>
              <w:rPr>
                <w:i/>
                <w:iCs/>
                <w:color w:val="000000"/>
                <w:sz w:val="22"/>
                <w:szCs w:val="22"/>
              </w:rPr>
            </w:pPr>
            <w:r w:rsidRPr="00513B4B">
              <w:rPr>
                <w:i/>
                <w:iCs/>
                <w:color w:val="000000"/>
                <w:sz w:val="22"/>
                <w:szCs w:val="22"/>
              </w:rPr>
              <w:t xml:space="preserve">HGB, MCV, MCH, MCHC, RDW-CV, RDW-SD, HCT, PLT, MPV, PDW, PCT, IPF, P-LCR, P-LCC, </w:t>
            </w:r>
            <w:proofErr w:type="spellStart"/>
            <w:r w:rsidRPr="00513B4B">
              <w:rPr>
                <w:i/>
                <w:iCs/>
                <w:color w:val="000000"/>
                <w:sz w:val="22"/>
                <w:szCs w:val="22"/>
              </w:rPr>
              <w:t>Neu</w:t>
            </w:r>
            <w:proofErr w:type="spellEnd"/>
            <w:r w:rsidRPr="00513B4B">
              <w:rPr>
                <w:i/>
                <w:iCs/>
                <w:color w:val="000000"/>
                <w:sz w:val="22"/>
                <w:szCs w:val="22"/>
              </w:rPr>
              <w:t xml:space="preserve">%, </w:t>
            </w:r>
            <w:proofErr w:type="spellStart"/>
            <w:r w:rsidRPr="00513B4B">
              <w:rPr>
                <w:i/>
                <w:iCs/>
                <w:color w:val="000000"/>
                <w:sz w:val="22"/>
                <w:szCs w:val="22"/>
              </w:rPr>
              <w:t>Lym</w:t>
            </w:r>
            <w:proofErr w:type="spellEnd"/>
            <w:r w:rsidRPr="00513B4B">
              <w:rPr>
                <w:i/>
                <w:iCs/>
                <w:color w:val="000000"/>
                <w:sz w:val="22"/>
                <w:szCs w:val="22"/>
              </w:rPr>
              <w:t xml:space="preserve">%, </w:t>
            </w:r>
            <w:proofErr w:type="spellStart"/>
            <w:r w:rsidRPr="00513B4B">
              <w:rPr>
                <w:i/>
                <w:iCs/>
                <w:color w:val="000000"/>
                <w:sz w:val="22"/>
                <w:szCs w:val="22"/>
              </w:rPr>
              <w:t>Mon</w:t>
            </w:r>
            <w:proofErr w:type="spellEnd"/>
            <w:r w:rsidRPr="00513B4B">
              <w:rPr>
                <w:i/>
                <w:iCs/>
                <w:color w:val="000000"/>
                <w:sz w:val="22"/>
                <w:szCs w:val="22"/>
              </w:rPr>
              <w:t xml:space="preserve">%, </w:t>
            </w:r>
            <w:proofErr w:type="spellStart"/>
            <w:r w:rsidRPr="00513B4B">
              <w:rPr>
                <w:i/>
                <w:iCs/>
                <w:color w:val="000000"/>
                <w:sz w:val="22"/>
                <w:szCs w:val="22"/>
              </w:rPr>
              <w:t>Eos</w:t>
            </w:r>
            <w:proofErr w:type="spellEnd"/>
            <w:r w:rsidRPr="00513B4B">
              <w:rPr>
                <w:i/>
                <w:iCs/>
                <w:color w:val="000000"/>
                <w:sz w:val="22"/>
                <w:szCs w:val="22"/>
              </w:rPr>
              <w:t xml:space="preserve">%, </w:t>
            </w:r>
            <w:proofErr w:type="spellStart"/>
            <w:r w:rsidRPr="00513B4B">
              <w:rPr>
                <w:i/>
                <w:iCs/>
                <w:color w:val="000000"/>
                <w:sz w:val="22"/>
                <w:szCs w:val="22"/>
              </w:rPr>
              <w:t>Bas</w:t>
            </w:r>
            <w:proofErr w:type="spellEnd"/>
            <w:r w:rsidRPr="00513B4B">
              <w:rPr>
                <w:i/>
                <w:iCs/>
                <w:color w:val="000000"/>
                <w:sz w:val="22"/>
                <w:szCs w:val="22"/>
              </w:rPr>
              <w:t>%,,</w:t>
            </w:r>
            <w:proofErr w:type="spellStart"/>
            <w:r w:rsidRPr="00513B4B">
              <w:rPr>
                <w:i/>
                <w:iCs/>
                <w:color w:val="000000"/>
                <w:sz w:val="22"/>
                <w:szCs w:val="22"/>
              </w:rPr>
              <w:t>Neu</w:t>
            </w:r>
            <w:proofErr w:type="spellEnd"/>
            <w:r w:rsidRPr="00513B4B">
              <w:rPr>
                <w:i/>
                <w:iCs/>
                <w:color w:val="000000"/>
                <w:sz w:val="22"/>
                <w:szCs w:val="22"/>
              </w:rPr>
              <w:t xml:space="preserve">#, </w:t>
            </w:r>
            <w:proofErr w:type="spellStart"/>
            <w:r w:rsidRPr="00513B4B">
              <w:rPr>
                <w:i/>
                <w:iCs/>
                <w:color w:val="000000"/>
                <w:sz w:val="22"/>
                <w:szCs w:val="22"/>
              </w:rPr>
              <w:t>Lym</w:t>
            </w:r>
            <w:proofErr w:type="spellEnd"/>
            <w:r w:rsidRPr="00513B4B">
              <w:rPr>
                <w:i/>
                <w:iCs/>
                <w:color w:val="000000"/>
                <w:sz w:val="22"/>
                <w:szCs w:val="22"/>
              </w:rPr>
              <w:t xml:space="preserve">#, </w:t>
            </w:r>
            <w:proofErr w:type="spellStart"/>
            <w:r w:rsidRPr="00513B4B">
              <w:rPr>
                <w:i/>
                <w:iCs/>
                <w:color w:val="000000"/>
                <w:sz w:val="22"/>
                <w:szCs w:val="22"/>
              </w:rPr>
              <w:t>Mon</w:t>
            </w:r>
            <w:proofErr w:type="spellEnd"/>
            <w:r w:rsidRPr="00513B4B">
              <w:rPr>
                <w:i/>
                <w:iCs/>
                <w:color w:val="000000"/>
                <w:sz w:val="22"/>
                <w:szCs w:val="22"/>
              </w:rPr>
              <w:t xml:space="preserve">#, </w:t>
            </w:r>
            <w:proofErr w:type="spellStart"/>
            <w:r w:rsidRPr="00513B4B">
              <w:rPr>
                <w:i/>
                <w:iCs/>
                <w:color w:val="000000"/>
                <w:sz w:val="22"/>
                <w:szCs w:val="22"/>
              </w:rPr>
              <w:t>Eos</w:t>
            </w:r>
            <w:proofErr w:type="spellEnd"/>
            <w:r w:rsidRPr="00513B4B">
              <w:rPr>
                <w:i/>
                <w:iCs/>
                <w:color w:val="000000"/>
                <w:sz w:val="22"/>
                <w:szCs w:val="22"/>
              </w:rPr>
              <w:t xml:space="preserve">#, </w:t>
            </w:r>
            <w:proofErr w:type="spellStart"/>
            <w:r w:rsidRPr="00513B4B">
              <w:rPr>
                <w:i/>
                <w:iCs/>
                <w:color w:val="000000"/>
                <w:sz w:val="22"/>
                <w:szCs w:val="22"/>
              </w:rPr>
              <w:t>Bas</w:t>
            </w:r>
            <w:proofErr w:type="spellEnd"/>
            <w:r w:rsidRPr="00513B4B">
              <w:rPr>
                <w:i/>
                <w:iCs/>
                <w:color w:val="000000"/>
                <w:sz w:val="22"/>
                <w:szCs w:val="22"/>
              </w:rPr>
              <w:t>#, IG#, IG%, RET, RET%,</w:t>
            </w:r>
          </w:p>
          <w:p w14:paraId="4BAD5893" w14:textId="77777777" w:rsidR="003B05B7" w:rsidRPr="00513B4B" w:rsidRDefault="003B05B7" w:rsidP="003B05B7">
            <w:pPr>
              <w:pStyle w:val="prastasiniatinklio"/>
              <w:spacing w:before="0" w:beforeAutospacing="0" w:after="0" w:afterAutospacing="0"/>
              <w:rPr>
                <w:i/>
                <w:iCs/>
                <w:color w:val="000000"/>
                <w:sz w:val="22"/>
                <w:szCs w:val="22"/>
              </w:rPr>
            </w:pPr>
            <w:r w:rsidRPr="00513B4B">
              <w:rPr>
                <w:i/>
                <w:iCs/>
                <w:color w:val="000000"/>
                <w:sz w:val="22"/>
                <w:szCs w:val="22"/>
              </w:rPr>
              <w:t>LFR, MFR, HFR, IRF, RHE,</w:t>
            </w:r>
          </w:p>
          <w:p w14:paraId="5AF40960" w14:textId="77777777" w:rsidR="003B05B7" w:rsidRDefault="003B05B7" w:rsidP="003B05B7">
            <w:pPr>
              <w:pStyle w:val="prastasiniatinklio"/>
              <w:spacing w:before="0" w:beforeAutospacing="0" w:after="0" w:afterAutospacing="0"/>
              <w:rPr>
                <w:i/>
                <w:iCs/>
                <w:color w:val="000000"/>
                <w:sz w:val="22"/>
                <w:szCs w:val="22"/>
              </w:rPr>
            </w:pPr>
          </w:p>
          <w:p w14:paraId="7F47E5A6" w14:textId="77777777" w:rsidR="003B05B7" w:rsidRDefault="003B05B7" w:rsidP="003B05B7">
            <w:pPr>
              <w:pStyle w:val="prastasiniatinklio"/>
              <w:spacing w:before="0" w:beforeAutospacing="0" w:after="0" w:afterAutospacing="0"/>
              <w:rPr>
                <w:i/>
                <w:iCs/>
                <w:color w:val="000000"/>
                <w:sz w:val="22"/>
                <w:szCs w:val="22"/>
              </w:rPr>
            </w:pPr>
            <w:r w:rsidRPr="00513B4B">
              <w:rPr>
                <w:i/>
                <w:iCs/>
                <w:color w:val="000000"/>
                <w:sz w:val="22"/>
                <w:szCs w:val="22"/>
              </w:rPr>
              <w:t xml:space="preserve">Kūno skysčių parametrai: WBC-BF, RBCBF, TC-BF#, MN%, MN#, PMN%, PMN#, </w:t>
            </w:r>
            <w:proofErr w:type="spellStart"/>
            <w:r w:rsidRPr="00513B4B">
              <w:rPr>
                <w:i/>
                <w:iCs/>
                <w:color w:val="000000"/>
                <w:sz w:val="22"/>
                <w:szCs w:val="22"/>
              </w:rPr>
              <w:t>Eos</w:t>
            </w:r>
            <w:proofErr w:type="spellEnd"/>
            <w:r w:rsidRPr="00513B4B">
              <w:rPr>
                <w:i/>
                <w:iCs/>
                <w:color w:val="000000"/>
                <w:sz w:val="22"/>
                <w:szCs w:val="22"/>
              </w:rPr>
              <w:t xml:space="preserve">-BF#, </w:t>
            </w:r>
            <w:proofErr w:type="spellStart"/>
            <w:r w:rsidRPr="00513B4B">
              <w:rPr>
                <w:i/>
                <w:iCs/>
                <w:color w:val="000000"/>
                <w:sz w:val="22"/>
                <w:szCs w:val="22"/>
              </w:rPr>
              <w:t>Eos</w:t>
            </w:r>
            <w:proofErr w:type="spellEnd"/>
            <w:r w:rsidRPr="00513B4B">
              <w:rPr>
                <w:i/>
                <w:iCs/>
                <w:color w:val="000000"/>
                <w:sz w:val="22"/>
                <w:szCs w:val="22"/>
              </w:rPr>
              <w:t xml:space="preserve">-BF%, </w:t>
            </w:r>
            <w:proofErr w:type="spellStart"/>
            <w:r w:rsidRPr="00513B4B">
              <w:rPr>
                <w:i/>
                <w:iCs/>
                <w:color w:val="000000"/>
                <w:sz w:val="22"/>
                <w:szCs w:val="22"/>
              </w:rPr>
              <w:t>Neu</w:t>
            </w:r>
            <w:proofErr w:type="spellEnd"/>
            <w:r w:rsidRPr="00513B4B">
              <w:rPr>
                <w:i/>
                <w:iCs/>
                <w:color w:val="000000"/>
                <w:sz w:val="22"/>
                <w:szCs w:val="22"/>
              </w:rPr>
              <w:t xml:space="preserve">-BF#, </w:t>
            </w:r>
            <w:proofErr w:type="spellStart"/>
            <w:r w:rsidRPr="00513B4B">
              <w:rPr>
                <w:i/>
                <w:iCs/>
                <w:color w:val="000000"/>
                <w:sz w:val="22"/>
                <w:szCs w:val="22"/>
              </w:rPr>
              <w:t>Neu</w:t>
            </w:r>
            <w:proofErr w:type="spellEnd"/>
            <w:r w:rsidRPr="00513B4B">
              <w:rPr>
                <w:i/>
                <w:iCs/>
                <w:color w:val="000000"/>
                <w:sz w:val="22"/>
                <w:szCs w:val="22"/>
              </w:rPr>
              <w:t>-BF%, LY-BF#, LYBF%, MO-BF#, MO-BF%, HF-BF#, HF-BF%, RBC-BF(R).</w:t>
            </w:r>
          </w:p>
          <w:p w14:paraId="747E6737" w14:textId="77777777" w:rsidR="003B05B7" w:rsidRDefault="003B05B7" w:rsidP="003B05B7">
            <w:pPr>
              <w:pStyle w:val="prastasiniatinklio"/>
              <w:spacing w:before="0" w:beforeAutospacing="0" w:after="0" w:afterAutospacing="0"/>
              <w:rPr>
                <w:i/>
                <w:iCs/>
                <w:color w:val="000000"/>
                <w:sz w:val="22"/>
                <w:szCs w:val="22"/>
              </w:rPr>
            </w:pPr>
          </w:p>
          <w:p w14:paraId="315A9CC0" w14:textId="044209CB" w:rsidR="003B05B7" w:rsidRPr="00513B4B" w:rsidRDefault="003B05B7" w:rsidP="003B05B7">
            <w:pPr>
              <w:pStyle w:val="prastasiniatinklio"/>
              <w:spacing w:before="0" w:beforeAutospacing="0" w:after="0" w:afterAutospacing="0"/>
              <w:rPr>
                <w:i/>
                <w:iCs/>
                <w:color w:val="000000"/>
                <w:sz w:val="22"/>
                <w:szCs w:val="22"/>
              </w:rPr>
            </w:pPr>
            <w:r w:rsidRPr="00135353">
              <w:rPr>
                <w:i/>
                <w:iCs/>
                <w:color w:val="000000"/>
                <w:sz w:val="22"/>
                <w:szCs w:val="22"/>
              </w:rPr>
              <w:t>Analizatorius netiria LIC (#, %) parametro, tačiau galimi tirti:</w:t>
            </w:r>
            <w:r>
              <w:rPr>
                <w:i/>
                <w:iCs/>
                <w:color w:val="000000"/>
                <w:sz w:val="22"/>
                <w:szCs w:val="22"/>
              </w:rPr>
              <w:t xml:space="preserve"> </w:t>
            </w:r>
            <w:r w:rsidRPr="00135353">
              <w:rPr>
                <w:i/>
                <w:iCs/>
                <w:color w:val="000000"/>
                <w:sz w:val="22"/>
                <w:szCs w:val="22"/>
              </w:rPr>
              <w:t xml:space="preserve">IG </w:t>
            </w:r>
            <w:r w:rsidRPr="00135353">
              <w:rPr>
                <w:i/>
                <w:iCs/>
                <w:color w:val="000000"/>
                <w:sz w:val="22"/>
                <w:szCs w:val="22"/>
              </w:rPr>
              <w:lastRenderedPageBreak/>
              <w:t xml:space="preserve">(#, %) (nesubrendę </w:t>
            </w:r>
            <w:proofErr w:type="spellStart"/>
            <w:r w:rsidRPr="00135353">
              <w:rPr>
                <w:i/>
                <w:iCs/>
                <w:color w:val="000000"/>
                <w:sz w:val="22"/>
                <w:szCs w:val="22"/>
              </w:rPr>
              <w:t>granuliocitai</w:t>
            </w:r>
            <w:proofErr w:type="spellEnd"/>
            <w:r w:rsidRPr="00135353">
              <w:rPr>
                <w:i/>
                <w:iCs/>
                <w:color w:val="000000"/>
                <w:sz w:val="22"/>
                <w:szCs w:val="22"/>
              </w:rPr>
              <w:t>) bei RET, IRF, LFR, MFR, HFR – parametrai nesubrendusių</w:t>
            </w:r>
            <w:r>
              <w:rPr>
                <w:i/>
                <w:iCs/>
                <w:color w:val="000000"/>
                <w:sz w:val="22"/>
                <w:szCs w:val="22"/>
              </w:rPr>
              <w:t xml:space="preserve"> </w:t>
            </w:r>
            <w:r w:rsidRPr="00135353">
              <w:rPr>
                <w:i/>
                <w:iCs/>
                <w:color w:val="000000"/>
                <w:sz w:val="22"/>
                <w:szCs w:val="22"/>
              </w:rPr>
              <w:t>eritrocitų diagnostikai</w:t>
            </w:r>
          </w:p>
        </w:tc>
        <w:tc>
          <w:tcPr>
            <w:tcW w:w="2552" w:type="dxa"/>
          </w:tcPr>
          <w:p w14:paraId="7C3C3DA6" w14:textId="070104BB" w:rsidR="003B05B7" w:rsidRDefault="00801ACE" w:rsidP="00F30845">
            <w:pPr>
              <w:tabs>
                <w:tab w:val="left" w:pos="473"/>
              </w:tabs>
              <w:ind w:left="47" w:right="138"/>
              <w:jc w:val="both"/>
              <w:rPr>
                <w:bCs/>
                <w:szCs w:val="32"/>
              </w:rPr>
            </w:pPr>
            <w:r>
              <w:rPr>
                <w:bCs/>
                <w:szCs w:val="32"/>
              </w:rPr>
              <w:lastRenderedPageBreak/>
              <w:t>PO</w:t>
            </w:r>
            <w:r w:rsidR="001C24D4">
              <w:rPr>
                <w:bCs/>
                <w:szCs w:val="32"/>
              </w:rPr>
              <w:t xml:space="preserve"> nesutinka</w:t>
            </w:r>
            <w:r>
              <w:rPr>
                <w:bCs/>
                <w:szCs w:val="32"/>
              </w:rPr>
              <w:t xml:space="preserve"> </w:t>
            </w:r>
            <w:r w:rsidR="00CB033C">
              <w:rPr>
                <w:bCs/>
              </w:rPr>
              <w:t>panaikinti LIC</w:t>
            </w:r>
            <w:r w:rsidR="00CB033C" w:rsidRPr="00C84D0E">
              <w:rPr>
                <w:bCs/>
              </w:rPr>
              <w:t xml:space="preserve"> </w:t>
            </w:r>
            <w:r w:rsidR="00F21CCC">
              <w:rPr>
                <w:bCs/>
              </w:rPr>
              <w:t>parametro, nes</w:t>
            </w:r>
            <w:r w:rsidR="001C24D4">
              <w:rPr>
                <w:bCs/>
              </w:rPr>
              <w:t xml:space="preserve"> hematologiniuose analizatoriuose parodo priimtiną koreliaciją tarp automatinio ir rankinio </w:t>
            </w:r>
            <w:r w:rsidR="00F21CCC">
              <w:rPr>
                <w:bCs/>
              </w:rPr>
              <w:t>skaičiavimo, yra</w:t>
            </w:r>
            <w:r w:rsidR="001C24D4">
              <w:rPr>
                <w:bCs/>
              </w:rPr>
              <w:t xml:space="preserve"> skirtas pažymėti nenormalias ląsteles mėginyje pagal </w:t>
            </w:r>
            <w:r w:rsidR="00F21CCC">
              <w:rPr>
                <w:bCs/>
              </w:rPr>
              <w:t>elektrooptinius</w:t>
            </w:r>
            <w:r w:rsidR="001C24D4">
              <w:rPr>
                <w:bCs/>
              </w:rPr>
              <w:t xml:space="preserve"> </w:t>
            </w:r>
            <w:r w:rsidR="00F21CCC">
              <w:rPr>
                <w:bCs/>
              </w:rPr>
              <w:t>požymius, yra</w:t>
            </w:r>
            <w:r w:rsidR="001C24D4">
              <w:rPr>
                <w:bCs/>
              </w:rPr>
              <w:t xml:space="preserve"> gaunama daugiau informacijos apie </w:t>
            </w:r>
            <w:r w:rsidR="00F21CCC">
              <w:rPr>
                <w:bCs/>
              </w:rPr>
              <w:t>paciento</w:t>
            </w:r>
            <w:r w:rsidR="001C24D4">
              <w:rPr>
                <w:bCs/>
              </w:rPr>
              <w:t xml:space="preserve"> būklę.</w:t>
            </w:r>
          </w:p>
        </w:tc>
      </w:tr>
      <w:tr w:rsidR="003B05B7" w14:paraId="1007CDFB" w14:textId="77777777" w:rsidTr="00F21CCC">
        <w:trPr>
          <w:trHeight w:val="698"/>
        </w:trPr>
        <w:tc>
          <w:tcPr>
            <w:tcW w:w="1293" w:type="dxa"/>
          </w:tcPr>
          <w:p w14:paraId="6810AB7E" w14:textId="4B26C5A3" w:rsidR="003B05B7" w:rsidRDefault="003B05B7" w:rsidP="003B05B7">
            <w:pPr>
              <w:pStyle w:val="TableParagraph"/>
              <w:spacing w:line="252" w:lineRule="exact"/>
              <w:ind w:left="164" w:right="117" w:hanging="2"/>
              <w:jc w:val="center"/>
            </w:pPr>
            <w:r>
              <w:t>2.</w:t>
            </w:r>
          </w:p>
        </w:tc>
        <w:tc>
          <w:tcPr>
            <w:tcW w:w="2979" w:type="dxa"/>
          </w:tcPr>
          <w:p w14:paraId="2978E864" w14:textId="77777777" w:rsidR="003B05B7" w:rsidRDefault="003B05B7" w:rsidP="003B05B7">
            <w:pPr>
              <w:ind w:left="144"/>
              <w:rPr>
                <w:color w:val="000000"/>
                <w:lang w:eastAsia="lt-LT"/>
              </w:rPr>
            </w:pPr>
            <w:r w:rsidRPr="00F87E49">
              <w:rPr>
                <w:color w:val="000000"/>
                <w:lang w:eastAsia="lt-LT"/>
              </w:rPr>
              <w:t>Matuojami diagnostiniai parametrai</w:t>
            </w:r>
            <w:r>
              <w:rPr>
                <w:color w:val="000000"/>
                <w:lang w:eastAsia="lt-LT"/>
              </w:rPr>
              <w:t xml:space="preserve">: </w:t>
            </w:r>
            <w:r w:rsidRPr="00F87E49">
              <w:rPr>
                <w:color w:val="000000"/>
                <w:lang w:eastAsia="lt-LT"/>
              </w:rPr>
              <w:t>WBC, LYM (#, %), NEUT (#, %) MONO (#, %), EO (#, %), BASO (#, %), RBC, HGB, HCT, MCV, MCH, MCHC, PLT, RDW-SD, RDW-CV, PDW, MPV, P-LCR, PCT, P – LCC, LIC (#, %).</w:t>
            </w:r>
          </w:p>
          <w:p w14:paraId="628FE866" w14:textId="77777777" w:rsidR="003B05B7" w:rsidRPr="00F87E49" w:rsidRDefault="003B05B7" w:rsidP="003B05B7">
            <w:pPr>
              <w:ind w:left="144"/>
              <w:rPr>
                <w:color w:val="000000"/>
                <w:lang w:eastAsia="lt-LT"/>
              </w:rPr>
            </w:pPr>
          </w:p>
        </w:tc>
        <w:tc>
          <w:tcPr>
            <w:tcW w:w="3116" w:type="dxa"/>
          </w:tcPr>
          <w:p w14:paraId="45D372E9" w14:textId="61982CA7" w:rsidR="003B05B7" w:rsidRPr="00513B4B" w:rsidRDefault="003B05B7" w:rsidP="003B05B7">
            <w:pPr>
              <w:pStyle w:val="prastasiniatinklio"/>
              <w:spacing w:before="0" w:beforeAutospacing="0" w:after="0" w:afterAutospacing="0"/>
              <w:rPr>
                <w:i/>
                <w:iCs/>
                <w:color w:val="000000"/>
                <w:sz w:val="22"/>
                <w:szCs w:val="22"/>
              </w:rPr>
            </w:pPr>
            <w:r w:rsidRPr="00830FBB">
              <w:rPr>
                <w:i/>
                <w:iCs/>
                <w:color w:val="000000"/>
                <w:sz w:val="22"/>
                <w:szCs w:val="22"/>
              </w:rPr>
              <w:t>PDW, P-LCR, PCT, P – LCC, LIC (#, %</w:t>
            </w:r>
            <w:r>
              <w:rPr>
                <w:i/>
                <w:iCs/>
                <w:color w:val="000000"/>
                <w:sz w:val="22"/>
                <w:szCs w:val="22"/>
              </w:rPr>
              <w:t xml:space="preserve">) – šie </w:t>
            </w:r>
            <w:r w:rsidRPr="00830FBB">
              <w:rPr>
                <w:i/>
                <w:iCs/>
                <w:color w:val="000000"/>
                <w:sz w:val="22"/>
                <w:szCs w:val="22"/>
              </w:rPr>
              <w:t>parametrai riboja konkurenciją, dažnu atveju tai ne IVD parametrai, o moksliniams tikslams skirti parametrai, todėl turėtų būti šalinami.</w:t>
            </w:r>
          </w:p>
        </w:tc>
        <w:tc>
          <w:tcPr>
            <w:tcW w:w="2552" w:type="dxa"/>
          </w:tcPr>
          <w:p w14:paraId="5BEC3706" w14:textId="499772C8" w:rsidR="003B05B7" w:rsidRDefault="00931D18" w:rsidP="00F30845">
            <w:pPr>
              <w:tabs>
                <w:tab w:val="left" w:pos="473"/>
              </w:tabs>
              <w:ind w:left="47" w:right="138"/>
              <w:jc w:val="both"/>
              <w:rPr>
                <w:bCs/>
                <w:szCs w:val="32"/>
              </w:rPr>
            </w:pPr>
            <w:r>
              <w:rPr>
                <w:bCs/>
                <w:szCs w:val="32"/>
              </w:rPr>
              <w:t>PO</w:t>
            </w:r>
            <w:r w:rsidR="00F30845">
              <w:rPr>
                <w:bCs/>
                <w:szCs w:val="32"/>
              </w:rPr>
              <w:t xml:space="preserve"> </w:t>
            </w:r>
            <w:r>
              <w:rPr>
                <w:bCs/>
                <w:szCs w:val="32"/>
              </w:rPr>
              <w:t>nesutinka</w:t>
            </w:r>
            <w:r w:rsidR="00F21CCC">
              <w:rPr>
                <w:bCs/>
                <w:szCs w:val="32"/>
              </w:rPr>
              <w:t>,</w:t>
            </w:r>
            <w:r w:rsidR="00F30845">
              <w:rPr>
                <w:bCs/>
                <w:szCs w:val="32"/>
              </w:rPr>
              <w:t xml:space="preserve"> </w:t>
            </w:r>
            <w:r w:rsidR="00F21CCC">
              <w:rPr>
                <w:bCs/>
                <w:szCs w:val="32"/>
              </w:rPr>
              <w:t>kad šie parametrai riboja konkurenciją, nes tai labai svarbūs parametrai, reikalingi diagnostikoms tikslams.</w:t>
            </w:r>
          </w:p>
        </w:tc>
      </w:tr>
      <w:tr w:rsidR="00D66ECE" w14:paraId="4BD0580E" w14:textId="77777777" w:rsidTr="00F21CCC">
        <w:trPr>
          <w:trHeight w:val="1270"/>
        </w:trPr>
        <w:tc>
          <w:tcPr>
            <w:tcW w:w="1293" w:type="dxa"/>
          </w:tcPr>
          <w:p w14:paraId="7D0B14AF" w14:textId="2781B2FC" w:rsidR="00D66ECE" w:rsidRDefault="00D66ECE" w:rsidP="003B05B7">
            <w:pPr>
              <w:pStyle w:val="TableParagraph"/>
              <w:spacing w:line="252" w:lineRule="exact"/>
              <w:ind w:left="164" w:right="117" w:hanging="2"/>
              <w:jc w:val="center"/>
            </w:pPr>
            <w:r>
              <w:t>4.</w:t>
            </w:r>
          </w:p>
        </w:tc>
        <w:tc>
          <w:tcPr>
            <w:tcW w:w="2979" w:type="dxa"/>
          </w:tcPr>
          <w:p w14:paraId="2D257FE0" w14:textId="317F03F5" w:rsidR="00D66ECE" w:rsidRPr="007526BA" w:rsidRDefault="00D66ECE" w:rsidP="003B05B7">
            <w:pPr>
              <w:rPr>
                <w:color w:val="000000"/>
                <w:lang w:eastAsia="lt-LT"/>
              </w:rPr>
            </w:pPr>
            <w:r w:rsidRPr="00D66ECE">
              <w:rPr>
                <w:color w:val="000000"/>
                <w:lang w:eastAsia="lt-LT"/>
              </w:rPr>
              <w:t>Automatinis pakrovėjas</w:t>
            </w:r>
            <w:r>
              <w:rPr>
                <w:color w:val="000000"/>
                <w:lang w:eastAsia="lt-LT"/>
              </w:rPr>
              <w:t xml:space="preserve">: </w:t>
            </w:r>
            <w:r w:rsidRPr="00D66ECE">
              <w:rPr>
                <w:color w:val="000000"/>
                <w:lang w:eastAsia="lt-LT"/>
              </w:rPr>
              <w:t>Ne mažiau kaip 40 mėgintuvėlių vienu metu.</w:t>
            </w:r>
          </w:p>
        </w:tc>
        <w:tc>
          <w:tcPr>
            <w:tcW w:w="3116" w:type="dxa"/>
          </w:tcPr>
          <w:p w14:paraId="671EF495" w14:textId="5D1EC5E4" w:rsidR="00D66ECE" w:rsidRPr="00D66ECE" w:rsidRDefault="00D66ECE" w:rsidP="00D66ECE">
            <w:pPr>
              <w:ind w:left="144"/>
              <w:rPr>
                <w:i/>
                <w:iCs/>
              </w:rPr>
            </w:pPr>
            <w:r w:rsidRPr="00D66ECE">
              <w:rPr>
                <w:i/>
                <w:iCs/>
              </w:rPr>
              <w:t>dirbtinai riboja konkurencij</w:t>
            </w:r>
            <w:r>
              <w:rPr>
                <w:i/>
                <w:iCs/>
              </w:rPr>
              <w:t>ą</w:t>
            </w:r>
            <w:r w:rsidRPr="00D66ECE">
              <w:rPr>
                <w:i/>
                <w:iCs/>
              </w:rPr>
              <w:t>,</w:t>
            </w:r>
            <w:r>
              <w:rPr>
                <w:i/>
                <w:iCs/>
              </w:rPr>
              <w:t xml:space="preserve"> </w:t>
            </w:r>
          </w:p>
          <w:p w14:paraId="12A7896C" w14:textId="07903522" w:rsidR="00D66ECE" w:rsidRPr="00634ED3" w:rsidRDefault="00D66ECE" w:rsidP="00D66ECE">
            <w:pPr>
              <w:ind w:left="144"/>
              <w:rPr>
                <w:i/>
                <w:iCs/>
              </w:rPr>
            </w:pPr>
            <w:r w:rsidRPr="00D66ECE">
              <w:rPr>
                <w:i/>
                <w:iCs/>
              </w:rPr>
              <w:t>nurodantis, kad automatinis analizatoriaus pakrovėjas ne mažiau kaip 40 mėgintuvėlių vienu metu,</w:t>
            </w:r>
            <w:r>
              <w:rPr>
                <w:i/>
                <w:iCs/>
              </w:rPr>
              <w:t xml:space="preserve"> </w:t>
            </w:r>
            <w:r w:rsidRPr="00D66ECE">
              <w:rPr>
                <w:i/>
                <w:iCs/>
              </w:rPr>
              <w:t xml:space="preserve">prašome punktą </w:t>
            </w:r>
            <w:proofErr w:type="spellStart"/>
            <w:r w:rsidRPr="00D66ECE">
              <w:rPr>
                <w:i/>
                <w:iCs/>
              </w:rPr>
              <w:t>nr.</w:t>
            </w:r>
            <w:proofErr w:type="spellEnd"/>
            <w:r w:rsidRPr="00D66ECE">
              <w:rPr>
                <w:i/>
                <w:iCs/>
              </w:rPr>
              <w:t xml:space="preserve"> 4 keisti sekančiai: “Ne mažiau kaip 30 mėgintuvėlių vienu metu.</w:t>
            </w:r>
            <w:r>
              <w:rPr>
                <w:i/>
                <w:iCs/>
              </w:rPr>
              <w:t>“</w:t>
            </w:r>
          </w:p>
        </w:tc>
        <w:tc>
          <w:tcPr>
            <w:tcW w:w="2552" w:type="dxa"/>
          </w:tcPr>
          <w:p w14:paraId="404FADEE" w14:textId="69EAD324" w:rsidR="00860D37" w:rsidRDefault="0029338C" w:rsidP="00F30845">
            <w:pPr>
              <w:tabs>
                <w:tab w:val="left" w:pos="473"/>
              </w:tabs>
              <w:ind w:left="47" w:right="138"/>
              <w:jc w:val="both"/>
              <w:rPr>
                <w:bCs/>
                <w:szCs w:val="32"/>
              </w:rPr>
            </w:pPr>
            <w:r>
              <w:rPr>
                <w:bCs/>
                <w:szCs w:val="32"/>
              </w:rPr>
              <w:t xml:space="preserve">PO </w:t>
            </w:r>
            <w:r w:rsidR="00931D18">
              <w:rPr>
                <w:bCs/>
                <w:szCs w:val="32"/>
              </w:rPr>
              <w:t>nesutinka, kad</w:t>
            </w:r>
            <w:r>
              <w:rPr>
                <w:bCs/>
                <w:szCs w:val="32"/>
              </w:rPr>
              <w:t xml:space="preserve"> automatinis analizatoriaus pakrovėjas</w:t>
            </w:r>
            <w:r w:rsidR="00860D37">
              <w:rPr>
                <w:bCs/>
                <w:szCs w:val="32"/>
              </w:rPr>
              <w:t xml:space="preserve"> mažiau kaip </w:t>
            </w:r>
            <w:r w:rsidR="00801ACE">
              <w:rPr>
                <w:bCs/>
                <w:szCs w:val="32"/>
              </w:rPr>
              <w:t>30</w:t>
            </w:r>
            <w:r w:rsidR="00860D37">
              <w:rPr>
                <w:bCs/>
                <w:szCs w:val="32"/>
              </w:rPr>
              <w:t xml:space="preserve"> mėgintuvėlių vienu </w:t>
            </w:r>
            <w:r w:rsidR="00931D18">
              <w:rPr>
                <w:bCs/>
                <w:szCs w:val="32"/>
              </w:rPr>
              <w:t>metu, nes</w:t>
            </w:r>
            <w:r w:rsidR="00F30845">
              <w:rPr>
                <w:bCs/>
                <w:szCs w:val="32"/>
              </w:rPr>
              <w:t xml:space="preserve"> </w:t>
            </w:r>
            <w:r w:rsidR="00801ACE">
              <w:rPr>
                <w:bCs/>
                <w:szCs w:val="32"/>
              </w:rPr>
              <w:t xml:space="preserve">atsižvelgiant į tyrimų imtį optimaliausias variantas ne mažiau, kaip 40 mėgintuvėlių. </w:t>
            </w:r>
          </w:p>
        </w:tc>
      </w:tr>
      <w:tr w:rsidR="003B05B7" w14:paraId="046C372A" w14:textId="77777777" w:rsidTr="00F21CCC">
        <w:trPr>
          <w:trHeight w:val="1270"/>
        </w:trPr>
        <w:tc>
          <w:tcPr>
            <w:tcW w:w="1293" w:type="dxa"/>
          </w:tcPr>
          <w:p w14:paraId="49812C4B" w14:textId="309EB9E2" w:rsidR="003B05B7" w:rsidRDefault="003B05B7" w:rsidP="003B05B7">
            <w:pPr>
              <w:pStyle w:val="TableParagraph"/>
              <w:spacing w:line="252" w:lineRule="exact"/>
              <w:ind w:left="164" w:right="117" w:hanging="2"/>
              <w:jc w:val="center"/>
            </w:pPr>
            <w:r>
              <w:t>6.</w:t>
            </w:r>
          </w:p>
        </w:tc>
        <w:tc>
          <w:tcPr>
            <w:tcW w:w="2979" w:type="dxa"/>
          </w:tcPr>
          <w:p w14:paraId="7B8D1D7F" w14:textId="1B980691" w:rsidR="003B05B7" w:rsidRPr="007526BA" w:rsidRDefault="003B05B7" w:rsidP="003B05B7">
            <w:pPr>
              <w:rPr>
                <w:color w:val="000000"/>
                <w:lang w:eastAsia="lt-LT"/>
              </w:rPr>
            </w:pPr>
            <w:r w:rsidRPr="007526BA">
              <w:rPr>
                <w:color w:val="000000"/>
                <w:lang w:eastAsia="lt-LT"/>
              </w:rPr>
              <w:t xml:space="preserve">Mėginiai, jų kiekis: Galimybė tirti kapiliarinį ir veninį kraują. Įsiurbiamo mėginio kiekis ne daugiau kaip 20 </w:t>
            </w:r>
            <w:proofErr w:type="spellStart"/>
            <w:r w:rsidRPr="007526BA">
              <w:rPr>
                <w:color w:val="000000"/>
                <w:lang w:eastAsia="lt-LT"/>
              </w:rPr>
              <w:t>mikrolitrų</w:t>
            </w:r>
            <w:proofErr w:type="spellEnd"/>
          </w:p>
        </w:tc>
        <w:tc>
          <w:tcPr>
            <w:tcW w:w="3116" w:type="dxa"/>
          </w:tcPr>
          <w:p w14:paraId="6FB192AF" w14:textId="51D80857" w:rsidR="003B05B7" w:rsidRPr="00634ED3" w:rsidRDefault="003B05B7" w:rsidP="003B05B7">
            <w:pPr>
              <w:ind w:left="144"/>
              <w:rPr>
                <w:i/>
                <w:iCs/>
              </w:rPr>
            </w:pPr>
            <w:r w:rsidRPr="00634ED3">
              <w:rPr>
                <w:i/>
                <w:iCs/>
              </w:rPr>
              <w:t>Galime pasiūlyti analizatorių, kuris naudoja tiria tokį mėgino kiekį veikdamas skirtingais režimais: CBC: 20uL; CBC+DIFF:30uL; CBC+DIFF+RET: 35uL</w:t>
            </w:r>
          </w:p>
        </w:tc>
        <w:tc>
          <w:tcPr>
            <w:tcW w:w="2552" w:type="dxa"/>
          </w:tcPr>
          <w:p w14:paraId="0A554607" w14:textId="1D83D382" w:rsidR="003B05B7" w:rsidRDefault="00E46C94" w:rsidP="00F30845">
            <w:pPr>
              <w:tabs>
                <w:tab w:val="left" w:pos="473"/>
              </w:tabs>
              <w:ind w:left="47" w:right="138"/>
              <w:jc w:val="both"/>
              <w:rPr>
                <w:bCs/>
                <w:szCs w:val="32"/>
              </w:rPr>
            </w:pPr>
            <w:r>
              <w:rPr>
                <w:bCs/>
                <w:szCs w:val="32"/>
              </w:rPr>
              <w:t xml:space="preserve">PO sutinka pakeisti įsiurbimo mėginio kiekis nedaugiau kaip 25 </w:t>
            </w:r>
            <w:proofErr w:type="spellStart"/>
            <w:r>
              <w:rPr>
                <w:bCs/>
                <w:szCs w:val="32"/>
              </w:rPr>
              <w:t>mikrolitrų</w:t>
            </w:r>
            <w:proofErr w:type="spellEnd"/>
            <w:r w:rsidR="00F30845">
              <w:rPr>
                <w:bCs/>
                <w:szCs w:val="32"/>
              </w:rPr>
              <w:t>.</w:t>
            </w:r>
          </w:p>
        </w:tc>
      </w:tr>
      <w:tr w:rsidR="0018542C" w14:paraId="4E45338E" w14:textId="77777777" w:rsidTr="00F21CCC">
        <w:trPr>
          <w:trHeight w:val="1270"/>
        </w:trPr>
        <w:tc>
          <w:tcPr>
            <w:tcW w:w="1293" w:type="dxa"/>
          </w:tcPr>
          <w:p w14:paraId="3E6FE38D" w14:textId="033C389A" w:rsidR="0018542C" w:rsidRDefault="0018542C" w:rsidP="0018542C">
            <w:pPr>
              <w:pStyle w:val="TableParagraph"/>
              <w:spacing w:line="252" w:lineRule="exact"/>
              <w:ind w:left="164" w:right="117" w:hanging="2"/>
              <w:jc w:val="center"/>
            </w:pPr>
          </w:p>
        </w:tc>
        <w:tc>
          <w:tcPr>
            <w:tcW w:w="2979" w:type="dxa"/>
          </w:tcPr>
          <w:p w14:paraId="65797129" w14:textId="005EA553" w:rsidR="0018542C" w:rsidRPr="007526BA" w:rsidRDefault="0018542C" w:rsidP="0018542C">
            <w:pPr>
              <w:rPr>
                <w:color w:val="000000"/>
                <w:lang w:eastAsia="lt-LT"/>
              </w:rPr>
            </w:pPr>
          </w:p>
        </w:tc>
        <w:tc>
          <w:tcPr>
            <w:tcW w:w="3116" w:type="dxa"/>
          </w:tcPr>
          <w:p w14:paraId="1B17A367" w14:textId="493CA4AD" w:rsidR="0018542C" w:rsidRPr="0018542C" w:rsidRDefault="0018542C" w:rsidP="0018542C">
            <w:pPr>
              <w:ind w:left="144"/>
              <w:rPr>
                <w:i/>
                <w:iCs/>
              </w:rPr>
            </w:pPr>
            <w:r w:rsidRPr="0018542C">
              <w:rPr>
                <w:i/>
                <w:iCs/>
              </w:rPr>
              <w:t>dirbtinai riboja sąžiningą konkurenciją tarp tiekėjų, todėl prašome punktą nr.</w:t>
            </w:r>
            <w:r>
              <w:rPr>
                <w:i/>
                <w:iCs/>
              </w:rPr>
              <w:t>6</w:t>
            </w:r>
          </w:p>
          <w:p w14:paraId="7EF72308" w14:textId="0703F35E" w:rsidR="0018542C" w:rsidRPr="00634ED3" w:rsidRDefault="0018542C" w:rsidP="0018542C">
            <w:pPr>
              <w:ind w:left="144"/>
              <w:rPr>
                <w:i/>
                <w:iCs/>
              </w:rPr>
            </w:pPr>
            <w:r w:rsidRPr="0018542C">
              <w:rPr>
                <w:i/>
                <w:iCs/>
              </w:rPr>
              <w:t>keisti taip: “Galimybė tirti kapiliarinį ir veninį kraują. Įsiurbiamo mėginio kiekis ne daugiau kaip 25</w:t>
            </w:r>
            <w:r>
              <w:rPr>
                <w:i/>
                <w:iCs/>
              </w:rPr>
              <w:t xml:space="preserve"> </w:t>
            </w:r>
            <w:proofErr w:type="spellStart"/>
            <w:r w:rsidRPr="0018542C">
              <w:rPr>
                <w:i/>
                <w:iCs/>
              </w:rPr>
              <w:t>mikrolitrų</w:t>
            </w:r>
            <w:proofErr w:type="spellEnd"/>
            <w:r w:rsidRPr="0018542C">
              <w:rPr>
                <w:i/>
                <w:iCs/>
              </w:rPr>
              <w:t>”</w:t>
            </w:r>
          </w:p>
        </w:tc>
        <w:tc>
          <w:tcPr>
            <w:tcW w:w="2552" w:type="dxa"/>
          </w:tcPr>
          <w:p w14:paraId="6A07F4BF" w14:textId="1C824E5E" w:rsidR="0018542C" w:rsidRDefault="0018542C" w:rsidP="0018542C">
            <w:pPr>
              <w:tabs>
                <w:tab w:val="left" w:pos="473"/>
              </w:tabs>
              <w:ind w:left="47" w:right="138"/>
              <w:rPr>
                <w:bCs/>
                <w:szCs w:val="32"/>
              </w:rPr>
            </w:pPr>
          </w:p>
        </w:tc>
      </w:tr>
      <w:tr w:rsidR="002C364C" w14:paraId="375F793D" w14:textId="77777777" w:rsidTr="00F21CCC">
        <w:trPr>
          <w:trHeight w:val="1270"/>
        </w:trPr>
        <w:tc>
          <w:tcPr>
            <w:tcW w:w="1293" w:type="dxa"/>
          </w:tcPr>
          <w:p w14:paraId="3581C3E2" w14:textId="72A19D53" w:rsidR="002C364C" w:rsidRDefault="002C364C" w:rsidP="0018542C">
            <w:pPr>
              <w:pStyle w:val="TableParagraph"/>
              <w:spacing w:line="252" w:lineRule="exact"/>
              <w:ind w:left="164" w:right="117" w:hanging="2"/>
              <w:jc w:val="center"/>
            </w:pPr>
            <w:r>
              <w:t>7.</w:t>
            </w:r>
          </w:p>
        </w:tc>
        <w:tc>
          <w:tcPr>
            <w:tcW w:w="2979" w:type="dxa"/>
          </w:tcPr>
          <w:p w14:paraId="18CD0BFD" w14:textId="77777777" w:rsidR="002C364C" w:rsidRDefault="002C364C" w:rsidP="0018542C">
            <w:pPr>
              <w:rPr>
                <w:color w:val="000000"/>
                <w:lang w:eastAsia="lt-LT"/>
              </w:rPr>
            </w:pPr>
            <w:r w:rsidRPr="002C364C">
              <w:rPr>
                <w:color w:val="000000"/>
                <w:lang w:eastAsia="lt-LT"/>
              </w:rPr>
              <w:t>Kokybės kontrolė</w:t>
            </w:r>
            <w:r>
              <w:rPr>
                <w:color w:val="000000"/>
                <w:lang w:eastAsia="lt-LT"/>
              </w:rPr>
              <w:t>:</w:t>
            </w:r>
          </w:p>
          <w:p w14:paraId="5F285323" w14:textId="77777777" w:rsidR="003D732B" w:rsidRDefault="003D732B" w:rsidP="0018542C">
            <w:pPr>
              <w:rPr>
                <w:color w:val="000000"/>
                <w:lang w:eastAsia="lt-LT"/>
              </w:rPr>
            </w:pPr>
          </w:p>
          <w:p w14:paraId="4E448D11" w14:textId="6A4297AB" w:rsidR="002C364C" w:rsidRPr="00DD6988" w:rsidRDefault="00DD6988" w:rsidP="00DD6988">
            <w:pPr>
              <w:rPr>
                <w:color w:val="000000"/>
                <w:lang w:eastAsia="lt-LT"/>
              </w:rPr>
            </w:pPr>
            <w:r>
              <w:rPr>
                <w:color w:val="000000"/>
                <w:lang w:eastAsia="lt-LT"/>
              </w:rPr>
              <w:t xml:space="preserve">3. </w:t>
            </w:r>
            <w:r w:rsidRPr="00DD6988">
              <w:rPr>
                <w:color w:val="000000"/>
                <w:lang w:eastAsia="lt-LT"/>
              </w:rPr>
              <w:t xml:space="preserve">Kokybės kontrolė XB kontroliuojama ne mažiau kaip 9 parametrams, </w:t>
            </w:r>
            <w:proofErr w:type="spellStart"/>
            <w:r w:rsidRPr="00DD6988">
              <w:rPr>
                <w:color w:val="000000"/>
                <w:lang w:eastAsia="lt-LT"/>
              </w:rPr>
              <w:t>Levey-Jennings</w:t>
            </w:r>
            <w:proofErr w:type="spellEnd"/>
            <w:r w:rsidRPr="00DD6988">
              <w:rPr>
                <w:color w:val="000000"/>
                <w:lang w:eastAsia="lt-LT"/>
              </w:rPr>
              <w:t xml:space="preserve"> kreivės</w:t>
            </w:r>
          </w:p>
        </w:tc>
        <w:tc>
          <w:tcPr>
            <w:tcW w:w="3116" w:type="dxa"/>
          </w:tcPr>
          <w:p w14:paraId="54E6C763" w14:textId="64A4C7A3" w:rsidR="003D732B" w:rsidRPr="003D732B" w:rsidRDefault="003D732B" w:rsidP="003D732B">
            <w:pPr>
              <w:ind w:left="144"/>
              <w:rPr>
                <w:i/>
                <w:iCs/>
              </w:rPr>
            </w:pPr>
            <w:r w:rsidRPr="003D732B">
              <w:rPr>
                <w:i/>
                <w:iCs/>
              </w:rPr>
              <w:t>Jūs, reikalaujate, 3</w:t>
            </w:r>
          </w:p>
          <w:p w14:paraId="133A838C" w14:textId="62D4340F" w:rsidR="003D732B" w:rsidRPr="003D732B" w:rsidRDefault="003D732B" w:rsidP="003D732B">
            <w:pPr>
              <w:ind w:left="144"/>
              <w:rPr>
                <w:i/>
                <w:iCs/>
              </w:rPr>
            </w:pPr>
            <w:r w:rsidRPr="003D732B">
              <w:rPr>
                <w:i/>
                <w:iCs/>
              </w:rPr>
              <w:t>punktu, kad “ Kokybės kontrolė XB kontroliuojama ne mažiau kaip 9</w:t>
            </w:r>
            <w:r w:rsidR="00262B4A">
              <w:rPr>
                <w:i/>
                <w:iCs/>
              </w:rPr>
              <w:t xml:space="preserve"> </w:t>
            </w:r>
            <w:r w:rsidRPr="003D732B">
              <w:rPr>
                <w:i/>
                <w:iCs/>
              </w:rPr>
              <w:t xml:space="preserve">parametrams, </w:t>
            </w:r>
            <w:proofErr w:type="spellStart"/>
            <w:r w:rsidRPr="003D732B">
              <w:rPr>
                <w:i/>
                <w:iCs/>
              </w:rPr>
              <w:t>Levey-Jennings</w:t>
            </w:r>
            <w:proofErr w:type="spellEnd"/>
            <w:r w:rsidRPr="003D732B">
              <w:rPr>
                <w:i/>
                <w:iCs/>
              </w:rPr>
              <w:t xml:space="preserve"> kreivės”,</w:t>
            </w:r>
            <w:r w:rsidR="00262B4A">
              <w:rPr>
                <w:i/>
                <w:iCs/>
              </w:rPr>
              <w:t xml:space="preserve"> </w:t>
            </w:r>
            <w:r w:rsidRPr="003D732B">
              <w:rPr>
                <w:i/>
                <w:iCs/>
              </w:rPr>
              <w:t>manome, kad toks didelis parametrų skaičius, dirbtinai riboja konkurenciją tarp tiekėjų bei mažina</w:t>
            </w:r>
          </w:p>
          <w:p w14:paraId="46D53F7E" w14:textId="77777777" w:rsidR="003D732B" w:rsidRPr="003D732B" w:rsidRDefault="003D732B" w:rsidP="003D732B">
            <w:pPr>
              <w:ind w:left="144"/>
              <w:rPr>
                <w:i/>
                <w:iCs/>
              </w:rPr>
            </w:pPr>
            <w:r w:rsidRPr="003D732B">
              <w:rPr>
                <w:i/>
                <w:iCs/>
              </w:rPr>
              <w:t>dalyvaujančių tiekėjų skaičių, todėl prašome sumažinti parametrų skaičių, keičiant reikalavimo nr.3 formuluotę</w:t>
            </w:r>
          </w:p>
          <w:p w14:paraId="36E4A875" w14:textId="01DE157F" w:rsidR="002C364C" w:rsidRPr="0018542C" w:rsidRDefault="003D732B" w:rsidP="00262B4A">
            <w:pPr>
              <w:ind w:left="144"/>
              <w:rPr>
                <w:i/>
                <w:iCs/>
              </w:rPr>
            </w:pPr>
            <w:r w:rsidRPr="003D732B">
              <w:rPr>
                <w:i/>
                <w:iCs/>
              </w:rPr>
              <w:t xml:space="preserve">šitaip : “Kokybės kontrolė XB kontroliuojama ne mažiau kaip 4 parametrams, </w:t>
            </w:r>
            <w:proofErr w:type="spellStart"/>
            <w:r w:rsidRPr="003D732B">
              <w:rPr>
                <w:i/>
                <w:iCs/>
              </w:rPr>
              <w:t>Levey-Jennings</w:t>
            </w:r>
            <w:proofErr w:type="spellEnd"/>
            <w:r w:rsidRPr="003D732B">
              <w:rPr>
                <w:i/>
                <w:iCs/>
              </w:rPr>
              <w:t xml:space="preserve"> kreivės.</w:t>
            </w:r>
          </w:p>
        </w:tc>
        <w:tc>
          <w:tcPr>
            <w:tcW w:w="2552" w:type="dxa"/>
          </w:tcPr>
          <w:p w14:paraId="4F5027D5" w14:textId="464FD9C5" w:rsidR="002C364C" w:rsidRDefault="00D909F6" w:rsidP="00F30845">
            <w:pPr>
              <w:tabs>
                <w:tab w:val="left" w:pos="473"/>
              </w:tabs>
              <w:ind w:left="47" w:right="138"/>
              <w:jc w:val="both"/>
              <w:rPr>
                <w:bCs/>
                <w:szCs w:val="32"/>
              </w:rPr>
            </w:pPr>
            <w:r>
              <w:rPr>
                <w:bCs/>
                <w:szCs w:val="32"/>
              </w:rPr>
              <w:t>PO</w:t>
            </w:r>
            <w:r w:rsidR="00F30845">
              <w:rPr>
                <w:bCs/>
                <w:szCs w:val="32"/>
              </w:rPr>
              <w:t xml:space="preserve"> </w:t>
            </w:r>
            <w:r>
              <w:rPr>
                <w:bCs/>
                <w:szCs w:val="32"/>
              </w:rPr>
              <w:t>nesutinka keisti 3punkto,</w:t>
            </w:r>
            <w:r w:rsidR="00F30845">
              <w:rPr>
                <w:bCs/>
                <w:szCs w:val="32"/>
              </w:rPr>
              <w:t xml:space="preserve"> </w:t>
            </w:r>
            <w:r>
              <w:rPr>
                <w:bCs/>
                <w:szCs w:val="32"/>
              </w:rPr>
              <w:t xml:space="preserve">nes XB 9 parametrų kokybės kontrolės konfigūracija leidžia laboratorijai gauti vidutines pacientų </w:t>
            </w:r>
            <w:r w:rsidR="00D4305B">
              <w:rPr>
                <w:bCs/>
                <w:szCs w:val="32"/>
              </w:rPr>
              <w:t>vertes. Naudojant</w:t>
            </w:r>
            <w:r>
              <w:rPr>
                <w:bCs/>
                <w:szCs w:val="32"/>
              </w:rPr>
              <w:t xml:space="preserve"> 9 </w:t>
            </w:r>
            <w:r w:rsidR="00D4305B">
              <w:rPr>
                <w:bCs/>
                <w:szCs w:val="32"/>
              </w:rPr>
              <w:t>parametrus, lengviau</w:t>
            </w:r>
            <w:r>
              <w:rPr>
                <w:bCs/>
                <w:szCs w:val="32"/>
              </w:rPr>
              <w:t xml:space="preserve"> </w:t>
            </w:r>
            <w:r w:rsidR="00D4305B">
              <w:rPr>
                <w:bCs/>
                <w:szCs w:val="32"/>
              </w:rPr>
              <w:t>aptikti</w:t>
            </w:r>
            <w:r>
              <w:rPr>
                <w:bCs/>
                <w:szCs w:val="32"/>
              </w:rPr>
              <w:t xml:space="preserve"> XB kokybės kontrolės </w:t>
            </w:r>
            <w:r w:rsidR="00D4305B">
              <w:rPr>
                <w:bCs/>
                <w:szCs w:val="32"/>
              </w:rPr>
              <w:t>nuokrypius, gaunama</w:t>
            </w:r>
            <w:r>
              <w:rPr>
                <w:bCs/>
                <w:szCs w:val="32"/>
              </w:rPr>
              <w:t xml:space="preserve"> tikslesnė informacija. XB 9 parametrų suteikia daugiau galimybių vertinti rezultatus nei 3 ar 4 p</w:t>
            </w:r>
            <w:r w:rsidR="00F30845">
              <w:rPr>
                <w:bCs/>
                <w:szCs w:val="32"/>
              </w:rPr>
              <w:t>a</w:t>
            </w:r>
            <w:r>
              <w:rPr>
                <w:bCs/>
                <w:szCs w:val="32"/>
              </w:rPr>
              <w:t>rametrų,</w:t>
            </w:r>
            <w:r w:rsidR="00F30845">
              <w:rPr>
                <w:bCs/>
                <w:szCs w:val="32"/>
              </w:rPr>
              <w:t xml:space="preserve"> </w:t>
            </w:r>
            <w:r>
              <w:rPr>
                <w:bCs/>
                <w:szCs w:val="32"/>
              </w:rPr>
              <w:t xml:space="preserve">laboratorija gali lengviau ir tiksliau pritaikyti vėliavėles ir pavojaus signalus pagal savo </w:t>
            </w:r>
            <w:r w:rsidR="00D4305B">
              <w:rPr>
                <w:bCs/>
                <w:szCs w:val="32"/>
              </w:rPr>
              <w:t>pacientus</w:t>
            </w:r>
            <w:r>
              <w:rPr>
                <w:bCs/>
                <w:szCs w:val="32"/>
              </w:rPr>
              <w:t>.</w:t>
            </w:r>
          </w:p>
          <w:p w14:paraId="7D1F5DD4" w14:textId="16B9C38C" w:rsidR="00D909F6" w:rsidRDefault="00D909F6" w:rsidP="00F30845">
            <w:pPr>
              <w:tabs>
                <w:tab w:val="left" w:pos="473"/>
              </w:tabs>
              <w:ind w:left="47" w:right="138"/>
              <w:jc w:val="both"/>
              <w:rPr>
                <w:bCs/>
                <w:szCs w:val="32"/>
              </w:rPr>
            </w:pPr>
            <w:r>
              <w:rPr>
                <w:bCs/>
                <w:szCs w:val="32"/>
              </w:rPr>
              <w:t>XB 9 parametrų kokybės kontrolės konfigūracija neriboja konkurencijos</w:t>
            </w:r>
            <w:r w:rsidR="00D4305B">
              <w:rPr>
                <w:bCs/>
                <w:szCs w:val="32"/>
              </w:rPr>
              <w:t xml:space="preserve"> nes yra daug gamintojų, turinčių tokią XB parametrų konfigūraciją.</w:t>
            </w:r>
          </w:p>
        </w:tc>
      </w:tr>
      <w:tr w:rsidR="0018542C" w14:paraId="4699BED4" w14:textId="77777777" w:rsidTr="00F21CCC">
        <w:trPr>
          <w:trHeight w:val="274"/>
        </w:trPr>
        <w:tc>
          <w:tcPr>
            <w:tcW w:w="1293" w:type="dxa"/>
          </w:tcPr>
          <w:p w14:paraId="7265B1A9" w14:textId="117DE7F3" w:rsidR="0018542C" w:rsidRDefault="0018542C" w:rsidP="0018542C">
            <w:pPr>
              <w:pStyle w:val="TableParagraph"/>
              <w:spacing w:line="252" w:lineRule="exact"/>
              <w:ind w:left="164" w:right="117" w:hanging="2"/>
              <w:jc w:val="center"/>
            </w:pPr>
            <w:r>
              <w:t>16.</w:t>
            </w:r>
          </w:p>
        </w:tc>
        <w:tc>
          <w:tcPr>
            <w:tcW w:w="2979" w:type="dxa"/>
          </w:tcPr>
          <w:p w14:paraId="2C9AB074" w14:textId="77777777" w:rsidR="0018542C" w:rsidRDefault="0018542C" w:rsidP="0018542C">
            <w:pPr>
              <w:ind w:left="144"/>
              <w:rPr>
                <w:color w:val="000000"/>
                <w:lang w:eastAsia="lt-LT"/>
              </w:rPr>
            </w:pPr>
            <w:r w:rsidRPr="003521A5">
              <w:rPr>
                <w:color w:val="000000"/>
                <w:lang w:eastAsia="lt-LT"/>
              </w:rPr>
              <w:t>Tiesinio matavimo ribos ne siauresnės kaip</w:t>
            </w:r>
            <w:r>
              <w:rPr>
                <w:color w:val="000000"/>
                <w:lang w:eastAsia="lt-LT"/>
              </w:rPr>
              <w:t>:</w:t>
            </w:r>
          </w:p>
          <w:p w14:paraId="7289F5D6" w14:textId="1A461C24" w:rsidR="0018542C" w:rsidRDefault="0018542C" w:rsidP="0018542C">
            <w:pPr>
              <w:ind w:left="144"/>
              <w:rPr>
                <w:color w:val="000000"/>
                <w:lang w:eastAsia="lt-LT"/>
              </w:rPr>
            </w:pPr>
            <w:r w:rsidRPr="003521A5">
              <w:rPr>
                <w:color w:val="000000"/>
                <w:lang w:eastAsia="lt-LT"/>
              </w:rPr>
              <w:t>WBC 0 – 300 x10</w:t>
            </w:r>
            <w:r w:rsidRPr="003521A5">
              <w:rPr>
                <w:color w:val="000000"/>
                <w:vertAlign w:val="superscript"/>
                <w:lang w:eastAsia="lt-LT"/>
              </w:rPr>
              <w:t>9</w:t>
            </w:r>
            <w:r w:rsidRPr="003521A5">
              <w:rPr>
                <w:color w:val="000000"/>
                <w:lang w:eastAsia="lt-LT"/>
              </w:rPr>
              <w:t>/L</w:t>
            </w:r>
          </w:p>
          <w:p w14:paraId="6B565D21" w14:textId="77777777" w:rsidR="0018542C" w:rsidRDefault="0018542C" w:rsidP="0018542C">
            <w:pPr>
              <w:ind w:left="144"/>
              <w:rPr>
                <w:color w:val="000000"/>
                <w:lang w:eastAsia="lt-LT"/>
              </w:rPr>
            </w:pPr>
            <w:r w:rsidRPr="003521A5">
              <w:rPr>
                <w:color w:val="000000"/>
                <w:lang w:eastAsia="lt-LT"/>
              </w:rPr>
              <w:lastRenderedPageBreak/>
              <w:t>RBC 0 – 8 x 10</w:t>
            </w:r>
            <w:r w:rsidRPr="003521A5">
              <w:rPr>
                <w:color w:val="000000"/>
                <w:vertAlign w:val="superscript"/>
                <w:lang w:eastAsia="lt-LT"/>
              </w:rPr>
              <w:t>12</w:t>
            </w:r>
            <w:r w:rsidRPr="003521A5">
              <w:rPr>
                <w:color w:val="000000"/>
                <w:lang w:eastAsia="lt-LT"/>
              </w:rPr>
              <w:t xml:space="preserve">/L </w:t>
            </w:r>
          </w:p>
          <w:p w14:paraId="56A52E2C" w14:textId="77777777" w:rsidR="0018542C" w:rsidRDefault="0018542C" w:rsidP="0018542C">
            <w:pPr>
              <w:ind w:left="144"/>
              <w:rPr>
                <w:color w:val="000000"/>
                <w:lang w:eastAsia="lt-LT"/>
              </w:rPr>
            </w:pPr>
            <w:proofErr w:type="spellStart"/>
            <w:r w:rsidRPr="003521A5">
              <w:rPr>
                <w:color w:val="000000"/>
                <w:lang w:eastAsia="lt-LT"/>
              </w:rPr>
              <w:t>Hgb</w:t>
            </w:r>
            <w:proofErr w:type="spellEnd"/>
            <w:r w:rsidRPr="003521A5">
              <w:rPr>
                <w:color w:val="000000"/>
                <w:lang w:eastAsia="lt-LT"/>
              </w:rPr>
              <w:t xml:space="preserve"> 0 – 240 g/L</w:t>
            </w:r>
          </w:p>
          <w:p w14:paraId="425D8BFE" w14:textId="2BBF9610" w:rsidR="0018542C" w:rsidRPr="0078289C" w:rsidRDefault="0018542C" w:rsidP="0018542C">
            <w:pPr>
              <w:ind w:left="144"/>
              <w:rPr>
                <w:color w:val="000000"/>
                <w:lang w:eastAsia="lt-LT"/>
              </w:rPr>
            </w:pPr>
            <w:r w:rsidRPr="003521A5">
              <w:rPr>
                <w:color w:val="000000"/>
                <w:lang w:eastAsia="lt-LT"/>
              </w:rPr>
              <w:t>PLT 0</w:t>
            </w:r>
            <w:r>
              <w:rPr>
                <w:color w:val="000000"/>
                <w:lang w:eastAsia="lt-LT"/>
              </w:rPr>
              <w:t xml:space="preserve"> </w:t>
            </w:r>
            <w:r w:rsidRPr="003521A5">
              <w:rPr>
                <w:color w:val="000000"/>
                <w:lang w:eastAsia="lt-LT"/>
              </w:rPr>
              <w:t>–</w:t>
            </w:r>
            <w:r>
              <w:rPr>
                <w:color w:val="000000"/>
                <w:lang w:eastAsia="lt-LT"/>
              </w:rPr>
              <w:t xml:space="preserve"> </w:t>
            </w:r>
            <w:r w:rsidRPr="003521A5">
              <w:rPr>
                <w:color w:val="000000"/>
                <w:lang w:eastAsia="lt-LT"/>
              </w:rPr>
              <w:t>2000 x 10</w:t>
            </w:r>
            <w:r w:rsidRPr="003521A5">
              <w:rPr>
                <w:color w:val="000000"/>
                <w:vertAlign w:val="superscript"/>
                <w:lang w:eastAsia="lt-LT"/>
              </w:rPr>
              <w:t>9</w:t>
            </w:r>
            <w:r w:rsidRPr="003521A5">
              <w:rPr>
                <w:color w:val="000000"/>
                <w:lang w:eastAsia="lt-LT"/>
              </w:rPr>
              <w:t>/L</w:t>
            </w:r>
          </w:p>
        </w:tc>
        <w:tc>
          <w:tcPr>
            <w:tcW w:w="3116" w:type="dxa"/>
          </w:tcPr>
          <w:p w14:paraId="347FDDC3" w14:textId="77777777" w:rsidR="0018542C" w:rsidRDefault="0018542C" w:rsidP="0018542C">
            <w:pPr>
              <w:ind w:left="144"/>
              <w:rPr>
                <w:i/>
                <w:iCs/>
                <w:color w:val="000000"/>
                <w:lang w:eastAsia="lt-LT"/>
              </w:rPr>
            </w:pPr>
            <w:r w:rsidRPr="00FC233D">
              <w:rPr>
                <w:i/>
                <w:iCs/>
                <w:color w:val="000000"/>
                <w:lang w:eastAsia="lt-LT"/>
              </w:rPr>
              <w:lastRenderedPageBreak/>
              <w:t xml:space="preserve">Apatinė matavimo riba yra mažiausia dalelių koncentracija, kurią įranga gali aptikti (angl. </w:t>
            </w:r>
            <w:proofErr w:type="spellStart"/>
            <w:r w:rsidRPr="00FC233D">
              <w:rPr>
                <w:i/>
                <w:iCs/>
                <w:color w:val="000000"/>
                <w:lang w:eastAsia="lt-LT"/>
              </w:rPr>
              <w:lastRenderedPageBreak/>
              <w:t>LoA</w:t>
            </w:r>
            <w:proofErr w:type="spellEnd"/>
            <w:r w:rsidRPr="00FC233D">
              <w:rPr>
                <w:i/>
                <w:iCs/>
                <w:color w:val="000000"/>
                <w:lang w:eastAsia="lt-LT"/>
              </w:rPr>
              <w:t xml:space="preserve">) Todėl teigti, kad ji turėtų būti lygi nuliui yra klaidinga. Siūlome apatinę matavimo ribą keisti atitinkamai: </w:t>
            </w:r>
          </w:p>
          <w:p w14:paraId="37F6E769" w14:textId="77777777" w:rsidR="0018542C" w:rsidRDefault="0018542C" w:rsidP="0018542C">
            <w:pPr>
              <w:ind w:left="144"/>
              <w:rPr>
                <w:i/>
                <w:iCs/>
                <w:color w:val="000000"/>
                <w:lang w:eastAsia="lt-LT"/>
              </w:rPr>
            </w:pPr>
            <w:r w:rsidRPr="00FC233D">
              <w:rPr>
                <w:i/>
                <w:iCs/>
                <w:color w:val="000000"/>
                <w:lang w:eastAsia="lt-LT"/>
              </w:rPr>
              <w:t>WBC 0,2 x10</w:t>
            </w:r>
            <w:r w:rsidRPr="00FC233D">
              <w:rPr>
                <w:i/>
                <w:iCs/>
                <w:color w:val="000000"/>
                <w:vertAlign w:val="superscript"/>
                <w:lang w:eastAsia="lt-LT"/>
              </w:rPr>
              <w:t>9</w:t>
            </w:r>
            <w:r w:rsidRPr="00FC233D">
              <w:rPr>
                <w:i/>
                <w:iCs/>
                <w:color w:val="000000"/>
                <w:lang w:eastAsia="lt-LT"/>
              </w:rPr>
              <w:t xml:space="preserve">/L </w:t>
            </w:r>
          </w:p>
          <w:p w14:paraId="464CA761" w14:textId="77777777" w:rsidR="0018542C" w:rsidRDefault="0018542C" w:rsidP="0018542C">
            <w:pPr>
              <w:ind w:left="144"/>
              <w:rPr>
                <w:i/>
                <w:iCs/>
                <w:color w:val="000000"/>
                <w:lang w:eastAsia="lt-LT"/>
              </w:rPr>
            </w:pPr>
            <w:r w:rsidRPr="00FC233D">
              <w:rPr>
                <w:i/>
                <w:iCs/>
                <w:color w:val="000000"/>
                <w:lang w:eastAsia="lt-LT"/>
              </w:rPr>
              <w:t>RBC 0,03 x 10</w:t>
            </w:r>
            <w:r w:rsidRPr="00FC233D">
              <w:rPr>
                <w:i/>
                <w:iCs/>
                <w:color w:val="000000"/>
                <w:vertAlign w:val="superscript"/>
                <w:lang w:eastAsia="lt-LT"/>
              </w:rPr>
              <w:t>12</w:t>
            </w:r>
            <w:r w:rsidRPr="00FC233D">
              <w:rPr>
                <w:i/>
                <w:iCs/>
                <w:color w:val="000000"/>
                <w:lang w:eastAsia="lt-LT"/>
              </w:rPr>
              <w:t xml:space="preserve">/L </w:t>
            </w:r>
          </w:p>
          <w:p w14:paraId="6A062637" w14:textId="77777777" w:rsidR="0018542C" w:rsidRDefault="0018542C" w:rsidP="0018542C">
            <w:pPr>
              <w:ind w:left="144"/>
              <w:rPr>
                <w:i/>
                <w:iCs/>
                <w:color w:val="000000"/>
                <w:lang w:eastAsia="lt-LT"/>
              </w:rPr>
            </w:pPr>
            <w:proofErr w:type="spellStart"/>
            <w:r w:rsidRPr="00FC233D">
              <w:rPr>
                <w:i/>
                <w:iCs/>
                <w:color w:val="000000"/>
                <w:lang w:eastAsia="lt-LT"/>
              </w:rPr>
              <w:t>Hgb</w:t>
            </w:r>
            <w:proofErr w:type="spellEnd"/>
            <w:r w:rsidRPr="00FC233D">
              <w:rPr>
                <w:i/>
                <w:iCs/>
                <w:color w:val="000000"/>
                <w:lang w:eastAsia="lt-LT"/>
              </w:rPr>
              <w:t xml:space="preserve"> 0,1 g/L </w:t>
            </w:r>
          </w:p>
          <w:p w14:paraId="3ACA654B" w14:textId="77777777" w:rsidR="0018542C" w:rsidRDefault="0018542C" w:rsidP="0018542C">
            <w:pPr>
              <w:ind w:left="144"/>
              <w:rPr>
                <w:i/>
                <w:iCs/>
                <w:color w:val="000000"/>
                <w:lang w:eastAsia="lt-LT"/>
              </w:rPr>
            </w:pPr>
            <w:r w:rsidRPr="00FC233D">
              <w:rPr>
                <w:i/>
                <w:iCs/>
                <w:color w:val="000000"/>
                <w:lang w:eastAsia="lt-LT"/>
              </w:rPr>
              <w:t>PLT 10 x 10</w:t>
            </w:r>
            <w:r w:rsidRPr="00FC233D">
              <w:rPr>
                <w:i/>
                <w:iCs/>
                <w:color w:val="000000"/>
                <w:vertAlign w:val="superscript"/>
                <w:lang w:eastAsia="lt-LT"/>
              </w:rPr>
              <w:t>9</w:t>
            </w:r>
            <w:r w:rsidRPr="00FC233D">
              <w:rPr>
                <w:i/>
                <w:iCs/>
                <w:color w:val="000000"/>
                <w:lang w:eastAsia="lt-LT"/>
              </w:rPr>
              <w:t xml:space="preserve">/L </w:t>
            </w:r>
          </w:p>
          <w:p w14:paraId="19D062D2" w14:textId="08F504EB" w:rsidR="0018542C" w:rsidRPr="0078289C" w:rsidRDefault="0018542C" w:rsidP="0018542C">
            <w:pPr>
              <w:ind w:left="144"/>
              <w:rPr>
                <w:i/>
                <w:iCs/>
                <w:color w:val="000000"/>
                <w:lang w:eastAsia="lt-LT"/>
              </w:rPr>
            </w:pPr>
            <w:r w:rsidRPr="00FC233D">
              <w:rPr>
                <w:i/>
                <w:iCs/>
                <w:color w:val="000000"/>
                <w:lang w:eastAsia="lt-LT"/>
              </w:rPr>
              <w:t>O WBC viršutinę matavimo ribą sumažinti iki 100 x10</w:t>
            </w:r>
            <w:r w:rsidRPr="00FC233D">
              <w:rPr>
                <w:i/>
                <w:iCs/>
                <w:color w:val="000000"/>
                <w:vertAlign w:val="superscript"/>
                <w:lang w:eastAsia="lt-LT"/>
              </w:rPr>
              <w:t>9</w:t>
            </w:r>
            <w:r w:rsidRPr="00FC233D">
              <w:rPr>
                <w:i/>
                <w:iCs/>
                <w:color w:val="000000"/>
                <w:lang w:eastAsia="lt-LT"/>
              </w:rPr>
              <w:t xml:space="preserve">/L, nes didelių patologijų atveju, </w:t>
            </w:r>
            <w:proofErr w:type="spellStart"/>
            <w:r w:rsidRPr="00FC233D">
              <w:rPr>
                <w:i/>
                <w:iCs/>
                <w:color w:val="000000"/>
                <w:lang w:eastAsia="lt-LT"/>
              </w:rPr>
              <w:t>t.y</w:t>
            </w:r>
            <w:proofErr w:type="spellEnd"/>
            <w:r w:rsidRPr="00FC233D">
              <w:rPr>
                <w:i/>
                <w:iCs/>
                <w:color w:val="000000"/>
                <w:lang w:eastAsia="lt-LT"/>
              </w:rPr>
              <w:t>. kai virš WBC yra daugiau kaip 100x10</w:t>
            </w:r>
            <w:r w:rsidRPr="009755EE">
              <w:rPr>
                <w:i/>
                <w:iCs/>
                <w:color w:val="000000"/>
                <w:vertAlign w:val="superscript"/>
                <w:lang w:eastAsia="lt-LT"/>
              </w:rPr>
              <w:t>9</w:t>
            </w:r>
            <w:r w:rsidRPr="00FC233D">
              <w:rPr>
                <w:i/>
                <w:iCs/>
                <w:color w:val="000000"/>
                <w:lang w:eastAsia="lt-LT"/>
              </w:rPr>
              <w:t>/L reikalinga tepinėlio mikroskopija. (viršutinė WBC norma yra iki 10,0x10</w:t>
            </w:r>
            <w:r w:rsidRPr="00F514F9">
              <w:rPr>
                <w:i/>
                <w:iCs/>
                <w:color w:val="000000"/>
                <w:vertAlign w:val="superscript"/>
                <w:lang w:eastAsia="lt-LT"/>
              </w:rPr>
              <w:t>9</w:t>
            </w:r>
            <w:r w:rsidRPr="00FC233D">
              <w:rPr>
                <w:i/>
                <w:iCs/>
                <w:color w:val="000000"/>
                <w:lang w:eastAsia="lt-LT"/>
              </w:rPr>
              <w:t xml:space="preserve">). </w:t>
            </w:r>
          </w:p>
        </w:tc>
        <w:tc>
          <w:tcPr>
            <w:tcW w:w="2552" w:type="dxa"/>
          </w:tcPr>
          <w:p w14:paraId="6A6BDA11" w14:textId="088F450F" w:rsidR="0018542C" w:rsidRDefault="006C4213" w:rsidP="00F30845">
            <w:pPr>
              <w:tabs>
                <w:tab w:val="left" w:pos="473"/>
              </w:tabs>
              <w:ind w:left="47" w:right="138"/>
              <w:jc w:val="both"/>
              <w:rPr>
                <w:bCs/>
                <w:szCs w:val="32"/>
              </w:rPr>
            </w:pPr>
            <w:r>
              <w:rPr>
                <w:bCs/>
                <w:szCs w:val="32"/>
              </w:rPr>
              <w:lastRenderedPageBreak/>
              <w:t>PO</w:t>
            </w:r>
            <w:r w:rsidR="00F30845">
              <w:rPr>
                <w:bCs/>
                <w:szCs w:val="32"/>
              </w:rPr>
              <w:t xml:space="preserve"> </w:t>
            </w:r>
            <w:r>
              <w:rPr>
                <w:bCs/>
                <w:szCs w:val="32"/>
              </w:rPr>
              <w:t>nesutinkame</w:t>
            </w:r>
            <w:r w:rsidR="00713C50">
              <w:rPr>
                <w:bCs/>
                <w:szCs w:val="32"/>
              </w:rPr>
              <w:t xml:space="preserve"> keisti </w:t>
            </w:r>
            <w:r>
              <w:rPr>
                <w:bCs/>
                <w:szCs w:val="32"/>
              </w:rPr>
              <w:t>matavimo ribų</w:t>
            </w:r>
            <w:r w:rsidR="00713C50">
              <w:rPr>
                <w:bCs/>
                <w:szCs w:val="32"/>
              </w:rPr>
              <w:t xml:space="preserve">, nes tyrimas tikslesnis mūsų </w:t>
            </w:r>
            <w:r w:rsidR="00713C50">
              <w:rPr>
                <w:bCs/>
                <w:szCs w:val="32"/>
              </w:rPr>
              <w:lastRenderedPageBreak/>
              <w:t>nurodytų ribų skalėje.</w:t>
            </w:r>
          </w:p>
        </w:tc>
      </w:tr>
      <w:tr w:rsidR="007037E5" w14:paraId="26844EDB" w14:textId="77777777" w:rsidTr="00F21CCC">
        <w:trPr>
          <w:trHeight w:val="2816"/>
        </w:trPr>
        <w:tc>
          <w:tcPr>
            <w:tcW w:w="1293" w:type="dxa"/>
          </w:tcPr>
          <w:p w14:paraId="0A01D2B0" w14:textId="451CECC4" w:rsidR="007037E5" w:rsidRDefault="007037E5" w:rsidP="0018542C">
            <w:pPr>
              <w:pStyle w:val="TableParagraph"/>
              <w:spacing w:line="252" w:lineRule="exact"/>
              <w:ind w:left="164" w:right="117" w:hanging="2"/>
              <w:jc w:val="center"/>
            </w:pPr>
            <w:r>
              <w:lastRenderedPageBreak/>
              <w:t>18.</w:t>
            </w:r>
          </w:p>
        </w:tc>
        <w:tc>
          <w:tcPr>
            <w:tcW w:w="2979" w:type="dxa"/>
          </w:tcPr>
          <w:p w14:paraId="750E473A" w14:textId="77777777" w:rsidR="007037E5" w:rsidRDefault="007037E5" w:rsidP="0018542C">
            <w:pPr>
              <w:ind w:left="144"/>
              <w:rPr>
                <w:color w:val="000000"/>
                <w:lang w:eastAsia="lt-LT"/>
              </w:rPr>
            </w:pPr>
            <w:r w:rsidRPr="007037E5">
              <w:rPr>
                <w:color w:val="000000"/>
                <w:lang w:eastAsia="lt-LT"/>
              </w:rPr>
              <w:t>Analizatoriaus jungtys ir komunikacija</w:t>
            </w:r>
            <w:r>
              <w:rPr>
                <w:color w:val="000000"/>
                <w:lang w:eastAsia="lt-LT"/>
              </w:rPr>
              <w:t xml:space="preserve">: </w:t>
            </w:r>
          </w:p>
          <w:p w14:paraId="02FC728C" w14:textId="427DF434" w:rsidR="007037E5" w:rsidRPr="003A65E8" w:rsidRDefault="007037E5" w:rsidP="0018542C">
            <w:pPr>
              <w:ind w:left="144"/>
              <w:rPr>
                <w:color w:val="000000"/>
                <w:lang w:eastAsia="lt-LT"/>
              </w:rPr>
            </w:pPr>
            <w:r w:rsidRPr="007037E5">
              <w:rPr>
                <w:color w:val="000000"/>
                <w:lang w:eastAsia="lt-LT"/>
              </w:rPr>
              <w:t xml:space="preserve">Siūlomas analizatorius ir programinė įranga būtų suderinami ir integruojami į LIS (OPEN LIMS.) laboratorijos informacinę sistemą. Sistema turi palaikyti ASTM arba HL7, USB.,RS232, </w:t>
            </w:r>
            <w:proofErr w:type="spellStart"/>
            <w:r w:rsidRPr="007037E5">
              <w:rPr>
                <w:color w:val="000000"/>
                <w:lang w:eastAsia="lt-LT"/>
              </w:rPr>
              <w:t>Ethernet</w:t>
            </w:r>
            <w:proofErr w:type="spellEnd"/>
            <w:r w:rsidRPr="007037E5">
              <w:rPr>
                <w:color w:val="000000"/>
                <w:lang w:eastAsia="lt-LT"/>
              </w:rPr>
              <w:t>  </w:t>
            </w:r>
          </w:p>
        </w:tc>
        <w:tc>
          <w:tcPr>
            <w:tcW w:w="3116" w:type="dxa"/>
          </w:tcPr>
          <w:p w14:paraId="7DC1C3E7" w14:textId="17FEDE56" w:rsidR="007037E5" w:rsidRPr="007037E5" w:rsidRDefault="007037E5" w:rsidP="007037E5">
            <w:pPr>
              <w:ind w:left="144"/>
              <w:rPr>
                <w:i/>
                <w:iCs/>
                <w:color w:val="000000"/>
                <w:lang w:eastAsia="lt-LT"/>
              </w:rPr>
            </w:pPr>
            <w:r>
              <w:rPr>
                <w:i/>
                <w:iCs/>
                <w:color w:val="000000"/>
                <w:lang w:eastAsia="lt-LT"/>
              </w:rPr>
              <w:t>P</w:t>
            </w:r>
            <w:r w:rsidRPr="007037E5">
              <w:rPr>
                <w:i/>
                <w:iCs/>
                <w:color w:val="000000"/>
                <w:lang w:eastAsia="lt-LT"/>
              </w:rPr>
              <w:t>rašome Perkančiosios organizacijos, pakeisti punktą nr.18 sekančiai: “ Siūlomas analizatorius ir</w:t>
            </w:r>
            <w:r>
              <w:rPr>
                <w:i/>
                <w:iCs/>
                <w:color w:val="000000"/>
                <w:lang w:eastAsia="lt-LT"/>
              </w:rPr>
              <w:t xml:space="preserve"> </w:t>
            </w:r>
            <w:r w:rsidRPr="007037E5">
              <w:rPr>
                <w:i/>
                <w:iCs/>
                <w:color w:val="000000"/>
                <w:lang w:eastAsia="lt-LT"/>
              </w:rPr>
              <w:t xml:space="preserve">programinė įranga būtų suderinami ir integruojami į LIS (OPEN LIMS.) laboratorijos </w:t>
            </w:r>
            <w:r>
              <w:rPr>
                <w:i/>
                <w:iCs/>
                <w:color w:val="000000"/>
                <w:lang w:eastAsia="lt-LT"/>
              </w:rPr>
              <w:t>i</w:t>
            </w:r>
            <w:r w:rsidRPr="007037E5">
              <w:rPr>
                <w:i/>
                <w:iCs/>
                <w:color w:val="000000"/>
                <w:lang w:eastAsia="lt-LT"/>
              </w:rPr>
              <w:t>nformacinę sistemą.</w:t>
            </w:r>
          </w:p>
          <w:p w14:paraId="0D8572A7" w14:textId="27A44483" w:rsidR="007037E5" w:rsidRPr="007037E5" w:rsidRDefault="007037E5" w:rsidP="007037E5">
            <w:pPr>
              <w:ind w:left="144"/>
              <w:rPr>
                <w:i/>
                <w:iCs/>
                <w:color w:val="000000"/>
                <w:lang w:eastAsia="lt-LT"/>
              </w:rPr>
            </w:pPr>
            <w:r w:rsidRPr="007037E5">
              <w:rPr>
                <w:i/>
                <w:iCs/>
                <w:color w:val="000000"/>
                <w:lang w:eastAsia="lt-LT"/>
              </w:rPr>
              <w:t>Sistema turi palaikyti ASTM arba HL7, USB.,</w:t>
            </w:r>
            <w:r>
              <w:rPr>
                <w:i/>
                <w:iCs/>
                <w:color w:val="000000"/>
                <w:lang w:eastAsia="lt-LT"/>
              </w:rPr>
              <w:t xml:space="preserve"> </w:t>
            </w:r>
            <w:r w:rsidRPr="007037E5">
              <w:rPr>
                <w:i/>
                <w:iCs/>
                <w:color w:val="000000"/>
                <w:lang w:eastAsia="lt-LT"/>
              </w:rPr>
              <w:t xml:space="preserve">RS232 arba </w:t>
            </w:r>
            <w:proofErr w:type="spellStart"/>
            <w:r w:rsidRPr="007037E5">
              <w:rPr>
                <w:i/>
                <w:iCs/>
                <w:color w:val="000000"/>
                <w:lang w:eastAsia="lt-LT"/>
              </w:rPr>
              <w:t>Ethernet</w:t>
            </w:r>
            <w:proofErr w:type="spellEnd"/>
            <w:r w:rsidRPr="007037E5">
              <w:rPr>
                <w:i/>
                <w:iCs/>
                <w:color w:val="000000"/>
                <w:lang w:eastAsia="lt-LT"/>
              </w:rPr>
              <w:t>”.</w:t>
            </w:r>
          </w:p>
          <w:p w14:paraId="29C318B6" w14:textId="0B5FCA67" w:rsidR="007037E5" w:rsidRPr="00F0792E" w:rsidRDefault="007037E5" w:rsidP="0018542C">
            <w:pPr>
              <w:ind w:left="144"/>
              <w:rPr>
                <w:i/>
                <w:iCs/>
                <w:color w:val="000000"/>
                <w:lang w:eastAsia="lt-LT"/>
              </w:rPr>
            </w:pPr>
          </w:p>
        </w:tc>
        <w:tc>
          <w:tcPr>
            <w:tcW w:w="2552" w:type="dxa"/>
          </w:tcPr>
          <w:p w14:paraId="5360BFFE" w14:textId="08930D64" w:rsidR="007037E5" w:rsidRDefault="0029338C" w:rsidP="00F30845">
            <w:pPr>
              <w:tabs>
                <w:tab w:val="left" w:pos="473"/>
              </w:tabs>
              <w:ind w:left="47" w:right="138"/>
              <w:jc w:val="both"/>
              <w:rPr>
                <w:bCs/>
                <w:szCs w:val="32"/>
              </w:rPr>
            </w:pPr>
            <w:r>
              <w:rPr>
                <w:bCs/>
                <w:szCs w:val="32"/>
              </w:rPr>
              <w:t xml:space="preserve">PO </w:t>
            </w:r>
            <w:r w:rsidR="00F30845">
              <w:rPr>
                <w:bCs/>
                <w:szCs w:val="32"/>
              </w:rPr>
              <w:t>s</w:t>
            </w:r>
            <w:r>
              <w:rPr>
                <w:bCs/>
                <w:szCs w:val="32"/>
              </w:rPr>
              <w:t>utinka pakeisti punktą nr.1</w:t>
            </w:r>
            <w:r w:rsidR="00F30845">
              <w:rPr>
                <w:bCs/>
                <w:szCs w:val="32"/>
              </w:rPr>
              <w:t xml:space="preserve"> </w:t>
            </w:r>
            <w:r>
              <w:rPr>
                <w:bCs/>
                <w:szCs w:val="32"/>
              </w:rPr>
              <w:t>8sekančiai:</w:t>
            </w:r>
          </w:p>
          <w:p w14:paraId="3C97CC45" w14:textId="6EECFEF5" w:rsidR="0029338C" w:rsidRDefault="006C4213" w:rsidP="00F30845">
            <w:pPr>
              <w:tabs>
                <w:tab w:val="left" w:pos="473"/>
              </w:tabs>
              <w:ind w:left="47" w:right="138"/>
              <w:jc w:val="both"/>
              <w:rPr>
                <w:bCs/>
                <w:szCs w:val="32"/>
              </w:rPr>
            </w:pPr>
            <w:r>
              <w:rPr>
                <w:color w:val="000000"/>
                <w:lang w:eastAsia="lt-LT"/>
              </w:rPr>
              <w:t>„</w:t>
            </w:r>
            <w:r w:rsidR="0029338C" w:rsidRPr="007037E5">
              <w:rPr>
                <w:color w:val="000000"/>
                <w:lang w:eastAsia="lt-LT"/>
              </w:rPr>
              <w:t>Siūlomas analizatorius ir programinė įranga būtų suderinami ir integruojami į LIS (OPEN LIMS.) laboratorijos informacinę sistemą. Sistema turi palaikyti ASTM arba HL7, USB.,RS232</w:t>
            </w:r>
            <w:r w:rsidR="0029338C">
              <w:rPr>
                <w:color w:val="000000"/>
                <w:lang w:eastAsia="lt-LT"/>
              </w:rPr>
              <w:t xml:space="preserve"> arba</w:t>
            </w:r>
            <w:r w:rsidR="0029338C" w:rsidRPr="007037E5">
              <w:rPr>
                <w:color w:val="000000"/>
                <w:lang w:eastAsia="lt-LT"/>
              </w:rPr>
              <w:t xml:space="preserve"> </w:t>
            </w:r>
            <w:proofErr w:type="spellStart"/>
            <w:r w:rsidR="0029338C" w:rsidRPr="007037E5">
              <w:rPr>
                <w:color w:val="000000"/>
                <w:lang w:eastAsia="lt-LT"/>
              </w:rPr>
              <w:t>Ethernet</w:t>
            </w:r>
            <w:proofErr w:type="spellEnd"/>
            <w:r>
              <w:rPr>
                <w:color w:val="000000"/>
                <w:lang w:eastAsia="lt-LT"/>
              </w:rPr>
              <w:t>“</w:t>
            </w:r>
            <w:r w:rsidR="0029338C" w:rsidRPr="007037E5">
              <w:rPr>
                <w:color w:val="000000"/>
                <w:lang w:eastAsia="lt-LT"/>
              </w:rPr>
              <w:t>  </w:t>
            </w:r>
          </w:p>
        </w:tc>
      </w:tr>
      <w:tr w:rsidR="0018542C" w14:paraId="5CA18001" w14:textId="77777777" w:rsidTr="001F54A2">
        <w:trPr>
          <w:trHeight w:val="249"/>
        </w:trPr>
        <w:tc>
          <w:tcPr>
            <w:tcW w:w="9940" w:type="dxa"/>
            <w:gridSpan w:val="4"/>
            <w:tcBorders>
              <w:top w:val="single" w:sz="8" w:space="0" w:color="000000"/>
            </w:tcBorders>
          </w:tcPr>
          <w:p w14:paraId="694A2605" w14:textId="77777777" w:rsidR="0018542C" w:rsidRDefault="0018542C" w:rsidP="0018542C">
            <w:pPr>
              <w:pStyle w:val="TableParagraph"/>
              <w:spacing w:line="229" w:lineRule="exact"/>
              <w:ind w:left="1623" w:right="1646"/>
              <w:jc w:val="center"/>
              <w:rPr>
                <w:b/>
              </w:rPr>
            </w:pPr>
            <w:r>
              <w:rPr>
                <w:b/>
              </w:rPr>
              <w:t>APIBENDRINIMAI, IŠVADOS IR SIŪLYMAI</w:t>
            </w:r>
          </w:p>
        </w:tc>
      </w:tr>
      <w:tr w:rsidR="0018542C" w14:paraId="3DA953C8" w14:textId="77777777" w:rsidTr="001F54A2">
        <w:trPr>
          <w:trHeight w:val="757"/>
        </w:trPr>
        <w:tc>
          <w:tcPr>
            <w:tcW w:w="9940" w:type="dxa"/>
            <w:gridSpan w:val="4"/>
          </w:tcPr>
          <w:p w14:paraId="57D2663F" w14:textId="037E21C1" w:rsidR="0018542C" w:rsidRPr="00F30845" w:rsidRDefault="0018542C" w:rsidP="0018542C">
            <w:pPr>
              <w:pStyle w:val="TableParagraph"/>
              <w:ind w:left="362" w:right="394" w:firstLine="4"/>
              <w:jc w:val="center"/>
            </w:pPr>
            <w:r w:rsidRPr="00F30845">
              <w:t>Rinkos dalyvių konsultacijoje sudalyvavo 3 dalyviai, kurie turėjo pastabų ir siūlymų techninės specifikacijos projektui, kuriuos perkančioji organizacija išnagrinėjo bei įvertino. Vykdydama pirkimą perkančioji organizacija atsižvelgs į kai kuriuos 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0F7C4D56"/>
    <w:multiLevelType w:val="hybridMultilevel"/>
    <w:tmpl w:val="746E2CA2"/>
    <w:lvl w:ilvl="0" w:tplc="9CB20768">
      <w:start w:val="1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337A21"/>
    <w:multiLevelType w:val="hybridMultilevel"/>
    <w:tmpl w:val="8A80B594"/>
    <w:lvl w:ilvl="0" w:tplc="2080264C">
      <w:start w:val="11"/>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236C1777"/>
    <w:multiLevelType w:val="hybridMultilevel"/>
    <w:tmpl w:val="323A35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5A21C9"/>
    <w:multiLevelType w:val="hybridMultilevel"/>
    <w:tmpl w:val="ADDE9328"/>
    <w:lvl w:ilvl="0" w:tplc="982420AC">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6"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7" w15:restartNumberingAfterBreak="0">
    <w:nsid w:val="6D7F6607"/>
    <w:multiLevelType w:val="hybridMultilevel"/>
    <w:tmpl w:val="323A35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0348764">
    <w:abstractNumId w:val="0"/>
  </w:num>
  <w:num w:numId="2" w16cid:durableId="920480014">
    <w:abstractNumId w:val="6"/>
  </w:num>
  <w:num w:numId="3" w16cid:durableId="938873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043618">
    <w:abstractNumId w:val="1"/>
  </w:num>
  <w:num w:numId="5" w16cid:durableId="863522023">
    <w:abstractNumId w:val="2"/>
  </w:num>
  <w:num w:numId="6" w16cid:durableId="516309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15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986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11BC"/>
    <w:rsid w:val="0000383F"/>
    <w:rsid w:val="000147B2"/>
    <w:rsid w:val="0001602D"/>
    <w:rsid w:val="00016585"/>
    <w:rsid w:val="0002305E"/>
    <w:rsid w:val="00023CBF"/>
    <w:rsid w:val="000370B3"/>
    <w:rsid w:val="00037911"/>
    <w:rsid w:val="0004016C"/>
    <w:rsid w:val="00055308"/>
    <w:rsid w:val="00066852"/>
    <w:rsid w:val="000A363A"/>
    <w:rsid w:val="000B6445"/>
    <w:rsid w:val="000E1B66"/>
    <w:rsid w:val="0010244C"/>
    <w:rsid w:val="0010688B"/>
    <w:rsid w:val="001105E2"/>
    <w:rsid w:val="00115CB6"/>
    <w:rsid w:val="00126B7B"/>
    <w:rsid w:val="00135353"/>
    <w:rsid w:val="00164507"/>
    <w:rsid w:val="0018542C"/>
    <w:rsid w:val="00192344"/>
    <w:rsid w:val="001A5C92"/>
    <w:rsid w:val="001B40F2"/>
    <w:rsid w:val="001C0140"/>
    <w:rsid w:val="001C24D4"/>
    <w:rsid w:val="001E49C3"/>
    <w:rsid w:val="001E6029"/>
    <w:rsid w:val="001F54A2"/>
    <w:rsid w:val="0021180F"/>
    <w:rsid w:val="0025196E"/>
    <w:rsid w:val="00262B4A"/>
    <w:rsid w:val="00274254"/>
    <w:rsid w:val="00276502"/>
    <w:rsid w:val="0028393F"/>
    <w:rsid w:val="00287F62"/>
    <w:rsid w:val="0029338C"/>
    <w:rsid w:val="002A0091"/>
    <w:rsid w:val="002A7785"/>
    <w:rsid w:val="002B0EAA"/>
    <w:rsid w:val="002C364C"/>
    <w:rsid w:val="002D16C6"/>
    <w:rsid w:val="002D59B2"/>
    <w:rsid w:val="002F7CFE"/>
    <w:rsid w:val="00310AE5"/>
    <w:rsid w:val="00316CD9"/>
    <w:rsid w:val="00326691"/>
    <w:rsid w:val="00343993"/>
    <w:rsid w:val="003521A5"/>
    <w:rsid w:val="0036402E"/>
    <w:rsid w:val="00375741"/>
    <w:rsid w:val="00383C45"/>
    <w:rsid w:val="003925E5"/>
    <w:rsid w:val="003948FB"/>
    <w:rsid w:val="003A399C"/>
    <w:rsid w:val="003B05B7"/>
    <w:rsid w:val="003C23EA"/>
    <w:rsid w:val="003C7524"/>
    <w:rsid w:val="003D1731"/>
    <w:rsid w:val="003D48FF"/>
    <w:rsid w:val="003D732B"/>
    <w:rsid w:val="004013E7"/>
    <w:rsid w:val="00405004"/>
    <w:rsid w:val="00424115"/>
    <w:rsid w:val="004262C0"/>
    <w:rsid w:val="004305E4"/>
    <w:rsid w:val="004313C0"/>
    <w:rsid w:val="00436335"/>
    <w:rsid w:val="004469AB"/>
    <w:rsid w:val="0045504F"/>
    <w:rsid w:val="00461B1B"/>
    <w:rsid w:val="00470128"/>
    <w:rsid w:val="00472F1C"/>
    <w:rsid w:val="004B1992"/>
    <w:rsid w:val="004C0531"/>
    <w:rsid w:val="004C423C"/>
    <w:rsid w:val="004E06AD"/>
    <w:rsid w:val="004E441E"/>
    <w:rsid w:val="004F5CB3"/>
    <w:rsid w:val="00513B4B"/>
    <w:rsid w:val="00530994"/>
    <w:rsid w:val="00535FAE"/>
    <w:rsid w:val="00555073"/>
    <w:rsid w:val="005570AB"/>
    <w:rsid w:val="00564A73"/>
    <w:rsid w:val="00567A0F"/>
    <w:rsid w:val="00577B98"/>
    <w:rsid w:val="00581D0B"/>
    <w:rsid w:val="00585BD7"/>
    <w:rsid w:val="005923C6"/>
    <w:rsid w:val="005933A6"/>
    <w:rsid w:val="005C470C"/>
    <w:rsid w:val="005C5FE8"/>
    <w:rsid w:val="005D09D4"/>
    <w:rsid w:val="005E6455"/>
    <w:rsid w:val="005F21F6"/>
    <w:rsid w:val="005F22B5"/>
    <w:rsid w:val="006155C9"/>
    <w:rsid w:val="00634ED3"/>
    <w:rsid w:val="00644DA9"/>
    <w:rsid w:val="006556CD"/>
    <w:rsid w:val="00661750"/>
    <w:rsid w:val="00696B14"/>
    <w:rsid w:val="006A0CB6"/>
    <w:rsid w:val="006B015A"/>
    <w:rsid w:val="006B0DB8"/>
    <w:rsid w:val="006B59D5"/>
    <w:rsid w:val="006C4213"/>
    <w:rsid w:val="00702C8E"/>
    <w:rsid w:val="007037E5"/>
    <w:rsid w:val="00704C49"/>
    <w:rsid w:val="00713C50"/>
    <w:rsid w:val="00725940"/>
    <w:rsid w:val="00727816"/>
    <w:rsid w:val="0073503C"/>
    <w:rsid w:val="007454DF"/>
    <w:rsid w:val="0074735C"/>
    <w:rsid w:val="007526BA"/>
    <w:rsid w:val="00756E32"/>
    <w:rsid w:val="00765E41"/>
    <w:rsid w:val="00770A99"/>
    <w:rsid w:val="00773A86"/>
    <w:rsid w:val="0078289C"/>
    <w:rsid w:val="007906BD"/>
    <w:rsid w:val="007911C0"/>
    <w:rsid w:val="007A36CE"/>
    <w:rsid w:val="007B0467"/>
    <w:rsid w:val="007B68FD"/>
    <w:rsid w:val="007B7160"/>
    <w:rsid w:val="007C213E"/>
    <w:rsid w:val="007F3FB8"/>
    <w:rsid w:val="00801ACE"/>
    <w:rsid w:val="00810208"/>
    <w:rsid w:val="00814297"/>
    <w:rsid w:val="00814F1D"/>
    <w:rsid w:val="00830FBB"/>
    <w:rsid w:val="00844015"/>
    <w:rsid w:val="00844F7F"/>
    <w:rsid w:val="00846A5E"/>
    <w:rsid w:val="0085060F"/>
    <w:rsid w:val="00860D37"/>
    <w:rsid w:val="00867FA3"/>
    <w:rsid w:val="00871543"/>
    <w:rsid w:val="008731D3"/>
    <w:rsid w:val="008754BB"/>
    <w:rsid w:val="00894C84"/>
    <w:rsid w:val="008A1EEB"/>
    <w:rsid w:val="008A5B01"/>
    <w:rsid w:val="008B622A"/>
    <w:rsid w:val="008C2C44"/>
    <w:rsid w:val="008D097F"/>
    <w:rsid w:val="00905D42"/>
    <w:rsid w:val="0092696B"/>
    <w:rsid w:val="00927A39"/>
    <w:rsid w:val="00931D18"/>
    <w:rsid w:val="009755EE"/>
    <w:rsid w:val="00980DA9"/>
    <w:rsid w:val="009930DA"/>
    <w:rsid w:val="00994CBA"/>
    <w:rsid w:val="00996521"/>
    <w:rsid w:val="009C1EAA"/>
    <w:rsid w:val="009C343D"/>
    <w:rsid w:val="009C5B14"/>
    <w:rsid w:val="009C75A9"/>
    <w:rsid w:val="009D24B6"/>
    <w:rsid w:val="009D4A6D"/>
    <w:rsid w:val="009D4CBB"/>
    <w:rsid w:val="00A10F11"/>
    <w:rsid w:val="00A11DE1"/>
    <w:rsid w:val="00A122E4"/>
    <w:rsid w:val="00A145FE"/>
    <w:rsid w:val="00A51013"/>
    <w:rsid w:val="00A57008"/>
    <w:rsid w:val="00A70D71"/>
    <w:rsid w:val="00A72115"/>
    <w:rsid w:val="00A729D4"/>
    <w:rsid w:val="00A90867"/>
    <w:rsid w:val="00AA29FC"/>
    <w:rsid w:val="00AB7F6B"/>
    <w:rsid w:val="00AC3128"/>
    <w:rsid w:val="00AF1BE6"/>
    <w:rsid w:val="00AF23C9"/>
    <w:rsid w:val="00B011A0"/>
    <w:rsid w:val="00B21461"/>
    <w:rsid w:val="00B35BAF"/>
    <w:rsid w:val="00B367FA"/>
    <w:rsid w:val="00B46548"/>
    <w:rsid w:val="00B46E14"/>
    <w:rsid w:val="00B51588"/>
    <w:rsid w:val="00B524AA"/>
    <w:rsid w:val="00B61B48"/>
    <w:rsid w:val="00B64D27"/>
    <w:rsid w:val="00B7091F"/>
    <w:rsid w:val="00B70C2A"/>
    <w:rsid w:val="00B71FAE"/>
    <w:rsid w:val="00B9117A"/>
    <w:rsid w:val="00BA072C"/>
    <w:rsid w:val="00BB782A"/>
    <w:rsid w:val="00BC708F"/>
    <w:rsid w:val="00BD140A"/>
    <w:rsid w:val="00C12E5C"/>
    <w:rsid w:val="00C166DD"/>
    <w:rsid w:val="00C47DD1"/>
    <w:rsid w:val="00C50048"/>
    <w:rsid w:val="00C62395"/>
    <w:rsid w:val="00C63D84"/>
    <w:rsid w:val="00C640E4"/>
    <w:rsid w:val="00C71DA1"/>
    <w:rsid w:val="00C84D0E"/>
    <w:rsid w:val="00CB033C"/>
    <w:rsid w:val="00CB132E"/>
    <w:rsid w:val="00CB355E"/>
    <w:rsid w:val="00CC658D"/>
    <w:rsid w:val="00CE4D8A"/>
    <w:rsid w:val="00D01F5F"/>
    <w:rsid w:val="00D0487F"/>
    <w:rsid w:val="00D13CFD"/>
    <w:rsid w:val="00D14051"/>
    <w:rsid w:val="00D24D42"/>
    <w:rsid w:val="00D32444"/>
    <w:rsid w:val="00D408E4"/>
    <w:rsid w:val="00D4305B"/>
    <w:rsid w:val="00D476F1"/>
    <w:rsid w:val="00D533F4"/>
    <w:rsid w:val="00D53966"/>
    <w:rsid w:val="00D62011"/>
    <w:rsid w:val="00D6476B"/>
    <w:rsid w:val="00D66ECE"/>
    <w:rsid w:val="00D73471"/>
    <w:rsid w:val="00D77139"/>
    <w:rsid w:val="00D82644"/>
    <w:rsid w:val="00D909F6"/>
    <w:rsid w:val="00DA2FAB"/>
    <w:rsid w:val="00DB593F"/>
    <w:rsid w:val="00DB7B13"/>
    <w:rsid w:val="00DC51F0"/>
    <w:rsid w:val="00DD50D4"/>
    <w:rsid w:val="00DD6988"/>
    <w:rsid w:val="00DD7DD9"/>
    <w:rsid w:val="00E06268"/>
    <w:rsid w:val="00E12E30"/>
    <w:rsid w:val="00E24885"/>
    <w:rsid w:val="00E24A50"/>
    <w:rsid w:val="00E32764"/>
    <w:rsid w:val="00E373F7"/>
    <w:rsid w:val="00E42860"/>
    <w:rsid w:val="00E46C94"/>
    <w:rsid w:val="00E568C0"/>
    <w:rsid w:val="00E611AC"/>
    <w:rsid w:val="00E776B6"/>
    <w:rsid w:val="00E97890"/>
    <w:rsid w:val="00EA0EF8"/>
    <w:rsid w:val="00EB3945"/>
    <w:rsid w:val="00EC08E0"/>
    <w:rsid w:val="00EC6DDA"/>
    <w:rsid w:val="00ED2514"/>
    <w:rsid w:val="00F058AE"/>
    <w:rsid w:val="00F0792E"/>
    <w:rsid w:val="00F21CCC"/>
    <w:rsid w:val="00F30845"/>
    <w:rsid w:val="00F456C0"/>
    <w:rsid w:val="00F46CB0"/>
    <w:rsid w:val="00F50E7D"/>
    <w:rsid w:val="00F514F9"/>
    <w:rsid w:val="00F575D5"/>
    <w:rsid w:val="00F6572A"/>
    <w:rsid w:val="00F65860"/>
    <w:rsid w:val="00F81C41"/>
    <w:rsid w:val="00F87E49"/>
    <w:rsid w:val="00F92616"/>
    <w:rsid w:val="00FA0A64"/>
    <w:rsid w:val="00FA14A4"/>
    <w:rsid w:val="00FC233D"/>
    <w:rsid w:val="00FD7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 w:type="character" w:customStyle="1" w:styleId="SraopastraipaDiagrama">
    <w:name w:val="Sąrašo pastraipa Diagrama"/>
    <w:link w:val="Sraopastraipa"/>
    <w:uiPriority w:val="34"/>
    <w:locked/>
    <w:rsid w:val="006556CD"/>
    <w:rPr>
      <w:rFonts w:ascii="Times New Roman" w:eastAsia="Times New Roman" w:hAnsi="Times New Roman" w:cs="Times New Roman"/>
      <w:lang w:val="lt-LT"/>
    </w:rPr>
  </w:style>
  <w:style w:type="paragraph" w:styleId="prastasiniatinklio">
    <w:name w:val="Normal (Web)"/>
    <w:basedOn w:val="prastasis"/>
    <w:uiPriority w:val="99"/>
    <w:unhideWhenUsed/>
    <w:rsid w:val="00513B4B"/>
    <w:pPr>
      <w:widowControl/>
      <w:autoSpaceDE/>
      <w:autoSpaceDN/>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CB03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443967907">
      <w:bodyDiv w:val="1"/>
      <w:marLeft w:val="0"/>
      <w:marRight w:val="0"/>
      <w:marTop w:val="0"/>
      <w:marBottom w:val="0"/>
      <w:divBdr>
        <w:top w:val="none" w:sz="0" w:space="0" w:color="auto"/>
        <w:left w:val="none" w:sz="0" w:space="0" w:color="auto"/>
        <w:bottom w:val="none" w:sz="0" w:space="0" w:color="auto"/>
        <w:right w:val="none" w:sz="0" w:space="0" w:color="auto"/>
      </w:divBdr>
    </w:div>
    <w:div w:id="746654365">
      <w:bodyDiv w:val="1"/>
      <w:marLeft w:val="0"/>
      <w:marRight w:val="0"/>
      <w:marTop w:val="0"/>
      <w:marBottom w:val="0"/>
      <w:divBdr>
        <w:top w:val="none" w:sz="0" w:space="0" w:color="auto"/>
        <w:left w:val="none" w:sz="0" w:space="0" w:color="auto"/>
        <w:bottom w:val="none" w:sz="0" w:space="0" w:color="auto"/>
        <w:right w:val="none" w:sz="0" w:space="0" w:color="auto"/>
      </w:divBdr>
    </w:div>
    <w:div w:id="750734748">
      <w:bodyDiv w:val="1"/>
      <w:marLeft w:val="0"/>
      <w:marRight w:val="0"/>
      <w:marTop w:val="0"/>
      <w:marBottom w:val="0"/>
      <w:divBdr>
        <w:top w:val="none" w:sz="0" w:space="0" w:color="auto"/>
        <w:left w:val="none" w:sz="0" w:space="0" w:color="auto"/>
        <w:bottom w:val="none" w:sz="0" w:space="0" w:color="auto"/>
        <w:right w:val="none" w:sz="0" w:space="0" w:color="auto"/>
      </w:divBdr>
    </w:div>
    <w:div w:id="885483255">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48699156">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316454012">
      <w:bodyDiv w:val="1"/>
      <w:marLeft w:val="0"/>
      <w:marRight w:val="0"/>
      <w:marTop w:val="0"/>
      <w:marBottom w:val="0"/>
      <w:divBdr>
        <w:top w:val="none" w:sz="0" w:space="0" w:color="auto"/>
        <w:left w:val="none" w:sz="0" w:space="0" w:color="auto"/>
        <w:bottom w:val="none" w:sz="0" w:space="0" w:color="auto"/>
        <w:right w:val="none" w:sz="0" w:space="0" w:color="auto"/>
      </w:divBdr>
    </w:div>
    <w:div w:id="1388996167">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551109434">
      <w:bodyDiv w:val="1"/>
      <w:marLeft w:val="0"/>
      <w:marRight w:val="0"/>
      <w:marTop w:val="0"/>
      <w:marBottom w:val="0"/>
      <w:divBdr>
        <w:top w:val="none" w:sz="0" w:space="0" w:color="auto"/>
        <w:left w:val="none" w:sz="0" w:space="0" w:color="auto"/>
        <w:bottom w:val="none" w:sz="0" w:space="0" w:color="auto"/>
        <w:right w:val="none" w:sz="0" w:space="0" w:color="auto"/>
      </w:divBdr>
    </w:div>
    <w:div w:id="1616207802">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1733263050">
      <w:bodyDiv w:val="1"/>
      <w:marLeft w:val="0"/>
      <w:marRight w:val="0"/>
      <w:marTop w:val="0"/>
      <w:marBottom w:val="0"/>
      <w:divBdr>
        <w:top w:val="none" w:sz="0" w:space="0" w:color="auto"/>
        <w:left w:val="none" w:sz="0" w:space="0" w:color="auto"/>
        <w:bottom w:val="none" w:sz="0" w:space="0" w:color="auto"/>
        <w:right w:val="none" w:sz="0" w:space="0" w:color="auto"/>
      </w:divBdr>
    </w:div>
    <w:div w:id="1865824237">
      <w:bodyDiv w:val="1"/>
      <w:marLeft w:val="0"/>
      <w:marRight w:val="0"/>
      <w:marTop w:val="0"/>
      <w:marBottom w:val="0"/>
      <w:divBdr>
        <w:top w:val="none" w:sz="0" w:space="0" w:color="auto"/>
        <w:left w:val="none" w:sz="0" w:space="0" w:color="auto"/>
        <w:bottom w:val="none" w:sz="0" w:space="0" w:color="auto"/>
        <w:right w:val="none" w:sz="0" w:space="0" w:color="auto"/>
      </w:divBdr>
    </w:div>
    <w:div w:id="1929266594">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04701716">
      <w:bodyDiv w:val="1"/>
      <w:marLeft w:val="0"/>
      <w:marRight w:val="0"/>
      <w:marTop w:val="0"/>
      <w:marBottom w:val="0"/>
      <w:divBdr>
        <w:top w:val="none" w:sz="0" w:space="0" w:color="auto"/>
        <w:left w:val="none" w:sz="0" w:space="0" w:color="auto"/>
        <w:bottom w:val="none" w:sz="0" w:space="0" w:color="auto"/>
        <w:right w:val="none" w:sz="0" w:space="0" w:color="auto"/>
      </w:divBdr>
    </w:div>
    <w:div w:id="2028556478">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 w:id="209619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Pages>
  <Words>7077</Words>
  <Characters>4035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102</cp:revision>
  <cp:lastPrinted>2025-03-17T08:58:00Z</cp:lastPrinted>
  <dcterms:created xsi:type="dcterms:W3CDTF">2025-02-14T19:22:00Z</dcterms:created>
  <dcterms:modified xsi:type="dcterms:W3CDTF">2025-03-20T12:05:00Z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