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621BE0B1"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002A3D">
            <w:rPr>
              <w:rFonts w:ascii="Times New Roman" w:eastAsia="Times New Roman" w:hAnsi="Times New Roman" w:cs="Times New Roman"/>
              <w:noProof/>
              <w:sz w:val="24"/>
              <w:szCs w:val="24"/>
            </w:rPr>
            <w:t>3</w:t>
          </w:r>
          <w:r w:rsidR="000F5BE7" w:rsidRPr="00E43092">
            <w:rPr>
              <w:rFonts w:ascii="Times New Roman" w:eastAsia="Times New Roman" w:hAnsi="Times New Roman" w:cs="Times New Roman"/>
              <w:noProof/>
              <w:sz w:val="24"/>
              <w:szCs w:val="24"/>
            </w:rPr>
            <w:t>-</w:t>
          </w:r>
          <w:r w:rsidR="00265FA6">
            <w:rPr>
              <w:rFonts w:ascii="Times New Roman" w:eastAsia="Times New Roman" w:hAnsi="Times New Roman" w:cs="Times New Roman"/>
              <w:noProof/>
              <w:sz w:val="24"/>
              <w:szCs w:val="24"/>
            </w:rPr>
            <w:t>20</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5D6079DF" w:rsidR="00D526C8" w:rsidRPr="00E43092" w:rsidRDefault="005B0ED9"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bookmarkStart w:id="1" w:name="_Hlk193187148"/>
          <w:bookmarkStart w:id="2" w:name="_Hlk193187756"/>
          <w:r w:rsidR="00265FA6">
            <w:rPr>
              <w:rFonts w:ascii="Times New Roman" w:hAnsi="Times New Roman" w:cs="Times New Roman"/>
              <w:b/>
              <w:bCs/>
              <w:sz w:val="24"/>
              <w:szCs w:val="24"/>
            </w:rPr>
            <w:t xml:space="preserve">REAGENTAI </w:t>
          </w:r>
          <w:r w:rsidR="00265FA6" w:rsidRPr="00002A3D">
            <w:rPr>
              <w:rFonts w:ascii="Times New Roman" w:hAnsi="Times New Roman" w:cs="Times New Roman"/>
              <w:b/>
              <w:bCs/>
              <w:sz w:val="24"/>
              <w:szCs w:val="24"/>
            </w:rPr>
            <w:t xml:space="preserve">NGS NAVIKŲ DNR </w:t>
          </w:r>
          <w:bookmarkEnd w:id="1"/>
          <w:r w:rsidR="00265FA6">
            <w:rPr>
              <w:rFonts w:ascii="Times New Roman" w:hAnsi="Times New Roman" w:cs="Times New Roman"/>
              <w:b/>
              <w:bCs/>
              <w:sz w:val="24"/>
              <w:szCs w:val="24"/>
            </w:rPr>
            <w:t xml:space="preserve">IR </w:t>
          </w:r>
          <w:bookmarkStart w:id="3" w:name="_Hlk193187158"/>
          <w:r w:rsidR="00265FA6">
            <w:rPr>
              <w:rFonts w:ascii="Times New Roman" w:hAnsi="Times New Roman" w:cs="Times New Roman"/>
              <w:b/>
              <w:bCs/>
              <w:sz w:val="24"/>
              <w:szCs w:val="24"/>
            </w:rPr>
            <w:t xml:space="preserve">MOLEKULINIO KARIOTIPAVIMO </w:t>
          </w:r>
          <w:r w:rsidR="00265FA6" w:rsidRPr="00002A3D">
            <w:rPr>
              <w:rFonts w:ascii="Times New Roman" w:hAnsi="Times New Roman" w:cs="Times New Roman"/>
              <w:b/>
              <w:bCs/>
              <w:sz w:val="24"/>
              <w:szCs w:val="24"/>
            </w:rPr>
            <w:t>TYRIMA</w:t>
          </w:r>
          <w:r w:rsidR="00265FA6">
            <w:rPr>
              <w:rFonts w:ascii="Times New Roman" w:hAnsi="Times New Roman" w:cs="Times New Roman"/>
              <w:b/>
              <w:bCs/>
              <w:sz w:val="24"/>
              <w:szCs w:val="24"/>
            </w:rPr>
            <w:t>M</w:t>
          </w:r>
          <w:r w:rsidR="00265FA6" w:rsidRPr="00002A3D">
            <w:rPr>
              <w:rFonts w:ascii="Times New Roman" w:hAnsi="Times New Roman" w:cs="Times New Roman"/>
              <w:b/>
              <w:bCs/>
              <w:sz w:val="24"/>
              <w:szCs w:val="24"/>
            </w:rPr>
            <w:t>S</w:t>
          </w:r>
          <w:bookmarkEnd w:id="3"/>
          <w:r w:rsidR="00265FA6">
            <w:rPr>
              <w:rFonts w:ascii="Times New Roman" w:hAnsi="Times New Roman" w:cs="Times New Roman"/>
              <w:b/>
              <w:bCs/>
              <w:sz w:val="24"/>
              <w:szCs w:val="24"/>
            </w:rPr>
            <w:t xml:space="preserve"> SU PRIETAISAIS PANAUDAI</w:t>
          </w:r>
          <w:bookmarkEnd w:id="2"/>
          <w:r w:rsidRPr="00E43092">
            <w:rPr>
              <w:rFonts w:ascii="Times New Roman" w:hAnsi="Times New Roman" w:cs="Times New Roman"/>
              <w:b/>
              <w:bCs/>
              <w:sz w:val="24"/>
              <w:szCs w:val="24"/>
            </w:rPr>
            <w:t>“</w:t>
          </w:r>
        </w:p>
        <w:p w14:paraId="18ACC6AD" w14:textId="4BAFA922" w:rsidR="00D526C8" w:rsidRPr="00E43092" w:rsidRDefault="00D526C8"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002A3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B76C48">
                  <w:rPr>
                    <w:noProof/>
                    <w:webHidden/>
                  </w:rPr>
                  <w:t>4</w:t>
                </w:r>
                <w:r w:rsidRPr="008A5BA5">
                  <w:rPr>
                    <w:noProof/>
                    <w:webHidden/>
                  </w:rPr>
                  <w:fldChar w:fldCharType="end"/>
                </w:r>
              </w:hyperlink>
            </w:p>
            <w:p w14:paraId="13C92513" w14:textId="68E53813" w:rsidR="00C43719" w:rsidRPr="008A5BA5" w:rsidRDefault="00C43719" w:rsidP="00002A3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B76C48">
                  <w:rPr>
                    <w:noProof/>
                    <w:webHidden/>
                  </w:rPr>
                  <w:t>6</w:t>
                </w:r>
                <w:r w:rsidRPr="008A5BA5">
                  <w:rPr>
                    <w:noProof/>
                    <w:webHidden/>
                  </w:rPr>
                  <w:fldChar w:fldCharType="end"/>
                </w:r>
              </w:hyperlink>
            </w:p>
            <w:p w14:paraId="26A00866" w14:textId="00C88D1D" w:rsidR="00C43719" w:rsidRPr="008A5BA5" w:rsidRDefault="00C43719" w:rsidP="00002A3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B76C48">
                  <w:rPr>
                    <w:noProof/>
                    <w:webHidden/>
                  </w:rPr>
                  <w:t>13</w:t>
                </w:r>
                <w:r w:rsidRPr="008A5BA5">
                  <w:rPr>
                    <w:noProof/>
                    <w:webHidden/>
                  </w:rPr>
                  <w:fldChar w:fldCharType="end"/>
                </w:r>
              </w:hyperlink>
            </w:p>
            <w:p w14:paraId="646EE7E6" w14:textId="65BDD491" w:rsidR="00C43719" w:rsidRPr="008A5BA5" w:rsidRDefault="00C43719" w:rsidP="00002A3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B76C48">
                  <w:rPr>
                    <w:noProof/>
                    <w:webHidden/>
                  </w:rPr>
                  <w:t>14</w:t>
                </w:r>
                <w:r w:rsidRPr="008A5BA5">
                  <w:rPr>
                    <w:noProof/>
                    <w:webHidden/>
                  </w:rPr>
                  <w:fldChar w:fldCharType="end"/>
                </w:r>
              </w:hyperlink>
            </w:p>
            <w:p w14:paraId="0DC36143" w14:textId="2625C12B" w:rsidR="00C43719" w:rsidRPr="008A5BA5" w:rsidRDefault="00C43719" w:rsidP="00002A3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B76C48">
                  <w:rPr>
                    <w:noProof/>
                    <w:webHidden/>
                  </w:rPr>
                  <w:t>15</w:t>
                </w:r>
                <w:r w:rsidRPr="008A5BA5">
                  <w:rPr>
                    <w:noProof/>
                    <w:webHidden/>
                  </w:rPr>
                  <w:fldChar w:fldCharType="end"/>
                </w:r>
              </w:hyperlink>
            </w:p>
            <w:p w14:paraId="1B7700BD" w14:textId="29D89FEF" w:rsidR="00C43719" w:rsidRPr="008A5BA5" w:rsidRDefault="00C43719" w:rsidP="00002A3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B76C48">
                  <w:rPr>
                    <w:noProof/>
                    <w:webHidden/>
                  </w:rPr>
                  <w:t>16</w:t>
                </w:r>
                <w:r w:rsidRPr="008A5BA5">
                  <w:rPr>
                    <w:noProof/>
                    <w:webHidden/>
                  </w:rPr>
                  <w:fldChar w:fldCharType="end"/>
                </w:r>
              </w:hyperlink>
            </w:p>
            <w:p w14:paraId="3F640B62" w14:textId="4774816E" w:rsidR="00C43719" w:rsidRPr="008A5BA5" w:rsidRDefault="00C43719" w:rsidP="00002A3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B76C48">
                  <w:rPr>
                    <w:noProof/>
                    <w:webHidden/>
                  </w:rPr>
                  <w:t>17</w:t>
                </w:r>
                <w:r w:rsidRPr="008A5BA5">
                  <w:rPr>
                    <w:noProof/>
                    <w:webHidden/>
                  </w:rPr>
                  <w:fldChar w:fldCharType="end"/>
                </w:r>
              </w:hyperlink>
            </w:p>
            <w:p w14:paraId="5E4329B3" w14:textId="3DD325B2" w:rsidR="00C43719" w:rsidRPr="008A5BA5" w:rsidRDefault="00C43719" w:rsidP="00002A3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B76C48">
                  <w:rPr>
                    <w:noProof/>
                    <w:webHidden/>
                  </w:rPr>
                  <w:t>18</w:t>
                </w:r>
                <w:r w:rsidRPr="008A5BA5">
                  <w:rPr>
                    <w:noProof/>
                    <w:webHidden/>
                  </w:rPr>
                  <w:fldChar w:fldCharType="end"/>
                </w:r>
              </w:hyperlink>
            </w:p>
            <w:p w14:paraId="51A3A08D" w14:textId="2355D789" w:rsidR="00C43719" w:rsidRPr="008A5BA5" w:rsidRDefault="00C43719" w:rsidP="00002A3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B76C48">
                  <w:rPr>
                    <w:noProof/>
                    <w:webHidden/>
                  </w:rPr>
                  <w:t>19</w:t>
                </w:r>
                <w:r w:rsidRPr="008A5BA5">
                  <w:rPr>
                    <w:noProof/>
                    <w:webHidden/>
                  </w:rPr>
                  <w:fldChar w:fldCharType="end"/>
                </w:r>
              </w:hyperlink>
            </w:p>
            <w:p w14:paraId="0D5329FA" w14:textId="17FA3CF0" w:rsidR="00C43719" w:rsidRDefault="00C43719" w:rsidP="00002A3D">
              <w:pPr>
                <w:pStyle w:val="Turinys2"/>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B76C48">
                  <w:rPr>
                    <w:noProof/>
                    <w:webHidden/>
                  </w:rPr>
                  <w:t>20</w:t>
                </w:r>
                <w:r w:rsidRPr="008A5BA5">
                  <w:rPr>
                    <w:noProof/>
                    <w:webHidden/>
                  </w:rPr>
                  <w:fldChar w:fldCharType="end"/>
                </w:r>
              </w:hyperlink>
            </w:p>
            <w:p w14:paraId="3179187A" w14:textId="7483C0D3" w:rsidR="00FF2E2A" w:rsidRDefault="00FF2E2A" w:rsidP="00FF2E2A">
              <w:pPr>
                <w:pStyle w:val="Turinys2"/>
              </w:pPr>
              <w:hyperlink w:anchor="_Toc159231070" w:history="1">
                <w:r w:rsidRPr="008A5BA5">
                  <w:rPr>
                    <w:rStyle w:val="Hipersaitas"/>
                    <w:rFonts w:ascii="Times New Roman" w:hAnsi="Times New Roman" w:cs="Times New Roman"/>
                    <w:noProof/>
                    <w:sz w:val="22"/>
                    <w:szCs w:val="22"/>
                  </w:rPr>
                  <w:t>Pirkimo sąlygų 1</w:t>
                </w:r>
                <w:r>
                  <w:rPr>
                    <w:rStyle w:val="Hipersaitas"/>
                    <w:rFonts w:ascii="Times New Roman" w:hAnsi="Times New Roman" w:cs="Times New Roman"/>
                    <w:noProof/>
                    <w:sz w:val="22"/>
                    <w:szCs w:val="22"/>
                  </w:rPr>
                  <w:t>1</w:t>
                </w:r>
                <w:r w:rsidRPr="008A5BA5">
                  <w:rPr>
                    <w:rStyle w:val="Hipersaitas"/>
                    <w:rFonts w:ascii="Times New Roman" w:hAnsi="Times New Roman" w:cs="Times New Roman"/>
                    <w:noProof/>
                    <w:sz w:val="22"/>
                    <w:szCs w:val="22"/>
                  </w:rPr>
                  <w:t xml:space="preserve">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Pr>
                    <w:rStyle w:val="Hipersaitas"/>
                    <w:rFonts w:ascii="Times New Roman" w:hAnsi="Times New Roman" w:cs="Times New Roman"/>
                    <w:noProof/>
                    <w:sz w:val="22"/>
                    <w:szCs w:val="22"/>
                  </w:rPr>
                  <w:t>Įrangos panaudos s</w:t>
                </w:r>
                <w:r w:rsidRPr="008A5BA5">
                  <w:rPr>
                    <w:rStyle w:val="Hipersaitas"/>
                    <w:rFonts w:ascii="Times New Roman" w:hAnsi="Times New Roman" w:cs="Times New Roman"/>
                    <w:noProof/>
                    <w:sz w:val="22"/>
                    <w:szCs w:val="22"/>
                  </w:rPr>
                  <w:t>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Pr>
                    <w:noProof/>
                    <w:webHidden/>
                  </w:rPr>
                  <w:t>2</w:t>
                </w:r>
                <w:r w:rsidRPr="008A5BA5">
                  <w:rPr>
                    <w:noProof/>
                    <w:webHidden/>
                  </w:rPr>
                  <w:fldChar w:fldCharType="end"/>
                </w:r>
              </w:hyperlink>
              <w:r>
                <w:t>1</w:t>
              </w: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Toc159231049"/>
      <w:bookmarkStart w:id="5" w:name="_Toc335201954"/>
      <w:bookmarkStart w:id="6" w:name="_Toc147739116"/>
      <w:r w:rsidRPr="00453BBA">
        <w:rPr>
          <w:rFonts w:ascii="Times New Roman" w:hAnsi="Times New Roman" w:cs="Times New Roman"/>
          <w:b/>
          <w:bCs/>
          <w:sz w:val="24"/>
          <w:szCs w:val="24"/>
        </w:rPr>
        <w:lastRenderedPageBreak/>
        <w:t>Bendra informacija</w:t>
      </w:r>
      <w:bookmarkEnd w:id="4"/>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6332"/>
      <w:bookmarkStart w:id="8" w:name="_Ref39426338"/>
      <w:bookmarkStart w:id="9" w:name="_Toc159231050"/>
      <w:bookmarkEnd w:id="5"/>
      <w:r w:rsidRPr="00453BBA">
        <w:rPr>
          <w:rFonts w:ascii="Times New Roman" w:hAnsi="Times New Roman" w:cs="Times New Roman"/>
          <w:b/>
          <w:bCs/>
          <w:sz w:val="24"/>
          <w:szCs w:val="24"/>
        </w:rPr>
        <w:t>Pirkimo objektas</w:t>
      </w:r>
      <w:bookmarkEnd w:id="7"/>
      <w:bookmarkEnd w:id="8"/>
      <w:bookmarkEnd w:id="9"/>
    </w:p>
    <w:p w14:paraId="0B7B0A50" w14:textId="3C89E365"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0846D0">
        <w:rPr>
          <w:rFonts w:ascii="Times New Roman" w:hAnsi="Times New Roman" w:cs="Times New Roman"/>
          <w:sz w:val="22"/>
          <w:szCs w:val="22"/>
        </w:rPr>
        <w:t>reagentus ir reagentų rinkinius</w:t>
      </w:r>
      <w:r w:rsidR="00265FA6">
        <w:rPr>
          <w:rFonts w:ascii="Times New Roman" w:hAnsi="Times New Roman" w:cs="Times New Roman"/>
          <w:sz w:val="22"/>
          <w:szCs w:val="22"/>
        </w:rPr>
        <w:t xml:space="preserve"> su įranga panaudai</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2B61F3" w:rsidRPr="00192F15">
        <w:rPr>
          <w:rFonts w:ascii="Times New Roman" w:hAnsi="Times New Roman" w:cs="Times New Roman"/>
          <w:sz w:val="22"/>
          <w:szCs w:val="22"/>
        </w:rPr>
        <w:t>Pirkimo objektas skaidomas</w:t>
      </w:r>
      <w:r w:rsidR="002B61F3" w:rsidRPr="002B61F3">
        <w:rPr>
          <w:rFonts w:ascii="Times New Roman" w:hAnsi="Times New Roman" w:cs="Times New Roman"/>
          <w:sz w:val="22"/>
          <w:szCs w:val="22"/>
        </w:rPr>
        <w:t xml:space="preserve"> </w:t>
      </w:r>
      <w:r w:rsidR="002B61F3">
        <w:rPr>
          <w:rFonts w:ascii="Times New Roman" w:hAnsi="Times New Roman" w:cs="Times New Roman"/>
          <w:sz w:val="22"/>
          <w:szCs w:val="22"/>
        </w:rPr>
        <w:t>į dalis:</w:t>
      </w:r>
    </w:p>
    <w:p w14:paraId="1515C59D" w14:textId="52C04AFE" w:rsidR="002B61F3" w:rsidRDefault="00FF2E2A"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FF2E2A">
        <w:rPr>
          <w:rFonts w:ascii="Times New Roman" w:hAnsi="Times New Roman" w:cs="Times New Roman"/>
          <w:sz w:val="22"/>
          <w:szCs w:val="22"/>
        </w:rPr>
        <w:t>Reagentai NGS navikų DNR tyrimams</w:t>
      </w:r>
      <w:r>
        <w:rPr>
          <w:rFonts w:ascii="Times New Roman" w:hAnsi="Times New Roman" w:cs="Times New Roman"/>
          <w:sz w:val="22"/>
          <w:szCs w:val="22"/>
        </w:rPr>
        <w:t>, 4 pavadinimų rinkiniai su įranga panaudai</w:t>
      </w:r>
      <w:r w:rsidR="00D7214C">
        <w:rPr>
          <w:rFonts w:ascii="Times New Roman" w:hAnsi="Times New Roman" w:cs="Times New Roman"/>
          <w:sz w:val="22"/>
          <w:szCs w:val="22"/>
        </w:rPr>
        <w:t>;</w:t>
      </w:r>
    </w:p>
    <w:p w14:paraId="4510D564" w14:textId="5300F2E3" w:rsidR="00D7214C" w:rsidRDefault="00FF2E2A"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FF2E2A">
        <w:rPr>
          <w:rFonts w:ascii="Times New Roman" w:hAnsi="Times New Roman" w:cs="Times New Roman"/>
          <w:sz w:val="22"/>
          <w:szCs w:val="22"/>
        </w:rPr>
        <w:t>Reagentai molek</w:t>
      </w:r>
      <w:r w:rsidR="00265FA6">
        <w:rPr>
          <w:rFonts w:ascii="Times New Roman" w:hAnsi="Times New Roman" w:cs="Times New Roman"/>
          <w:sz w:val="22"/>
          <w:szCs w:val="22"/>
        </w:rPr>
        <w:t>ul</w:t>
      </w:r>
      <w:r w:rsidRPr="00FF2E2A">
        <w:rPr>
          <w:rFonts w:ascii="Times New Roman" w:hAnsi="Times New Roman" w:cs="Times New Roman"/>
          <w:sz w:val="22"/>
          <w:szCs w:val="22"/>
        </w:rPr>
        <w:t xml:space="preserve">inio </w:t>
      </w:r>
      <w:proofErr w:type="spellStart"/>
      <w:r w:rsidRPr="00FF2E2A">
        <w:rPr>
          <w:rFonts w:ascii="Times New Roman" w:hAnsi="Times New Roman" w:cs="Times New Roman"/>
          <w:sz w:val="22"/>
          <w:szCs w:val="22"/>
        </w:rPr>
        <w:t>kariot</w:t>
      </w:r>
      <w:r w:rsidR="00265FA6">
        <w:rPr>
          <w:rFonts w:ascii="Times New Roman" w:hAnsi="Times New Roman" w:cs="Times New Roman"/>
          <w:sz w:val="22"/>
          <w:szCs w:val="22"/>
        </w:rPr>
        <w:t>i</w:t>
      </w:r>
      <w:r w:rsidRPr="00FF2E2A">
        <w:rPr>
          <w:rFonts w:ascii="Times New Roman" w:hAnsi="Times New Roman" w:cs="Times New Roman"/>
          <w:sz w:val="22"/>
          <w:szCs w:val="22"/>
        </w:rPr>
        <w:t>pavimo</w:t>
      </w:r>
      <w:proofErr w:type="spellEnd"/>
      <w:r w:rsidRPr="00FF2E2A">
        <w:rPr>
          <w:rFonts w:ascii="Times New Roman" w:hAnsi="Times New Roman" w:cs="Times New Roman"/>
          <w:sz w:val="22"/>
          <w:szCs w:val="22"/>
        </w:rPr>
        <w:t xml:space="preserve"> tyrimams</w:t>
      </w:r>
      <w:r>
        <w:rPr>
          <w:rFonts w:ascii="Times New Roman" w:hAnsi="Times New Roman" w:cs="Times New Roman"/>
          <w:sz w:val="22"/>
          <w:szCs w:val="22"/>
        </w:rPr>
        <w:t xml:space="preserve">, </w:t>
      </w:r>
      <w:r w:rsidR="00AC7225">
        <w:rPr>
          <w:rFonts w:ascii="Times New Roman" w:hAnsi="Times New Roman" w:cs="Times New Roman"/>
          <w:sz w:val="22"/>
          <w:szCs w:val="22"/>
        </w:rPr>
        <w:t>3 pavadinimų rinkiniai su įranga panaudai</w:t>
      </w:r>
      <w:r>
        <w:rPr>
          <w:rFonts w:ascii="Times New Roman" w:hAnsi="Times New Roman" w:cs="Times New Roman"/>
          <w:sz w:val="22"/>
          <w:szCs w:val="22"/>
        </w:rPr>
        <w:t>.</w:t>
      </w:r>
    </w:p>
    <w:p w14:paraId="56DC82B4" w14:textId="021CAA6F" w:rsidR="00151333" w:rsidRPr="00192F15" w:rsidRDefault="002B61F3"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C7434D">
        <w:rPr>
          <w:rFonts w:ascii="Times New Roman" w:hAnsi="Times New Roman" w:cs="Times New Roman"/>
          <w:sz w:val="22"/>
          <w:szCs w:val="22"/>
        </w:rPr>
        <w:t xml:space="preserve">Reikalavimai pirkimo objektui nustatyti specialiųjų pirkimo sąlygų 5 priede – Pasiūlymo </w:t>
      </w:r>
      <w:r w:rsidR="00AC7225">
        <w:rPr>
          <w:rFonts w:ascii="Times New Roman" w:hAnsi="Times New Roman" w:cs="Times New Roman"/>
          <w:sz w:val="22"/>
          <w:szCs w:val="22"/>
        </w:rPr>
        <w:t xml:space="preserve">su Technine specifikacija </w:t>
      </w:r>
      <w:r w:rsidRPr="00C7434D">
        <w:rPr>
          <w:rFonts w:ascii="Times New Roman" w:hAnsi="Times New Roman" w:cs="Times New Roman"/>
          <w:sz w:val="22"/>
          <w:szCs w:val="22"/>
        </w:rPr>
        <w:t>formoje</w:t>
      </w:r>
      <w:r w:rsidR="00AD01A4">
        <w:rPr>
          <w:rFonts w:ascii="Times New Roman" w:hAnsi="Times New Roman" w:cs="Times New Roman"/>
          <w:sz w:val="22"/>
          <w:szCs w:val="22"/>
        </w:rPr>
        <w:t>.</w:t>
      </w:r>
    </w:p>
    <w:p w14:paraId="743811EB" w14:textId="2DF6C1A8" w:rsidR="00D7214C" w:rsidRPr="00346079" w:rsidRDefault="00453256"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w:t>
      </w:r>
      <w:r w:rsidR="00346079" w:rsidRPr="00346079">
        <w:rPr>
          <w:rFonts w:ascii="Times New Roman" w:hAnsi="Times New Roman" w:cs="Times New Roman"/>
          <w:sz w:val="22"/>
          <w:szCs w:val="22"/>
        </w:rPr>
        <w:t xml:space="preserve">vykdomi 36 mėnesius. Prekės </w:t>
      </w:r>
      <w:r w:rsidR="00346079" w:rsidRPr="00346079">
        <w:rPr>
          <w:rFonts w:ascii="Times New Roman" w:eastAsia="TimesNewRomanPSMT" w:hAnsi="Times New Roman" w:cs="Times New Roman"/>
          <w:sz w:val="22"/>
          <w:szCs w:val="22"/>
        </w:rPr>
        <w:t>nuo užsakymo pateikiamos: planinis (paprastasis) būdas- per 5 (penkias) darbo dienas, skubus - per 3 (tris) darbo dienas.</w:t>
      </w:r>
    </w:p>
    <w:p w14:paraId="0CA81FB8" w14:textId="757EA7E5" w:rsidR="00325243" w:rsidRPr="00192F15" w:rsidRDefault="00E53E12"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0" w:name="_Ref39427921"/>
      <w:bookmarkStart w:id="11" w:name="_Ref39427927"/>
      <w:bookmarkStart w:id="12" w:name="_Toc159231051"/>
      <w:bookmarkStart w:id="13" w:name="_Ref39740354"/>
      <w:r w:rsidRPr="00453BBA">
        <w:rPr>
          <w:rFonts w:ascii="Times New Roman" w:hAnsi="Times New Roman" w:cs="Times New Roman"/>
          <w:b/>
          <w:bCs/>
          <w:sz w:val="24"/>
          <w:szCs w:val="24"/>
        </w:rPr>
        <w:t>Susitikimai su tiekėjais</w:t>
      </w:r>
      <w:bookmarkEnd w:id="10"/>
      <w:bookmarkEnd w:id="11"/>
      <w:r w:rsidR="003B6924" w:rsidRPr="00453BBA">
        <w:rPr>
          <w:rFonts w:ascii="Times New Roman" w:hAnsi="Times New Roman" w:cs="Times New Roman"/>
          <w:b/>
          <w:bCs/>
          <w:sz w:val="24"/>
          <w:szCs w:val="24"/>
        </w:rPr>
        <w:t xml:space="preserve"> ir objekto apžiūra</w:t>
      </w:r>
      <w:bookmarkEnd w:id="12"/>
      <w:bookmarkEnd w:id="13"/>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4" w:name="_Ref39473754"/>
      <w:bookmarkStart w:id="15" w:name="_Ref39473761"/>
      <w:bookmarkStart w:id="16"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7" w:name="_Toc159231052"/>
      <w:r w:rsidRPr="00453BBA">
        <w:rPr>
          <w:rFonts w:ascii="Times New Roman" w:hAnsi="Times New Roman" w:cs="Times New Roman"/>
          <w:b/>
          <w:bCs/>
          <w:sz w:val="24"/>
          <w:szCs w:val="24"/>
        </w:rPr>
        <w:t>Tiekėjų pašalinimo pagrindai</w:t>
      </w:r>
      <w:bookmarkEnd w:id="14"/>
      <w:bookmarkEnd w:id="15"/>
      <w:bookmarkEnd w:id="16"/>
      <w:r w:rsidR="00975F1F" w:rsidRPr="00453BBA">
        <w:rPr>
          <w:rFonts w:ascii="Times New Roman" w:hAnsi="Times New Roman" w:cs="Times New Roman"/>
          <w:b/>
          <w:bCs/>
          <w:sz w:val="24"/>
          <w:szCs w:val="24"/>
        </w:rPr>
        <w:t xml:space="preserve"> ir kvalifikacijos reikalavimai</w:t>
      </w:r>
      <w:bookmarkEnd w:id="17"/>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8"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8"/>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9" w:name="_Toc159231053"/>
      <w:bookmarkStart w:id="20" w:name="_Hlk156819942"/>
      <w:r w:rsidRPr="00453BBA">
        <w:rPr>
          <w:rFonts w:ascii="Times New Roman" w:hAnsi="Times New Roman" w:cs="Times New Roman"/>
          <w:b/>
          <w:bCs/>
          <w:sz w:val="24"/>
          <w:szCs w:val="24"/>
        </w:rPr>
        <w:lastRenderedPageBreak/>
        <w:t>Reikalavimai, susiję su nacionaliniu saugumu</w:t>
      </w:r>
      <w:bookmarkEnd w:id="19"/>
      <w:r w:rsidRPr="00453BBA">
        <w:rPr>
          <w:rFonts w:ascii="Times New Roman" w:hAnsi="Times New Roman" w:cs="Times New Roman"/>
          <w:b/>
          <w:bCs/>
          <w:sz w:val="24"/>
          <w:szCs w:val="24"/>
        </w:rPr>
        <w:t xml:space="preserve"> </w:t>
      </w:r>
    </w:p>
    <w:bookmarkEnd w:id="20"/>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159231054"/>
      <w:bookmarkStart w:id="22" w:name="_Ref39666794"/>
      <w:bookmarkStart w:id="23" w:name="_Ref39666796"/>
      <w:r w:rsidRPr="00453BBA">
        <w:rPr>
          <w:rFonts w:ascii="Times New Roman" w:hAnsi="Times New Roman" w:cs="Times New Roman"/>
          <w:b/>
          <w:bCs/>
          <w:sz w:val="24"/>
          <w:szCs w:val="24"/>
        </w:rPr>
        <w:t>Specialieji reikalavimai pasiūlymų rengimui ir pateikimui</w:t>
      </w:r>
      <w:bookmarkEnd w:id="21"/>
      <w:r w:rsidRPr="00453BBA">
        <w:rPr>
          <w:rFonts w:ascii="Times New Roman" w:hAnsi="Times New Roman" w:cs="Times New Roman"/>
          <w:b/>
          <w:bCs/>
          <w:sz w:val="24"/>
          <w:szCs w:val="24"/>
        </w:rPr>
        <w:t xml:space="preserve"> </w:t>
      </w:r>
    </w:p>
    <w:bookmarkEnd w:id="22"/>
    <w:bookmarkEnd w:id="23"/>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17A0BAB3"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00346079">
        <w:rPr>
          <w:rFonts w:ascii="Times New Roman" w:hAnsi="Times New Roman" w:cs="Times New Roman"/>
          <w:sz w:val="22"/>
          <w:szCs w:val="22"/>
        </w:rPr>
        <w:t xml:space="preserve"> </w:t>
      </w:r>
      <w:r w:rsidR="00346079" w:rsidRPr="00A50A27">
        <w:rPr>
          <w:rFonts w:ascii="Times New Roman" w:hAnsi="Times New Roman" w:cs="Times New Roman"/>
          <w:sz w:val="22"/>
          <w:szCs w:val="22"/>
        </w:rPr>
        <w:t>(</w:t>
      </w:r>
      <w:r w:rsidR="00346079" w:rsidRPr="00A50A27">
        <w:rPr>
          <w:rFonts w:ascii="Times New Roman" w:hAnsi="Times New Roman" w:cs="Times New Roman"/>
          <w:b/>
          <w:sz w:val="22"/>
          <w:szCs w:val="22"/>
          <w:u w:val="single"/>
        </w:rPr>
        <w:t xml:space="preserve">Užpildytas dokumentas privalo būti pateiktas ne skenuota forma, bet </w:t>
      </w:r>
      <w:r w:rsidR="00346079" w:rsidRPr="00A50A27">
        <w:rPr>
          <w:rFonts w:ascii="Times New Roman" w:hAnsi="Times New Roman" w:cs="Times New Roman"/>
          <w:b/>
          <w:bCs/>
          <w:sz w:val="22"/>
          <w:szCs w:val="22"/>
          <w:u w:val="single"/>
        </w:rPr>
        <w:t>prisegant atskiru dokumentu Microsoft Excel).</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406C1ED7" w14:textId="29E321BF"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F73BC7" w:rsidRPr="00F73BC7">
        <w:rPr>
          <w:rFonts w:ascii="Times New Roman" w:hAnsi="Times New Roman" w:cs="Times New Roman"/>
          <w:i/>
          <w:iCs/>
          <w:color w:val="000000" w:themeColor="text1"/>
          <w:sz w:val="22"/>
          <w:szCs w:val="22"/>
        </w:rPr>
        <w:t xml:space="preserve"> </w:t>
      </w:r>
      <w:r w:rsidR="00F73BC7" w:rsidRPr="004B698F">
        <w:rPr>
          <w:rFonts w:ascii="Times New Roman" w:hAnsi="Times New Roman" w:cs="Times New Roman"/>
          <w:i/>
          <w:iCs/>
          <w:color w:val="000000" w:themeColor="text1"/>
          <w:sz w:val="22"/>
          <w:szCs w:val="22"/>
        </w:rPr>
        <w:t xml:space="preserve">Tiekėjų, kurie nėra gamintojai, </w:t>
      </w:r>
      <w:proofErr w:type="spellStart"/>
      <w:r w:rsidR="00F73BC7" w:rsidRPr="004B698F">
        <w:rPr>
          <w:rFonts w:ascii="Times New Roman" w:hAnsi="Times New Roman" w:cs="Times New Roman"/>
          <w:i/>
          <w:iCs/>
          <w:color w:val="000000" w:themeColor="text1"/>
          <w:sz w:val="22"/>
          <w:szCs w:val="22"/>
        </w:rPr>
        <w:t>savideklaracijos</w:t>
      </w:r>
      <w:proofErr w:type="spellEnd"/>
      <w:r w:rsidR="00F73BC7" w:rsidRPr="004B698F">
        <w:rPr>
          <w:rFonts w:ascii="Times New Roman" w:hAnsi="Times New Roman" w:cs="Times New Roman"/>
          <w:i/>
          <w:iCs/>
          <w:color w:val="000000" w:themeColor="text1"/>
          <w:sz w:val="22"/>
          <w:szCs w:val="22"/>
        </w:rPr>
        <w:t xml:space="preserve"> kaip įrodymas dėl pasiūlymo atitikties pirkimo sąlyg</w:t>
      </w:r>
      <w:r w:rsidR="00F73BC7">
        <w:rPr>
          <w:rFonts w:ascii="Times New Roman" w:hAnsi="Times New Roman" w:cs="Times New Roman"/>
          <w:i/>
          <w:iCs/>
          <w:color w:val="000000" w:themeColor="text1"/>
          <w:sz w:val="22"/>
          <w:szCs w:val="22"/>
        </w:rPr>
        <w:t>oms</w:t>
      </w:r>
      <w:r w:rsidR="00F73BC7" w:rsidRPr="004B698F">
        <w:rPr>
          <w:rFonts w:ascii="Times New Roman" w:hAnsi="Times New Roman" w:cs="Times New Roman"/>
          <w:i/>
          <w:iCs/>
          <w:color w:val="000000" w:themeColor="text1"/>
          <w:sz w:val="22"/>
          <w:szCs w:val="22"/>
        </w:rPr>
        <w:t xml:space="preserve"> bei techninės specifikacijos reikalavimams,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lastRenderedPageBreak/>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59231055"/>
      <w:bookmarkEnd w:id="24"/>
      <w:bookmarkEnd w:id="25"/>
      <w:bookmarkEnd w:id="26"/>
      <w:bookmarkEnd w:id="27"/>
      <w:bookmarkEnd w:id="28"/>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9"/>
      <w:bookmarkEnd w:id="30"/>
      <w:bookmarkEnd w:id="31"/>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2" w:name="_Ref39658218"/>
      <w:bookmarkStart w:id="33" w:name="_Ref39658226"/>
      <w:bookmarkStart w:id="34" w:name="_Ref39658248"/>
      <w:bookmarkStart w:id="35" w:name="_Ref39658251"/>
      <w:bookmarkStart w:id="36" w:name="_Toc159231056"/>
      <w:bookmarkStart w:id="37" w:name="_Ref39485250"/>
      <w:bookmarkStart w:id="38" w:name="_Ref39485258"/>
      <w:r w:rsidRPr="00453BBA">
        <w:rPr>
          <w:rFonts w:ascii="Times New Roman" w:hAnsi="Times New Roman" w:cs="Times New Roman"/>
          <w:b/>
          <w:bCs/>
          <w:sz w:val="24"/>
          <w:szCs w:val="24"/>
        </w:rPr>
        <w:t>Elektroninis aukcionas</w:t>
      </w:r>
      <w:bookmarkEnd w:id="32"/>
      <w:bookmarkEnd w:id="33"/>
      <w:bookmarkEnd w:id="34"/>
      <w:bookmarkEnd w:id="35"/>
      <w:bookmarkEnd w:id="36"/>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9" w:name="_Ref39667303"/>
      <w:bookmarkStart w:id="40" w:name="_Ref39667308"/>
      <w:bookmarkStart w:id="41"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7"/>
      <w:bookmarkEnd w:id="38"/>
      <w:bookmarkEnd w:id="39"/>
      <w:bookmarkEnd w:id="40"/>
      <w:bookmarkEnd w:id="41"/>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42"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42"/>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Ref39425999"/>
      <w:bookmarkStart w:id="44" w:name="_Ref39426005"/>
      <w:bookmarkStart w:id="45"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3"/>
      <w:bookmarkEnd w:id="44"/>
      <w:bookmarkEnd w:id="45"/>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6" w:name="_Toc159231059"/>
      <w:bookmarkEnd w:id="6"/>
      <w:r w:rsidRPr="00453BBA">
        <w:rPr>
          <w:rFonts w:ascii="Times New Roman" w:hAnsi="Times New Roman" w:cs="Times New Roman"/>
          <w:b/>
          <w:bCs/>
          <w:sz w:val="24"/>
          <w:szCs w:val="24"/>
        </w:rPr>
        <w:t>Kitos sąlygos</w:t>
      </w:r>
      <w:bookmarkEnd w:id="46"/>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7"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7"/>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8" w:name="_Ref38539939"/>
      <w:bookmarkStart w:id="49" w:name="_Ref38541068"/>
      <w:bookmarkStart w:id="50" w:name="_Ref38885053"/>
      <w:bookmarkStart w:id="51" w:name="_Ref38899023"/>
      <w:bookmarkStart w:id="52"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8"/>
      <w:bookmarkEnd w:id="49"/>
      <w:bookmarkEnd w:id="50"/>
      <w:bookmarkEnd w:id="51"/>
      <w:bookmarkEnd w:id="52"/>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4" w:name="part_030e6c6c64ba4f96a23474e439d1b80c"/>
            <w:bookmarkEnd w:id="54"/>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5" w:name="_Ref38285444"/>
      <w:bookmarkStart w:id="56" w:name="_Ref38291496"/>
      <w:bookmarkStart w:id="57"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5"/>
      <w:bookmarkEnd w:id="56"/>
      <w:bookmarkEnd w:id="57"/>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8" w:name="_Ref38291223"/>
      <w:bookmarkStart w:id="59" w:name="_Ref38291334"/>
      <w:bookmarkStart w:id="60"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1"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8"/>
      <w:bookmarkEnd w:id="59"/>
      <w:bookmarkEnd w:id="60"/>
      <w:bookmarkEnd w:id="61"/>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62" w:name="_Ref38291379"/>
      <w:bookmarkStart w:id="63" w:name="_Ref38291394"/>
      <w:bookmarkStart w:id="64" w:name="_Ref38898251"/>
      <w:bookmarkStart w:id="65"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62"/>
      <w:bookmarkEnd w:id="63"/>
      <w:bookmarkEnd w:id="64"/>
      <w:bookmarkEnd w:id="65"/>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6" w:name="_Ref38540913"/>
      <w:bookmarkStart w:id="67" w:name="_Ref38898051"/>
      <w:bookmarkStart w:id="68" w:name="_Ref38901392"/>
      <w:bookmarkStart w:id="69"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6"/>
      <w:bookmarkEnd w:id="67"/>
      <w:bookmarkEnd w:id="68"/>
      <w:bookmarkEnd w:id="69"/>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70" w:name="_Ref39586171"/>
      <w:bookmarkStart w:id="71" w:name="_Ref39673580"/>
      <w:bookmarkStart w:id="72"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3" w:name="_Ref39484039"/>
      <w:bookmarkStart w:id="74" w:name="_Ref40278562"/>
      <w:bookmarkStart w:id="75"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3"/>
      <w:bookmarkEnd w:id="74"/>
      <w:bookmarkEnd w:id="75"/>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6"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6"/>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7"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7"/>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8"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8"/>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9" w:name="_Toc126333948"/>
      <w:bookmarkStart w:id="80" w:name="_Toc159231070"/>
      <w:bookmarkEnd w:id="70"/>
      <w:bookmarkEnd w:id="71"/>
      <w:bookmarkEnd w:id="72"/>
      <w:r w:rsidRPr="00B76C48">
        <w:rPr>
          <w:rFonts w:ascii="Times New Roman" w:eastAsia="Calibri" w:hAnsi="Times New Roman" w:cs="Times New Roman"/>
          <w:b/>
          <w:bCs/>
          <w:color w:val="auto"/>
          <w:sz w:val="22"/>
          <w:szCs w:val="22"/>
        </w:rPr>
        <w:t>Pirkimo sąlygų 10 priedas „Sutarties projektas“</w:t>
      </w:r>
      <w:bookmarkEnd w:id="79"/>
      <w:bookmarkEnd w:id="80"/>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84C2E33" w:rsidR="00FF2E2A" w:rsidRDefault="00FF2E2A">
      <w:pP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br w:type="page"/>
      </w:r>
    </w:p>
    <w:p w14:paraId="40AD8452" w14:textId="32A7AE6C" w:rsidR="00FF2E2A" w:rsidRPr="00B76C48" w:rsidRDefault="00FF2E2A" w:rsidP="00FF2E2A">
      <w:pPr>
        <w:pStyle w:val="Antrat1"/>
        <w:spacing w:before="240"/>
        <w:jc w:val="right"/>
        <w:rPr>
          <w:rFonts w:ascii="Times New Roman" w:eastAsia="Calibri" w:hAnsi="Times New Roman" w:cs="Times New Roman"/>
          <w:b/>
          <w:bCs/>
          <w:color w:val="auto"/>
          <w:sz w:val="22"/>
          <w:szCs w:val="22"/>
        </w:rPr>
      </w:pPr>
      <w:r w:rsidRPr="00B76C48">
        <w:rPr>
          <w:rFonts w:ascii="Times New Roman" w:eastAsia="Calibri" w:hAnsi="Times New Roman" w:cs="Times New Roman"/>
          <w:b/>
          <w:bCs/>
          <w:color w:val="auto"/>
          <w:sz w:val="22"/>
          <w:szCs w:val="22"/>
        </w:rPr>
        <w:lastRenderedPageBreak/>
        <w:t>Pirkimo sąlygų 1</w:t>
      </w:r>
      <w:r>
        <w:rPr>
          <w:rFonts w:ascii="Times New Roman" w:eastAsia="Calibri" w:hAnsi="Times New Roman" w:cs="Times New Roman"/>
          <w:b/>
          <w:bCs/>
          <w:color w:val="auto"/>
          <w:sz w:val="22"/>
          <w:szCs w:val="22"/>
        </w:rPr>
        <w:t>1</w:t>
      </w:r>
      <w:r w:rsidRPr="00B76C48">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Įrangos panaudos s</w:t>
      </w:r>
      <w:r w:rsidRPr="00B76C48">
        <w:rPr>
          <w:rFonts w:ascii="Times New Roman" w:eastAsia="Calibri" w:hAnsi="Times New Roman" w:cs="Times New Roman"/>
          <w:b/>
          <w:bCs/>
          <w:color w:val="auto"/>
          <w:sz w:val="22"/>
          <w:szCs w:val="22"/>
        </w:rPr>
        <w:t>utarties projektas“</w:t>
      </w:r>
    </w:p>
    <w:p w14:paraId="5BBA0E56" w14:textId="77777777" w:rsidR="00FF2E2A" w:rsidRPr="00E43092" w:rsidRDefault="00FF2E2A" w:rsidP="00FF2E2A">
      <w:pPr>
        <w:rPr>
          <w:rFonts w:ascii="Times New Roman" w:hAnsi="Times New Roman" w:cs="Times New Roman"/>
          <w:sz w:val="24"/>
          <w:szCs w:val="24"/>
        </w:rPr>
      </w:pPr>
    </w:p>
    <w:p w14:paraId="0BC4DD33" w14:textId="77777777" w:rsidR="00FF2E2A" w:rsidRPr="00E43092" w:rsidRDefault="00FF2E2A" w:rsidP="00FF2E2A">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5D9538B6" w14:textId="77777777"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3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46D0"/>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5FA6"/>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4E3"/>
    <w:rsid w:val="00337CC1"/>
    <w:rsid w:val="003406FD"/>
    <w:rsid w:val="00340F7A"/>
    <w:rsid w:val="00341929"/>
    <w:rsid w:val="00341D9A"/>
    <w:rsid w:val="00343586"/>
    <w:rsid w:val="003436A3"/>
    <w:rsid w:val="00343AFE"/>
    <w:rsid w:val="0034460F"/>
    <w:rsid w:val="00344F46"/>
    <w:rsid w:val="00345141"/>
    <w:rsid w:val="003451F8"/>
    <w:rsid w:val="003453C2"/>
    <w:rsid w:val="00346079"/>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5"/>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2E2A"/>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02A3D"/>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22</Pages>
  <Words>29564</Words>
  <Characters>16852</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dcterms:created xsi:type="dcterms:W3CDTF">2025-03-18T09:26:00Z</dcterms:created>
  <dcterms:modified xsi:type="dcterms:W3CDTF">2025-03-20T08:06:00Z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