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11529"/>
        <w:gridCol w:w="6"/>
      </w:tblGrid>
      <w:tr w:rsidR="00561E7D" w14:paraId="0D592D2E" w14:textId="77777777">
        <w:trPr>
          <w:trHeight w:val="99"/>
        </w:trPr>
        <w:tc>
          <w:tcPr>
            <w:tcW w:w="638" w:type="dxa"/>
          </w:tcPr>
          <w:p w14:paraId="0D592D2B" w14:textId="77777777" w:rsidR="00561E7D" w:rsidRDefault="00561E7D">
            <w:pPr>
              <w:pStyle w:val="EmptyCellLayoutStyle"/>
              <w:spacing w:after="0" w:line="240" w:lineRule="auto"/>
            </w:pPr>
          </w:p>
        </w:tc>
        <w:tc>
          <w:tcPr>
            <w:tcW w:w="9771" w:type="dxa"/>
          </w:tcPr>
          <w:p w14:paraId="0D592D2C" w14:textId="77777777" w:rsidR="00561E7D" w:rsidRDefault="00561E7D">
            <w:pPr>
              <w:pStyle w:val="EmptyCellLayoutStyle"/>
              <w:spacing w:after="0" w:line="240" w:lineRule="auto"/>
            </w:pPr>
          </w:p>
        </w:tc>
        <w:tc>
          <w:tcPr>
            <w:tcW w:w="614" w:type="dxa"/>
          </w:tcPr>
          <w:p w14:paraId="0D592D2D" w14:textId="77777777" w:rsidR="00561E7D" w:rsidRDefault="00561E7D">
            <w:pPr>
              <w:pStyle w:val="EmptyCellLayoutStyle"/>
              <w:spacing w:after="0" w:line="240" w:lineRule="auto"/>
            </w:pPr>
          </w:p>
        </w:tc>
      </w:tr>
      <w:tr w:rsidR="00561E7D" w14:paraId="0D592D71" w14:textId="77777777">
        <w:tc>
          <w:tcPr>
            <w:tcW w:w="638" w:type="dxa"/>
          </w:tcPr>
          <w:p w14:paraId="0D592D2F" w14:textId="77777777" w:rsidR="00561E7D" w:rsidRDefault="00561E7D">
            <w:pPr>
              <w:pStyle w:val="EmptyCellLayoutStyle"/>
              <w:spacing w:after="0" w:line="240" w:lineRule="auto"/>
            </w:pPr>
          </w:p>
        </w:tc>
        <w:tc>
          <w:tcPr>
            <w:tcW w:w="9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529"/>
            </w:tblGrid>
            <w:tr w:rsidR="00561E7D" w14:paraId="0D592D6E" w14:textId="77777777">
              <w:trPr>
                <w:trHeight w:val="12889"/>
              </w:trPr>
              <w:tc>
                <w:tcPr>
                  <w:tcW w:w="9771"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79"/>
                    <w:gridCol w:w="4664"/>
                    <w:gridCol w:w="3886"/>
                  </w:tblGrid>
                  <w:tr w:rsidR="00561E7D" w14:paraId="0D592D33" w14:textId="77777777">
                    <w:trPr>
                      <w:trHeight w:val="986"/>
                    </w:trPr>
                    <w:tc>
                      <w:tcPr>
                        <w:tcW w:w="3257" w:type="dxa"/>
                        <w:tcBorders>
                          <w:top w:val="nil"/>
                          <w:left w:val="nil"/>
                          <w:bottom w:val="nil"/>
                          <w:right w:val="nil"/>
                        </w:tcBorders>
                        <w:tcMar>
                          <w:top w:w="39" w:type="dxa"/>
                          <w:left w:w="39" w:type="dxa"/>
                          <w:bottom w:w="39" w:type="dxa"/>
                          <w:right w:w="39" w:type="dxa"/>
                        </w:tcMar>
                      </w:tcPr>
                      <w:p w14:paraId="0D592D30" w14:textId="77777777" w:rsidR="00561E7D" w:rsidRDefault="00561E7D">
                        <w:pPr>
                          <w:spacing w:after="0" w:line="240" w:lineRule="auto"/>
                        </w:pPr>
                      </w:p>
                    </w:tc>
                    <w:tc>
                      <w:tcPr>
                        <w:tcW w:w="3257" w:type="dxa"/>
                        <w:tcBorders>
                          <w:top w:val="nil"/>
                          <w:left w:val="nil"/>
                          <w:bottom w:val="nil"/>
                          <w:right w:val="nil"/>
                        </w:tcBorders>
                        <w:tcMar>
                          <w:top w:w="0" w:type="dxa"/>
                          <w:left w:w="0" w:type="dxa"/>
                          <w:bottom w:w="0" w:type="dxa"/>
                          <w:right w:w="0" w:type="dxa"/>
                        </w:tcMar>
                      </w:tcPr>
                      <w:p w14:paraId="0D592D31" w14:textId="77777777" w:rsidR="00561E7D" w:rsidRDefault="00000000">
                        <w:pPr>
                          <w:spacing w:after="0" w:line="240" w:lineRule="auto"/>
                        </w:pPr>
                        <w:r>
                          <w:rPr>
                            <w:noProof/>
                          </w:rPr>
                          <w:drawing>
                            <wp:inline distT="0" distB="0" distL="0" distR="0" wp14:anchorId="0D592D77" wp14:editId="0D592D78">
                              <wp:extent cx="2068344" cy="406073"/>
                              <wp:effectExtent l="0" t="0" r="0" b="0"/>
                              <wp:docPr id="533132864" name="img2.jpg"/>
                              <wp:cNvGraphicFramePr/>
                              <a:graphic xmlns:a="http://schemas.openxmlformats.org/drawingml/2006/main">
                                <a:graphicData uri="http://schemas.openxmlformats.org/drawingml/2006/picture">
                                  <pic:pic xmlns:pic="http://schemas.openxmlformats.org/drawingml/2006/picture">
                                    <pic:nvPicPr>
                                      <pic:cNvPr id="1" name="img2.jpg"/>
                                      <pic:cNvPicPr/>
                                    </pic:nvPicPr>
                                    <pic:blipFill>
                                      <a:blip r:embed="rId5" cstate="print"/>
                                      <a:stretch>
                                        <a:fillRect/>
                                      </a:stretch>
                                    </pic:blipFill>
                                    <pic:spPr>
                                      <a:xfrm>
                                        <a:off x="0" y="0"/>
                                        <a:ext cx="2068344" cy="406073"/>
                                      </a:xfrm>
                                      <a:prstGeom prst="rect">
                                        <a:avLst/>
                                      </a:prstGeom>
                                    </pic:spPr>
                                  </pic:pic>
                                </a:graphicData>
                              </a:graphic>
                            </wp:inline>
                          </w:drawing>
                        </w:r>
                      </w:p>
                    </w:tc>
                    <w:tc>
                      <w:tcPr>
                        <w:tcW w:w="3257" w:type="dxa"/>
                        <w:tcBorders>
                          <w:top w:val="nil"/>
                          <w:left w:val="nil"/>
                          <w:bottom w:val="nil"/>
                          <w:right w:val="nil"/>
                        </w:tcBorders>
                        <w:tcMar>
                          <w:top w:w="39" w:type="dxa"/>
                          <w:left w:w="39" w:type="dxa"/>
                          <w:bottom w:w="39" w:type="dxa"/>
                          <w:right w:w="39" w:type="dxa"/>
                        </w:tcMar>
                      </w:tcPr>
                      <w:p w14:paraId="0D592D32" w14:textId="77777777" w:rsidR="00561E7D" w:rsidRDefault="00561E7D">
                        <w:pPr>
                          <w:spacing w:after="0" w:line="240" w:lineRule="auto"/>
                        </w:pPr>
                      </w:p>
                    </w:tc>
                  </w:tr>
                  <w:tr w:rsidR="00C71D57" w14:paraId="0D592D37" w14:textId="77777777" w:rsidTr="00C71D57">
                    <w:trPr>
                      <w:trHeight w:val="1076"/>
                    </w:trPr>
                    <w:tc>
                      <w:tcPr>
                        <w:tcW w:w="3257" w:type="dxa"/>
                        <w:gridSpan w:val="3"/>
                        <w:tcBorders>
                          <w:top w:val="nil"/>
                          <w:left w:val="nil"/>
                          <w:bottom w:val="nil"/>
                          <w:right w:val="nil"/>
                        </w:tcBorders>
                        <w:tcMar>
                          <w:top w:w="39" w:type="dxa"/>
                          <w:left w:w="39" w:type="dxa"/>
                          <w:bottom w:w="39" w:type="dxa"/>
                          <w:right w:w="39" w:type="dxa"/>
                        </w:tcMar>
                      </w:tcPr>
                      <w:p w14:paraId="0D592D34" w14:textId="77777777" w:rsidR="00561E7D" w:rsidRDefault="00561E7D">
                        <w:pPr>
                          <w:spacing w:after="0" w:line="240" w:lineRule="auto"/>
                        </w:pPr>
                      </w:p>
                    </w:tc>
                  </w:tr>
                  <w:tr w:rsidR="00561E7D" w14:paraId="0D592D3F" w14:textId="77777777">
                    <w:trPr>
                      <w:trHeight w:val="1751"/>
                    </w:trPr>
                    <w:tc>
                      <w:tcPr>
                        <w:tcW w:w="3257" w:type="dxa"/>
                        <w:tcBorders>
                          <w:top w:val="nil"/>
                          <w:left w:val="nil"/>
                          <w:bottom w:val="nil"/>
                          <w:right w:val="nil"/>
                        </w:tcBorders>
                        <w:tcMar>
                          <w:top w:w="39" w:type="dxa"/>
                          <w:left w:w="39" w:type="dxa"/>
                          <w:bottom w:w="39" w:type="dxa"/>
                          <w:right w:w="39" w:type="dxa"/>
                        </w:tcMar>
                      </w:tcPr>
                      <w:p w14:paraId="0D592D38" w14:textId="77777777" w:rsidR="00561E7D" w:rsidRDefault="00561E7D">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0D592D39" w14:textId="77777777" w:rsidR="00561E7D" w:rsidRDefault="00561E7D">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0D592D3A" w14:textId="77777777" w:rsidR="00561E7D" w:rsidRDefault="00000000">
                        <w:pPr>
                          <w:spacing w:after="0" w:line="240" w:lineRule="auto"/>
                          <w:jc w:val="center"/>
                        </w:pPr>
                        <w:r>
                          <w:rPr>
                            <w:color w:val="000000"/>
                            <w:sz w:val="24"/>
                          </w:rPr>
                          <w:t>TVIRTINU:</w:t>
                        </w:r>
                      </w:p>
                      <w:p w14:paraId="0D592D3B" w14:textId="77777777" w:rsidR="00561E7D" w:rsidRDefault="00000000">
                        <w:pPr>
                          <w:spacing w:after="0" w:line="240" w:lineRule="auto"/>
                          <w:jc w:val="center"/>
                        </w:pPr>
                        <w:r>
                          <w:rPr>
                            <w:color w:val="000000"/>
                            <w:sz w:val="24"/>
                          </w:rPr>
                          <w:t>Martynas Gedaminskas</w:t>
                        </w:r>
                      </w:p>
                      <w:p w14:paraId="0D592D3C" w14:textId="77777777" w:rsidR="00561E7D" w:rsidRDefault="00000000">
                        <w:pPr>
                          <w:spacing w:after="0" w:line="240" w:lineRule="auto"/>
                          <w:jc w:val="center"/>
                        </w:pPr>
                        <w:r>
                          <w:rPr>
                            <w:color w:val="000000"/>
                            <w:sz w:val="18"/>
                          </w:rPr>
                          <w:t>(Vardo raidė, pavardė, parašas)</w:t>
                        </w:r>
                      </w:p>
                      <w:p w14:paraId="0D592D3D" w14:textId="77777777" w:rsidR="00561E7D" w:rsidRDefault="00000000">
                        <w:pPr>
                          <w:spacing w:after="0" w:line="240" w:lineRule="auto"/>
                          <w:jc w:val="center"/>
                        </w:pPr>
                        <w:r>
                          <w:rPr>
                            <w:color w:val="000000"/>
                            <w:sz w:val="24"/>
                          </w:rPr>
                          <w:t>____________________</w:t>
                        </w:r>
                      </w:p>
                      <w:p w14:paraId="0D592D3E" w14:textId="77777777" w:rsidR="00561E7D" w:rsidRDefault="00000000">
                        <w:pPr>
                          <w:spacing w:after="0" w:line="240" w:lineRule="auto"/>
                          <w:jc w:val="center"/>
                        </w:pPr>
                        <w:r>
                          <w:rPr>
                            <w:color w:val="000000"/>
                            <w:sz w:val="18"/>
                          </w:rPr>
                          <w:t>(data)</w:t>
                        </w:r>
                      </w:p>
                    </w:tc>
                  </w:tr>
                  <w:tr w:rsidR="00C71D57" w14:paraId="0D592D44" w14:textId="77777777" w:rsidTr="00C71D57">
                    <w:trPr>
                      <w:trHeight w:val="1361"/>
                    </w:trPr>
                    <w:tc>
                      <w:tcPr>
                        <w:tcW w:w="3257" w:type="dxa"/>
                        <w:gridSpan w:val="3"/>
                        <w:tcBorders>
                          <w:top w:val="nil"/>
                          <w:left w:val="nil"/>
                          <w:bottom w:val="nil"/>
                          <w:right w:val="nil"/>
                        </w:tcBorders>
                        <w:tcMar>
                          <w:top w:w="39" w:type="dxa"/>
                          <w:left w:w="39" w:type="dxa"/>
                          <w:bottom w:w="39" w:type="dxa"/>
                          <w:right w:w="39" w:type="dxa"/>
                        </w:tcMar>
                      </w:tcPr>
                      <w:p w14:paraId="0D592D40" w14:textId="77777777" w:rsidR="00561E7D" w:rsidRDefault="00000000">
                        <w:pPr>
                          <w:spacing w:after="0" w:line="240" w:lineRule="auto"/>
                          <w:jc w:val="center"/>
                        </w:pPr>
                        <w:r>
                          <w:rPr>
                            <w:b/>
                            <w:color w:val="000000"/>
                            <w:sz w:val="28"/>
                          </w:rPr>
                          <w:t>TECHNINĖ UŽDUOTIS VALSTYBINĖS REIKŠMĖS KELIŲ IR</w:t>
                        </w:r>
                      </w:p>
                      <w:p w14:paraId="0D592D41" w14:textId="77777777" w:rsidR="00561E7D" w:rsidRDefault="00000000">
                        <w:pPr>
                          <w:spacing w:after="0" w:line="240" w:lineRule="auto"/>
                          <w:jc w:val="center"/>
                        </w:pPr>
                        <w:r>
                          <w:rPr>
                            <w:b/>
                            <w:color w:val="000000"/>
                            <w:sz w:val="28"/>
                          </w:rPr>
                          <w:t xml:space="preserve"> / ARBA JŲ ELEMENTŲ PROJEKTAVIMUI</w:t>
                        </w:r>
                      </w:p>
                    </w:tc>
                  </w:tr>
                  <w:tr w:rsidR="00561E7D" w14:paraId="0D592D48" w14:textId="77777777">
                    <w:trPr>
                      <w:trHeight w:val="990"/>
                    </w:trPr>
                    <w:tc>
                      <w:tcPr>
                        <w:tcW w:w="3257" w:type="dxa"/>
                        <w:tcBorders>
                          <w:top w:val="nil"/>
                          <w:left w:val="nil"/>
                          <w:bottom w:val="nil"/>
                          <w:right w:val="nil"/>
                        </w:tcBorders>
                        <w:tcMar>
                          <w:top w:w="39" w:type="dxa"/>
                          <w:left w:w="39" w:type="dxa"/>
                          <w:bottom w:w="39" w:type="dxa"/>
                          <w:right w:w="39" w:type="dxa"/>
                        </w:tcMar>
                      </w:tcPr>
                      <w:p w14:paraId="0D592D45" w14:textId="77777777" w:rsidR="00561E7D" w:rsidRDefault="00561E7D">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0D592D46" w14:textId="77777777" w:rsidR="00561E7D" w:rsidRDefault="00561E7D">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0D592D47" w14:textId="77777777" w:rsidR="00561E7D" w:rsidRDefault="00561E7D">
                        <w:pPr>
                          <w:spacing w:after="0" w:line="240" w:lineRule="auto"/>
                        </w:pPr>
                      </w:p>
                    </w:tc>
                  </w:tr>
                  <w:tr w:rsidR="00C71D57" w14:paraId="0D592D4C" w14:textId="77777777" w:rsidTr="00C71D57">
                    <w:trPr>
                      <w:trHeight w:val="457"/>
                    </w:trPr>
                    <w:tc>
                      <w:tcPr>
                        <w:tcW w:w="3257" w:type="dxa"/>
                        <w:gridSpan w:val="3"/>
                        <w:tcBorders>
                          <w:top w:val="nil"/>
                          <w:left w:val="nil"/>
                          <w:bottom w:val="nil"/>
                          <w:right w:val="nil"/>
                        </w:tcBorders>
                        <w:tcMar>
                          <w:top w:w="39" w:type="dxa"/>
                          <w:left w:w="39" w:type="dxa"/>
                          <w:bottom w:w="39" w:type="dxa"/>
                          <w:right w:w="39" w:type="dxa"/>
                        </w:tcMar>
                      </w:tcPr>
                      <w:p w14:paraId="0D592D49" w14:textId="77777777" w:rsidR="00561E7D" w:rsidRDefault="00000000">
                        <w:pPr>
                          <w:spacing w:after="0" w:line="240" w:lineRule="auto"/>
                        </w:pPr>
                        <w:r>
                          <w:rPr>
                            <w:b/>
                            <w:color w:val="000000"/>
                            <w:sz w:val="24"/>
                          </w:rPr>
                          <w:t xml:space="preserve">1. Statytojas: </w:t>
                        </w:r>
                        <w:r>
                          <w:rPr>
                            <w:color w:val="000000"/>
                            <w:sz w:val="24"/>
                          </w:rPr>
                          <w:t>Akcinė bendrovė Via Lietuva.</w:t>
                        </w:r>
                        <w:r>
                          <w:rPr>
                            <w:color w:val="000000"/>
                            <w:sz w:val="24"/>
                          </w:rPr>
                          <w:br/>
                        </w:r>
                        <w:r>
                          <w:rPr>
                            <w:color w:val="000000"/>
                            <w:sz w:val="24"/>
                          </w:rPr>
                          <w:br/>
                        </w:r>
                        <w:r>
                          <w:rPr>
                            <w:b/>
                            <w:color w:val="000000"/>
                            <w:sz w:val="24"/>
                          </w:rPr>
                          <w:t xml:space="preserve">2. Užsakovas: </w:t>
                        </w:r>
                        <w:r>
                          <w:rPr>
                            <w:color w:val="000000"/>
                            <w:sz w:val="24"/>
                          </w:rPr>
                          <w:t>Akcinė bendrovė Via Lietuva.</w:t>
                        </w:r>
                        <w:r>
                          <w:rPr>
                            <w:color w:val="000000"/>
                            <w:sz w:val="24"/>
                          </w:rPr>
                          <w:br/>
                        </w:r>
                        <w:r>
                          <w:rPr>
                            <w:color w:val="000000"/>
                            <w:sz w:val="24"/>
                          </w:rPr>
                          <w:br/>
                        </w:r>
                        <w:r>
                          <w:rPr>
                            <w:b/>
                            <w:color w:val="000000"/>
                            <w:sz w:val="24"/>
                          </w:rPr>
                          <w:t xml:space="preserve">3. Komplekso pavadinimas: </w:t>
                        </w:r>
                        <w:r>
                          <w:rPr>
                            <w:color w:val="000000"/>
                            <w:sz w:val="24"/>
                          </w:rPr>
                          <w:t>Magistralinio kelio A1 Vilnius–Kaunas–Klaipėda ruožo nuo 93,5 iki 99,29 km rekonstravimas.</w:t>
                        </w:r>
                        <w:r>
                          <w:rPr>
                            <w:color w:val="000000"/>
                            <w:sz w:val="24"/>
                          </w:rPr>
                          <w:br/>
                        </w:r>
                        <w:r>
                          <w:rPr>
                            <w:color w:val="000000"/>
                            <w:sz w:val="24"/>
                          </w:rPr>
                          <w:br/>
                        </w:r>
                        <w:r>
                          <w:rPr>
                            <w:b/>
                            <w:color w:val="000000"/>
                            <w:sz w:val="24"/>
                          </w:rPr>
                          <w:t xml:space="preserve">4. Projekto pavadinimas: </w:t>
                        </w:r>
                        <w:r>
                          <w:rPr>
                            <w:color w:val="000000"/>
                            <w:sz w:val="24"/>
                          </w:rPr>
                          <w:t>Magistralinio kelio A1 Vilnius–Kaunas–Klaipėda ruožo nuo 93,5 iki 99,29 km rekonstravimas.</w:t>
                        </w:r>
                        <w:r>
                          <w:rPr>
                            <w:color w:val="000000"/>
                            <w:sz w:val="24"/>
                          </w:rPr>
                          <w:br/>
                        </w:r>
                        <w:r>
                          <w:rPr>
                            <w:color w:val="000000"/>
                            <w:sz w:val="24"/>
                          </w:rPr>
                          <w:br/>
                        </w:r>
                        <w:r>
                          <w:rPr>
                            <w:b/>
                            <w:color w:val="000000"/>
                            <w:sz w:val="24"/>
                          </w:rPr>
                          <w:t xml:space="preserve">5. Statybos rūšis: </w:t>
                        </w:r>
                        <w:r>
                          <w:rPr>
                            <w:color w:val="000000"/>
                            <w:sz w:val="24"/>
                          </w:rPr>
                          <w:t>rekonstravimas.</w:t>
                        </w:r>
                        <w:r>
                          <w:rPr>
                            <w:color w:val="000000"/>
                            <w:sz w:val="24"/>
                          </w:rPr>
                          <w:br/>
                        </w:r>
                        <w:r>
                          <w:rPr>
                            <w:color w:val="000000"/>
                            <w:sz w:val="24"/>
                          </w:rPr>
                          <w:br/>
                        </w:r>
                        <w:r>
                          <w:rPr>
                            <w:b/>
                            <w:color w:val="000000"/>
                            <w:sz w:val="24"/>
                          </w:rPr>
                          <w:t xml:space="preserve">6. Etapas: </w:t>
                        </w:r>
                        <w:r>
                          <w:rPr>
                            <w:color w:val="000000"/>
                            <w:sz w:val="24"/>
                          </w:rPr>
                          <w:t>Projektiniai pasiūlymai.</w:t>
                        </w:r>
                        <w:r>
                          <w:rPr>
                            <w:color w:val="000000"/>
                            <w:sz w:val="24"/>
                          </w:rPr>
                          <w:br/>
                        </w:r>
                        <w:r>
                          <w:rPr>
                            <w:color w:val="000000"/>
                            <w:sz w:val="24"/>
                          </w:rPr>
                          <w:br/>
                        </w:r>
                        <w:r>
                          <w:rPr>
                            <w:b/>
                            <w:color w:val="000000"/>
                            <w:sz w:val="24"/>
                          </w:rPr>
                          <w:t xml:space="preserve">7. Statinio kategorija: </w:t>
                        </w:r>
                        <w:r>
                          <w:rPr>
                            <w:color w:val="000000"/>
                            <w:sz w:val="24"/>
                          </w:rPr>
                          <w:t>ypatingasis statinys.</w:t>
                        </w:r>
                        <w:r>
                          <w:rPr>
                            <w:color w:val="000000"/>
                            <w:sz w:val="24"/>
                          </w:rPr>
                          <w:br/>
                        </w:r>
                        <w:r>
                          <w:rPr>
                            <w:color w:val="000000"/>
                            <w:sz w:val="24"/>
                          </w:rPr>
                          <w:br/>
                        </w:r>
                        <w:r>
                          <w:rPr>
                            <w:b/>
                            <w:color w:val="000000"/>
                            <w:sz w:val="24"/>
                          </w:rPr>
                          <w:t xml:space="preserve">8. Statinio rūšis: </w:t>
                        </w:r>
                        <w:r>
                          <w:rPr>
                            <w:color w:val="000000"/>
                            <w:sz w:val="24"/>
                          </w:rPr>
                          <w:t>inžinerinis statinys.</w:t>
                        </w:r>
                        <w:r>
                          <w:rPr>
                            <w:color w:val="000000"/>
                            <w:sz w:val="24"/>
                          </w:rPr>
                          <w:br/>
                        </w:r>
                        <w:r>
                          <w:rPr>
                            <w:color w:val="000000"/>
                            <w:sz w:val="24"/>
                          </w:rPr>
                          <w:br/>
                        </w:r>
                        <w:r>
                          <w:rPr>
                            <w:b/>
                            <w:color w:val="000000"/>
                            <w:sz w:val="24"/>
                          </w:rPr>
                          <w:t xml:space="preserve">9. Inžinerinių statinių grupė: </w:t>
                        </w:r>
                        <w:r>
                          <w:rPr>
                            <w:color w:val="000000"/>
                            <w:sz w:val="24"/>
                          </w:rPr>
                          <w:t>susisiekimo komunikacijos.</w:t>
                        </w:r>
                        <w:r>
                          <w:rPr>
                            <w:color w:val="000000"/>
                            <w:sz w:val="24"/>
                          </w:rPr>
                          <w:br/>
                        </w:r>
                        <w:r>
                          <w:rPr>
                            <w:color w:val="000000"/>
                            <w:sz w:val="24"/>
                          </w:rPr>
                          <w:br/>
                        </w:r>
                        <w:r>
                          <w:rPr>
                            <w:b/>
                            <w:color w:val="000000"/>
                            <w:sz w:val="24"/>
                          </w:rPr>
                          <w:lastRenderedPageBreak/>
                          <w:t xml:space="preserve">10. Inžinerinių statinių pogrupis: </w:t>
                        </w:r>
                        <w:r>
                          <w:rPr>
                            <w:color w:val="000000"/>
                            <w:sz w:val="24"/>
                          </w:rPr>
                          <w:t>keliai; kiti transporto statiniai.</w:t>
                        </w:r>
                        <w:r>
                          <w:rPr>
                            <w:color w:val="000000"/>
                            <w:sz w:val="24"/>
                          </w:rPr>
                          <w:br/>
                        </w:r>
                      </w:p>
                    </w:tc>
                  </w:tr>
                  <w:tr w:rsidR="00C71D57" w14:paraId="0D592D50" w14:textId="77777777" w:rsidTr="00C71D57">
                    <w:trPr>
                      <w:trHeight w:val="446"/>
                    </w:trPr>
                    <w:tc>
                      <w:tcPr>
                        <w:tcW w:w="3257" w:type="dxa"/>
                        <w:gridSpan w:val="3"/>
                        <w:tcBorders>
                          <w:top w:val="nil"/>
                          <w:left w:val="nil"/>
                          <w:bottom w:val="nil"/>
                          <w:right w:val="nil"/>
                        </w:tcBorders>
                        <w:tcMar>
                          <w:top w:w="39" w:type="dxa"/>
                          <w:left w:w="39" w:type="dxa"/>
                          <w:bottom w:w="39" w:type="dxa"/>
                          <w:right w:w="39" w:type="dxa"/>
                        </w:tcMar>
                      </w:tcPr>
                      <w:p w14:paraId="0D592D4D" w14:textId="77777777" w:rsidR="00561E7D" w:rsidRDefault="00000000">
                        <w:pPr>
                          <w:spacing w:after="0" w:line="240" w:lineRule="auto"/>
                        </w:pPr>
                        <w:r>
                          <w:rPr>
                            <w:b/>
                            <w:color w:val="000000"/>
                            <w:sz w:val="24"/>
                          </w:rPr>
                          <w:lastRenderedPageBreak/>
                          <w:t>11. Nurodymai statinių ir / arba jų elementų projektavimui ir jų techniniai parametrai:</w:t>
                        </w:r>
                      </w:p>
                    </w:tc>
                  </w:tr>
                  <w:tr w:rsidR="00C71D57" w14:paraId="0D592D54" w14:textId="77777777" w:rsidTr="00C71D57">
                    <w:trPr>
                      <w:trHeight w:val="431"/>
                    </w:trPr>
                    <w:tc>
                      <w:tcPr>
                        <w:tcW w:w="3257" w:type="dxa"/>
                        <w:gridSpan w:val="3"/>
                        <w:tcBorders>
                          <w:top w:val="nil"/>
                          <w:left w:val="nil"/>
                          <w:bottom w:val="nil"/>
                          <w:right w:val="nil"/>
                        </w:tcBorders>
                        <w:tcMar>
                          <w:top w:w="39" w:type="dxa"/>
                          <w:left w:w="39" w:type="dxa"/>
                          <w:bottom w:w="39" w:type="dxa"/>
                          <w:right w:w="39" w:type="dxa"/>
                        </w:tcMar>
                      </w:tcPr>
                      <w:p w14:paraId="0D592D51" w14:textId="77777777" w:rsidR="00561E7D" w:rsidRDefault="00000000">
                        <w:pPr>
                          <w:spacing w:after="0" w:line="240" w:lineRule="auto"/>
                          <w:ind w:left="720" w:hanging="360"/>
                        </w:pPr>
                        <w:r>
                          <w:rPr>
                            <w:i/>
                            <w:color w:val="000000"/>
                            <w:sz w:val="24"/>
                          </w:rPr>
                          <w:t xml:space="preserve">11.1. numatoma darbų vykdymo riba: </w:t>
                        </w:r>
                        <w:r>
                          <w:rPr>
                            <w:color w:val="000000"/>
                            <w:sz w:val="24"/>
                          </w:rPr>
                          <w:t>Ruožo darbų pradžia - 93,5 km, pabaiga - 99,29 km. Esant poreikiui ribas tikslinti projektavimo metu;</w:t>
                        </w:r>
                        <w:r>
                          <w:rPr>
                            <w:color w:val="000000"/>
                            <w:sz w:val="24"/>
                          </w:rPr>
                          <w:br/>
                        </w:r>
                        <w:r>
                          <w:rPr>
                            <w:color w:val="000000"/>
                            <w:sz w:val="24"/>
                          </w:rPr>
                          <w:br/>
                        </w:r>
                        <w:r>
                          <w:rPr>
                            <w:i/>
                            <w:color w:val="000000"/>
                            <w:sz w:val="24"/>
                          </w:rPr>
                          <w:t xml:space="preserve">11.2. kelio (gatvės) kategorija: </w:t>
                        </w:r>
                        <w:r>
                          <w:rPr>
                            <w:color w:val="000000"/>
                            <w:sz w:val="24"/>
                          </w:rPr>
                          <w:t>I. Eismo juostų skaičius turi būti projektuojamas vadovaujantis priedu Nr.4 - "Eismo juostų skaičiaus koncepsija kelyje A1";</w:t>
                        </w:r>
                        <w:r>
                          <w:rPr>
                            <w:color w:val="000000"/>
                            <w:sz w:val="24"/>
                          </w:rPr>
                          <w:br/>
                        </w:r>
                        <w:r>
                          <w:rPr>
                            <w:color w:val="000000"/>
                            <w:sz w:val="24"/>
                          </w:rPr>
                          <w:br/>
                        </w:r>
                        <w:r>
                          <w:rPr>
                            <w:i/>
                            <w:color w:val="000000"/>
                            <w:sz w:val="24"/>
                          </w:rPr>
                          <w:t xml:space="preserve">11.3. tilto / viaduko / estakados apkrovos: </w:t>
                        </w:r>
                        <w:r>
                          <w:rPr>
                            <w:color w:val="000000"/>
                            <w:sz w:val="24"/>
                          </w:rPr>
                          <w:t>Pagal LST EN1991-2 (arba lygiavertis);</w:t>
                        </w:r>
                        <w:r>
                          <w:rPr>
                            <w:color w:val="000000"/>
                            <w:sz w:val="24"/>
                          </w:rPr>
                          <w:br/>
                        </w:r>
                        <w:r>
                          <w:rPr>
                            <w:color w:val="000000"/>
                            <w:sz w:val="24"/>
                          </w:rPr>
                          <w:br/>
                        </w:r>
                        <w:r>
                          <w:rPr>
                            <w:i/>
                            <w:color w:val="000000"/>
                            <w:sz w:val="24"/>
                          </w:rPr>
                          <w:t xml:space="preserve">11.4. skirtingų lygių sankryžos: </w:t>
                        </w:r>
                        <w:r>
                          <w:rPr>
                            <w:color w:val="000000"/>
                            <w:sz w:val="24"/>
                          </w:rPr>
                          <w:t>1. Rekonstruoti esamą dviejų lygių sankryžą su prieigomis ties 95,5 km (Biruliškių sankryža);</w:t>
                        </w:r>
                        <w:r>
                          <w:rPr>
                            <w:color w:val="000000"/>
                            <w:sz w:val="24"/>
                          </w:rPr>
                          <w:br/>
                        </w:r>
                        <w:r>
                          <w:rPr>
                            <w:color w:val="000000"/>
                            <w:sz w:val="24"/>
                          </w:rPr>
                          <w:br/>
                        </w:r>
                        <w:r>
                          <w:rPr>
                            <w:i/>
                            <w:color w:val="000000"/>
                            <w:sz w:val="24"/>
                          </w:rPr>
                          <w:t xml:space="preserve">11.5. tiltai / viadukai / estakados: </w:t>
                        </w:r>
                        <w:r>
                          <w:rPr>
                            <w:color w:val="000000"/>
                            <w:sz w:val="24"/>
                          </w:rPr>
                          <w:t>1. Įvertinti esamo pėsčiųjų viaduko ties 97,0 km sprendinius. Kelio rekonstravimo sprendiniai turi būti parinkti tokie, kad išvengti esamo viaduko rekonstravimo darbų. Nesant galimybės užtikrinti norminių gabarito reikalavimų (pločio, aukščio ir pan.) numatyti esamo viaduko rekonstravimo sprendinius, pateikiant Užsakovui argumentus, kodėl tai yra būtina padaryti; 2. Įvertinti esamo pėsčiųjų viaduko ties 99,0 km sprendinius. Kelio rekonstravimo sprendiniai turi būti parinkti tokie, kad išvengti esamo viaduko rekonstravimo darbų. Nesant galimybės užtikrinti norminių gabarito reikalavimų (pločio, aukščio ir pan.) numatyti esamo viaduko rekonstravimo sprendinius, pateikiant Užsakovui argumentus, kodėl tai yra būtina padaryti;</w:t>
                        </w:r>
                        <w:r>
                          <w:rPr>
                            <w:color w:val="000000"/>
                            <w:sz w:val="24"/>
                          </w:rPr>
                          <w:br/>
                        </w:r>
                        <w:r>
                          <w:rPr>
                            <w:color w:val="000000"/>
                            <w:sz w:val="24"/>
                          </w:rPr>
                          <w:br/>
                        </w:r>
                        <w:r>
                          <w:rPr>
                            <w:i/>
                            <w:color w:val="000000"/>
                            <w:sz w:val="24"/>
                          </w:rPr>
                          <w:t xml:space="preserve">11.6. važiuojamosios dalies skersinis profilis: </w:t>
                        </w:r>
                        <w:r>
                          <w:rPr>
                            <w:color w:val="000000"/>
                            <w:sz w:val="24"/>
                          </w:rPr>
                          <w:t>Pagal normatyvinių dokumentų reikalavimus;</w:t>
                        </w:r>
                        <w:r>
                          <w:rPr>
                            <w:color w:val="000000"/>
                            <w:sz w:val="24"/>
                          </w:rPr>
                          <w:br/>
                        </w:r>
                        <w:r>
                          <w:rPr>
                            <w:color w:val="000000"/>
                            <w:sz w:val="24"/>
                          </w:rPr>
                          <w:br/>
                        </w:r>
                        <w:r>
                          <w:rPr>
                            <w:i/>
                            <w:color w:val="000000"/>
                            <w:sz w:val="24"/>
                          </w:rPr>
                          <w:t xml:space="preserve">11.7. dangos konstrukcijos klasė: </w:t>
                        </w:r>
                        <w:r>
                          <w:rPr>
                            <w:color w:val="000000"/>
                            <w:sz w:val="24"/>
                          </w:rPr>
                          <w:t>Pagal KPT SDK 19 „Automobilių kelių standartizuotų dangų konstrukcijų projektavimo taisykles“; ;</w:t>
                        </w:r>
                        <w:r>
                          <w:rPr>
                            <w:color w:val="000000"/>
                            <w:sz w:val="24"/>
                          </w:rPr>
                          <w:br/>
                        </w:r>
                        <w:r>
                          <w:rPr>
                            <w:color w:val="000000"/>
                            <w:sz w:val="24"/>
                          </w:rPr>
                          <w:br/>
                        </w:r>
                        <w:r>
                          <w:rPr>
                            <w:i/>
                            <w:color w:val="000000"/>
                            <w:sz w:val="24"/>
                          </w:rPr>
                          <w:t xml:space="preserve">11.8. numatomi / rekonstruojami inžineriniai tinklai: </w:t>
                        </w:r>
                        <w:r>
                          <w:rPr>
                            <w:color w:val="000000"/>
                            <w:sz w:val="24"/>
                          </w:rPr>
                          <w:t>Poreikis nustatomas projektavimo metu;</w:t>
                        </w:r>
                        <w:r>
                          <w:rPr>
                            <w:color w:val="000000"/>
                            <w:sz w:val="24"/>
                          </w:rPr>
                          <w:br/>
                        </w:r>
                        <w:r>
                          <w:rPr>
                            <w:color w:val="000000"/>
                            <w:sz w:val="24"/>
                          </w:rPr>
                          <w:br/>
                        </w:r>
                        <w:r>
                          <w:rPr>
                            <w:i/>
                            <w:color w:val="000000"/>
                            <w:sz w:val="24"/>
                          </w:rPr>
                          <w:t xml:space="preserve">11.9. vandens pralaidos: </w:t>
                        </w:r>
                        <w:r>
                          <w:rPr>
                            <w:color w:val="000000"/>
                            <w:sz w:val="24"/>
                          </w:rPr>
                          <w:t>Poreikis nustatomas projektavimo metu;</w:t>
                        </w:r>
                        <w:r>
                          <w:rPr>
                            <w:color w:val="000000"/>
                            <w:sz w:val="24"/>
                          </w:rPr>
                          <w:br/>
                        </w:r>
                        <w:r>
                          <w:rPr>
                            <w:color w:val="000000"/>
                            <w:sz w:val="24"/>
                          </w:rPr>
                          <w:br/>
                        </w:r>
                        <w:r>
                          <w:rPr>
                            <w:i/>
                            <w:color w:val="000000"/>
                            <w:sz w:val="24"/>
                          </w:rPr>
                          <w:t xml:space="preserve">11.10. vandens nuleidimas nuo kelio: </w:t>
                        </w:r>
                        <w:r>
                          <w:rPr>
                            <w:color w:val="000000"/>
                            <w:sz w:val="24"/>
                          </w:rPr>
                          <w:t>Spręsti lietaus vandens surinkimą ir nuvedimą projektavimo metu (neprojektuoti lietaus vandens nuvedimo į privačias teritorijas);</w:t>
                        </w:r>
                        <w:r>
                          <w:rPr>
                            <w:color w:val="000000"/>
                            <w:sz w:val="24"/>
                          </w:rPr>
                          <w:br/>
                        </w:r>
                        <w:r>
                          <w:rPr>
                            <w:color w:val="000000"/>
                            <w:sz w:val="24"/>
                          </w:rPr>
                          <w:br/>
                        </w:r>
                        <w:r>
                          <w:rPr>
                            <w:i/>
                            <w:color w:val="000000"/>
                            <w:sz w:val="24"/>
                          </w:rPr>
                          <w:t xml:space="preserve">11.11. inžinerinės eismo saugos priemonės: </w:t>
                        </w:r>
                        <w:r>
                          <w:rPr>
                            <w:color w:val="000000"/>
                            <w:sz w:val="24"/>
                          </w:rPr>
                          <w:t>Poreikis nustatomas projektavimo metu, vadovaujantis „Inžinerinių eismo saugumo priemonių įgyvendinimo rekomendacijomis“;</w:t>
                        </w:r>
                        <w:r>
                          <w:rPr>
                            <w:color w:val="000000"/>
                            <w:sz w:val="24"/>
                          </w:rPr>
                          <w:br/>
                        </w:r>
                        <w:r>
                          <w:rPr>
                            <w:color w:val="000000"/>
                            <w:sz w:val="24"/>
                          </w:rPr>
                          <w:br/>
                        </w:r>
                        <w:r>
                          <w:rPr>
                            <w:i/>
                            <w:color w:val="000000"/>
                            <w:sz w:val="24"/>
                          </w:rPr>
                          <w:t xml:space="preserve">11.12. apšvietimas: </w:t>
                        </w:r>
                        <w:r>
                          <w:rPr>
                            <w:color w:val="000000"/>
                            <w:sz w:val="24"/>
                          </w:rPr>
                          <w:t>Esant poreikiui numatyti esamo remontą/rekonstravimą, esamų atramų perstatymą ir naujų įrengimą, kad būtų užtikrinti teisės aktų ir normatyvinių dokumentų reikalavimai;</w:t>
                        </w:r>
                        <w:r>
                          <w:rPr>
                            <w:color w:val="000000"/>
                            <w:sz w:val="24"/>
                          </w:rPr>
                          <w:br/>
                        </w:r>
                        <w:r>
                          <w:rPr>
                            <w:color w:val="000000"/>
                            <w:sz w:val="24"/>
                          </w:rPr>
                          <w:br/>
                        </w:r>
                        <w:r>
                          <w:rPr>
                            <w:i/>
                            <w:color w:val="000000"/>
                            <w:sz w:val="24"/>
                          </w:rPr>
                          <w:t xml:space="preserve">11.13. triukšmo mažinimo priemonės: </w:t>
                        </w:r>
                        <w:r>
                          <w:rPr>
                            <w:color w:val="000000"/>
                            <w:sz w:val="24"/>
                          </w:rPr>
                          <w:t>Vadovautis Techninės specifikacijos reikalavimais;</w:t>
                        </w:r>
                        <w:r>
                          <w:rPr>
                            <w:color w:val="000000"/>
                            <w:sz w:val="24"/>
                          </w:rPr>
                          <w:br/>
                        </w:r>
                        <w:r>
                          <w:rPr>
                            <w:color w:val="000000"/>
                            <w:sz w:val="24"/>
                          </w:rPr>
                          <w:br/>
                        </w:r>
                        <w:r>
                          <w:rPr>
                            <w:i/>
                            <w:color w:val="000000"/>
                            <w:sz w:val="24"/>
                          </w:rPr>
                          <w:lastRenderedPageBreak/>
                          <w:t xml:space="preserve">11.14. laukinių gyvūnų apsaugos sistemos: </w:t>
                        </w:r>
                        <w:r>
                          <w:rPr>
                            <w:color w:val="000000"/>
                            <w:sz w:val="24"/>
                          </w:rPr>
                          <w:t>Vadovautis Techninės specifikacijos reikalavimais;</w:t>
                        </w:r>
                        <w:r>
                          <w:rPr>
                            <w:color w:val="000000"/>
                            <w:sz w:val="24"/>
                          </w:rPr>
                          <w:br/>
                        </w:r>
                        <w:r>
                          <w:rPr>
                            <w:color w:val="000000"/>
                            <w:sz w:val="24"/>
                          </w:rPr>
                          <w:br/>
                        </w:r>
                        <w:r>
                          <w:rPr>
                            <w:i/>
                            <w:color w:val="000000"/>
                            <w:sz w:val="24"/>
                          </w:rPr>
                          <w:t xml:space="preserve">11.15. atlikti planuojamos ūkinės veiklos poveikio aplinkai vertinimą: </w:t>
                        </w:r>
                        <w:r>
                          <w:rPr>
                            <w:color w:val="000000"/>
                            <w:sz w:val="24"/>
                          </w:rPr>
                          <w:t>Vadovautis Techninės specifikacijos reikalavimais;</w:t>
                        </w:r>
                        <w:r>
                          <w:rPr>
                            <w:color w:val="000000"/>
                            <w:sz w:val="24"/>
                          </w:rPr>
                          <w:br/>
                        </w:r>
                        <w:r>
                          <w:rPr>
                            <w:color w:val="000000"/>
                            <w:sz w:val="24"/>
                          </w:rPr>
                          <w:br/>
                        </w:r>
                        <w:r>
                          <w:rPr>
                            <w:i/>
                            <w:color w:val="000000"/>
                            <w:sz w:val="24"/>
                          </w:rPr>
                          <w:t xml:space="preserve">11.16. kiti reikalavimai: </w:t>
                        </w:r>
                        <w:r>
                          <w:rPr>
                            <w:color w:val="000000"/>
                            <w:sz w:val="24"/>
                          </w:rPr>
                          <w:t>Pasiūlyti variantus kaip būtų galima įgyvendinti projekto sprendinius etapais bei parengti rekomenduojamas eismo organizavimo planus etapų įgyvendinimo metu.</w:t>
                        </w:r>
                        <w:r>
                          <w:rPr>
                            <w:color w:val="000000"/>
                            <w:sz w:val="24"/>
                          </w:rPr>
                          <w:br/>
                          <w:t xml:space="preserve"> </w:t>
                        </w:r>
                      </w:p>
                    </w:tc>
                  </w:tr>
                  <w:tr w:rsidR="00C71D57" w14:paraId="0D592D58" w14:textId="77777777" w:rsidTr="00C71D57">
                    <w:trPr>
                      <w:trHeight w:val="481"/>
                    </w:trPr>
                    <w:tc>
                      <w:tcPr>
                        <w:tcW w:w="3257" w:type="dxa"/>
                        <w:gridSpan w:val="3"/>
                        <w:tcBorders>
                          <w:top w:val="nil"/>
                          <w:left w:val="nil"/>
                          <w:bottom w:val="nil"/>
                          <w:right w:val="nil"/>
                        </w:tcBorders>
                        <w:tcMar>
                          <w:top w:w="39" w:type="dxa"/>
                          <w:left w:w="39" w:type="dxa"/>
                          <w:bottom w:w="39" w:type="dxa"/>
                          <w:right w:w="39" w:type="dxa"/>
                        </w:tcMar>
                      </w:tcPr>
                      <w:p w14:paraId="0D592D55" w14:textId="77777777" w:rsidR="00561E7D" w:rsidRDefault="00000000">
                        <w:pPr>
                          <w:spacing w:after="0" w:line="240" w:lineRule="auto"/>
                        </w:pPr>
                        <w:r>
                          <w:rPr>
                            <w:b/>
                            <w:color w:val="000000"/>
                            <w:sz w:val="24"/>
                          </w:rPr>
                          <w:lastRenderedPageBreak/>
                          <w:t>12. Projektuojant vadovautis šiais dokumentais:</w:t>
                        </w:r>
                      </w:p>
                    </w:tc>
                  </w:tr>
                  <w:tr w:rsidR="00C71D57" w14:paraId="0D592D5C" w14:textId="77777777" w:rsidTr="00C71D57">
                    <w:trPr>
                      <w:trHeight w:val="581"/>
                    </w:trPr>
                    <w:tc>
                      <w:tcPr>
                        <w:tcW w:w="3257" w:type="dxa"/>
                        <w:gridSpan w:val="3"/>
                        <w:tcBorders>
                          <w:top w:val="nil"/>
                          <w:left w:val="nil"/>
                          <w:bottom w:val="nil"/>
                          <w:right w:val="nil"/>
                        </w:tcBorders>
                        <w:tcMar>
                          <w:top w:w="39" w:type="dxa"/>
                          <w:left w:w="39" w:type="dxa"/>
                          <w:bottom w:w="39" w:type="dxa"/>
                          <w:right w:w="39" w:type="dxa"/>
                        </w:tcMar>
                      </w:tcPr>
                      <w:p w14:paraId="0D592D59" w14:textId="77777777" w:rsidR="00561E7D" w:rsidRDefault="00000000">
                        <w:pPr>
                          <w:spacing w:after="0" w:line="240" w:lineRule="auto"/>
                          <w:ind w:left="720" w:hanging="360"/>
                        </w:pPr>
                        <w:r>
                          <w:rPr>
                            <w:i/>
                            <w:color w:val="000000"/>
                            <w:sz w:val="24"/>
                          </w:rPr>
                          <w:t xml:space="preserve">12.1. Lietuvos Respublikos kelių įstatymu, Lietuvos Respublikos statybos įstatymu, kelių techniniu reglamentu, statybos techniniais reglamentais, higienos normomis, kitais poįstatyminiais teisės aktais: </w:t>
                        </w:r>
                        <w:r>
                          <w:rPr>
                            <w:color w:val="000000"/>
                            <w:sz w:val="24"/>
                          </w:rPr>
                          <w:t>Taip;</w:t>
                        </w:r>
                        <w:r>
                          <w:rPr>
                            <w:color w:val="000000"/>
                            <w:sz w:val="24"/>
                          </w:rPr>
                          <w:br/>
                        </w:r>
                        <w:r>
                          <w:rPr>
                            <w:color w:val="000000"/>
                            <w:sz w:val="24"/>
                          </w:rPr>
                          <w:br/>
                        </w:r>
                        <w:r>
                          <w:rPr>
                            <w:i/>
                            <w:color w:val="000000"/>
                            <w:sz w:val="24"/>
                          </w:rPr>
                          <w:t xml:space="preserve">12.2. kitais galiojančiais įstatymais, teisės aktais ir normatyviniais statybos techniniais dokumentais, įskaitant, bet neapsiribojant, nurodytais Akcinės bendrovės Lietuvos automobilių kelių direkcijos interneto svetainėje adresu http://lakd.lt/lt/paslaugos/normatyviniai-dokumentai : </w:t>
                        </w:r>
                        <w:r>
                          <w:rPr>
                            <w:color w:val="000000"/>
                            <w:sz w:val="24"/>
                          </w:rPr>
                          <w:t>Taip;</w:t>
                        </w:r>
                        <w:r>
                          <w:rPr>
                            <w:color w:val="000000"/>
                            <w:sz w:val="24"/>
                          </w:rPr>
                          <w:br/>
                        </w:r>
                        <w:r>
                          <w:rPr>
                            <w:color w:val="000000"/>
                            <w:sz w:val="24"/>
                          </w:rPr>
                          <w:br/>
                        </w:r>
                        <w:r>
                          <w:rPr>
                            <w:i/>
                            <w:color w:val="000000"/>
                            <w:sz w:val="24"/>
                          </w:rPr>
                          <w:t xml:space="preserve">12.3. projekto rengimo dokumentais: </w:t>
                        </w:r>
                        <w:r>
                          <w:rPr>
                            <w:color w:val="000000"/>
                            <w:sz w:val="24"/>
                          </w:rPr>
                          <w:t>Taip;</w:t>
                        </w:r>
                        <w:r>
                          <w:rPr>
                            <w:color w:val="000000"/>
                            <w:sz w:val="24"/>
                          </w:rPr>
                          <w:br/>
                        </w:r>
                        <w:r>
                          <w:rPr>
                            <w:color w:val="000000"/>
                            <w:sz w:val="24"/>
                          </w:rPr>
                          <w:br/>
                        </w:r>
                        <w:r>
                          <w:rPr>
                            <w:i/>
                            <w:color w:val="000000"/>
                            <w:sz w:val="24"/>
                          </w:rPr>
                          <w:t xml:space="preserve">12.4. prisijungimo sąlygomis: </w:t>
                        </w:r>
                        <w:r>
                          <w:rPr>
                            <w:color w:val="000000"/>
                            <w:sz w:val="24"/>
                          </w:rPr>
                          <w:t>Taip;</w:t>
                        </w:r>
                        <w:r>
                          <w:rPr>
                            <w:color w:val="000000"/>
                            <w:sz w:val="24"/>
                          </w:rPr>
                          <w:br/>
                        </w:r>
                        <w:r>
                          <w:rPr>
                            <w:color w:val="000000"/>
                            <w:sz w:val="24"/>
                          </w:rPr>
                          <w:br/>
                        </w:r>
                        <w:r>
                          <w:rPr>
                            <w:i/>
                            <w:color w:val="000000"/>
                            <w:sz w:val="24"/>
                          </w:rPr>
                          <w:t xml:space="preserve">12.5. papildomais dokumentais: </w:t>
                        </w:r>
                        <w:r>
                          <w:rPr>
                            <w:color w:val="000000"/>
                            <w:sz w:val="24"/>
                          </w:rPr>
                          <w:t>1.Valstybinės reikšmės magistralinio kelio A1 Vilnius-Kaunas-Klaipėda ruožo nuo 94,00 iki 107,00 km rekonstravimo specialusis planas patvirtintas Kauno r. sav. tarybos sprendimu Nr.TS-522, 2013-12-19 ir Kauno m. sav. tarybos sprendimu Nr.T-106, 2014-02-27 (žr. internete adresu www.tpdr.lt; https://external.tpdr.lt/?formId=tpsearch TDP registracijos Nr. T00070644); 2.Atsižvelgti ir įvertinti į parengto projekto "Valstybinės reikšmės magistralinio kelio A1 Vilnius-Kaunas-Klaipėda ruožo nuo 97,600 iki 98,310 km kapitalinio remonto, įrengiant sankryžos jungiamuosius kelius, greitėjimo (lėtėjimo) juostas, techninis darbo projektas" sprendinius; 3.Atsižvelgti ir įvertinti į parengto projekto "Skirtingų lygių sankryžos ties magistralinio kelio A1 Vilnius-Kaunas-Klaipėda 98,100 km Kauno mieste (ties Ašigalio g.) statybos darbų techninis projektas" sprendinius (https://pirkimai.eviesiejipirkimai.lt/app/rfq/publicpurchase_docs.asp?PID=769576&amp;LID=898491&amp;AllowPrint=1); .</w:t>
                        </w:r>
                        <w:r>
                          <w:rPr>
                            <w:color w:val="000000"/>
                            <w:sz w:val="24"/>
                          </w:rPr>
                          <w:br/>
                          <w:t xml:space="preserve"> </w:t>
                        </w:r>
                      </w:p>
                    </w:tc>
                  </w:tr>
                  <w:tr w:rsidR="00C71D57" w14:paraId="0D592D60" w14:textId="77777777" w:rsidTr="00C71D57">
                    <w:trPr>
                      <w:trHeight w:val="1135"/>
                    </w:trPr>
                    <w:tc>
                      <w:tcPr>
                        <w:tcW w:w="3257" w:type="dxa"/>
                        <w:gridSpan w:val="3"/>
                        <w:tcBorders>
                          <w:top w:val="nil"/>
                          <w:left w:val="nil"/>
                          <w:bottom w:val="nil"/>
                          <w:right w:val="nil"/>
                        </w:tcBorders>
                        <w:tcMar>
                          <w:top w:w="39" w:type="dxa"/>
                          <w:left w:w="39" w:type="dxa"/>
                          <w:bottom w:w="39" w:type="dxa"/>
                          <w:right w:w="39" w:type="dxa"/>
                        </w:tcMar>
                      </w:tcPr>
                      <w:p w14:paraId="0D592D5D" w14:textId="77777777" w:rsidR="00561E7D" w:rsidRDefault="00000000">
                        <w:pPr>
                          <w:spacing w:after="0" w:line="240" w:lineRule="auto"/>
                        </w:pPr>
                        <w:r>
                          <w:rPr>
                            <w:b/>
                            <w:color w:val="000000"/>
                            <w:sz w:val="24"/>
                          </w:rPr>
                          <w:t xml:space="preserve">13. Finansavimo šaltinis: </w:t>
                        </w:r>
                        <w:r>
                          <w:rPr>
                            <w:color w:val="000000"/>
                            <w:sz w:val="24"/>
                          </w:rPr>
                          <w:br/>
                          <w:t>Kelių priežiūros ir plėtros programos lėšos; Europos Sąjungos struktūrinių fondų lėšos.</w:t>
                        </w:r>
                        <w:r>
                          <w:rPr>
                            <w:color w:val="000000"/>
                            <w:sz w:val="24"/>
                          </w:rPr>
                          <w:br/>
                        </w:r>
                        <w:r>
                          <w:rPr>
                            <w:color w:val="000000"/>
                            <w:sz w:val="24"/>
                          </w:rPr>
                          <w:br/>
                        </w:r>
                        <w:r>
                          <w:rPr>
                            <w:b/>
                            <w:color w:val="000000"/>
                            <w:sz w:val="24"/>
                          </w:rPr>
                          <w:t xml:space="preserve">14. Projekto apimtis: </w:t>
                        </w:r>
                        <w:r>
                          <w:rPr>
                            <w:color w:val="000000"/>
                            <w:sz w:val="24"/>
                          </w:rPr>
                          <w:br/>
                          <w:t>Pagal STR 1.04.04:2017 „Statinio projektavimas, projekto ekspertizė“.</w:t>
                        </w:r>
                        <w:r>
                          <w:rPr>
                            <w:color w:val="000000"/>
                            <w:sz w:val="24"/>
                          </w:rPr>
                          <w:br/>
                        </w:r>
                        <w:r>
                          <w:rPr>
                            <w:color w:val="000000"/>
                            <w:sz w:val="24"/>
                          </w:rPr>
                          <w:br/>
                        </w:r>
                        <w:r>
                          <w:rPr>
                            <w:b/>
                            <w:color w:val="000000"/>
                            <w:sz w:val="24"/>
                          </w:rPr>
                          <w:t xml:space="preserve">15. Papildomos paslaugos (paslaugos, deleguotos Statytojo projektuotojui): </w:t>
                        </w:r>
                        <w:r>
                          <w:rPr>
                            <w:color w:val="000000"/>
                            <w:sz w:val="24"/>
                          </w:rPr>
                          <w:br/>
                          <w:t>Atlikti kitas papildomas paslaugas kaip tai numato Techninė užduotis, Techninė specifikacija ir Sutarties sąlygos.</w:t>
                        </w:r>
                        <w:r>
                          <w:rPr>
                            <w:color w:val="000000"/>
                            <w:sz w:val="24"/>
                          </w:rPr>
                          <w:br/>
                        </w:r>
                        <w:r>
                          <w:rPr>
                            <w:color w:val="000000"/>
                            <w:sz w:val="24"/>
                          </w:rPr>
                          <w:br/>
                        </w:r>
                        <w:r>
                          <w:rPr>
                            <w:b/>
                            <w:color w:val="000000"/>
                            <w:sz w:val="24"/>
                          </w:rPr>
                          <w:t xml:space="preserve">16. Su šia užduotimi pateikiami Statytojo privalomieji ir kiti dokumentai projektui rengti bei šių dokumentų pateikimo laikotarpis: </w:t>
                        </w:r>
                        <w:r>
                          <w:rPr>
                            <w:color w:val="000000"/>
                            <w:sz w:val="24"/>
                          </w:rPr>
                          <w:br/>
                        </w:r>
                        <w:r>
                          <w:rPr>
                            <w:color w:val="000000"/>
                            <w:sz w:val="24"/>
                          </w:rPr>
                          <w:lastRenderedPageBreak/>
                          <w:t>Priedas Nr.1 - Techninė specifikacija; Priedas Nr.1.1 - BSR pvz; Priedas Nr.1.2 - Statinio fizinių rodiklių sąrašas; Priedas Nr.2 - BIM reikalavimai; Priedas Nr.3 - "Valstybinės reikšmės magistralinio kelio A1 Vilnius-Kaunas-Klaipėda ruožo nuo 97,600 iki 98,310 km kapitalinio remonto, įrengiant sankryžos jungiamuosius kelius, greitėjimo (lėtėjimo) juostas, techninis darbo projektas"; Priedas Nr.4 - Eismo juostų skaičiaus koncepsija kelyje A1; Priedas Nr.5 - Anksčiau parengtų bet neįgyvendintų projektų dokumentacija; Priedas Nr.6 - Transporto srautų tyrimų ir modeliavimo užduotis. .</w:t>
                        </w:r>
                        <w:r>
                          <w:rPr>
                            <w:color w:val="000000"/>
                            <w:sz w:val="24"/>
                          </w:rPr>
                          <w:br/>
                        </w:r>
                        <w:r>
                          <w:rPr>
                            <w:color w:val="000000"/>
                            <w:sz w:val="24"/>
                          </w:rPr>
                          <w:br/>
                        </w:r>
                        <w:r>
                          <w:rPr>
                            <w:b/>
                            <w:color w:val="000000"/>
                            <w:sz w:val="24"/>
                          </w:rPr>
                          <w:t xml:space="preserve">17. Žemės sklypo statinio teisinės registracijos Nekilnojamojo turto registre duomenys: </w:t>
                        </w:r>
                        <w:r>
                          <w:rPr>
                            <w:color w:val="000000"/>
                            <w:sz w:val="24"/>
                          </w:rPr>
                          <w:br/>
                          <w:t>Žemės sklypo unikalūs Nr: 4400-2158-3186; 4400-4915-3015; 4400-5130-7040; 4400-4913-9617; 4400-4495-1744; 4400-2694-1428; 4400-4915-7548; 4400-2528-1748; 4400-3207-3792; 4400-2527-7538; 4400-4982-8992. Inžinerinio statinio Nr: 4400-1088-9357; 4400-1858-8719; 4400-2659-8852; 4400-3115-9270.</w:t>
                        </w:r>
                        <w:r>
                          <w:rPr>
                            <w:color w:val="000000"/>
                            <w:sz w:val="24"/>
                          </w:rPr>
                          <w:br/>
                        </w:r>
                        <w:r>
                          <w:rPr>
                            <w:color w:val="000000"/>
                            <w:sz w:val="24"/>
                          </w:rPr>
                          <w:br/>
                        </w:r>
                        <w:r>
                          <w:rPr>
                            <w:b/>
                            <w:color w:val="000000"/>
                            <w:sz w:val="24"/>
                          </w:rPr>
                          <w:t xml:space="preserve">18. Kiti nurodymai / reikalavimai: </w:t>
                        </w:r>
                        <w:r>
                          <w:rPr>
                            <w:color w:val="000000"/>
                            <w:sz w:val="24"/>
                          </w:rPr>
                          <w:br/>
                          <w:t>1.Esamų ITS įrenginių pertvarkymo reikalavimai ir naujų poreikis pateiktas techninės specifikacijos p.11.17 2.Projekto apimtyje turi būti parengtas skaitmeninis statybos projekto modelis taikant BIM metodologiją pagal Užsakovo informacijos reikalavimų formose BIM-1, BIM-2 išdėstytus reikalavimus ir juos lydinčius priedus (pridedami). 3.Projektuojamų/rekonstruojamų statinių (viadukų) pagrindiniai konstrukciniai sprendiniai turi būti parenkami taikant variantinį projektavimo principą, t. y. turi būti siūlomi keli (bent 2) konstrukcijų elementų parinkimo sprendiniai. Pateikti siūlomų variantų palyginimą (taikymo privalumai bei trūkumai, ekonominis palyginimas).</w:t>
                        </w:r>
                        <w:r>
                          <w:rPr>
                            <w:color w:val="000000"/>
                            <w:sz w:val="24"/>
                          </w:rPr>
                          <w:br/>
                          <w:t xml:space="preserve"> </w:t>
                        </w:r>
                      </w:p>
                    </w:tc>
                  </w:tr>
                  <w:tr w:rsidR="00561E7D" w14:paraId="0D592D6C" w14:textId="77777777">
                    <w:trPr>
                      <w:trHeight w:val="2256"/>
                    </w:trPr>
                    <w:tc>
                      <w:tcPr>
                        <w:tcW w:w="3257" w:type="dxa"/>
                        <w:tcBorders>
                          <w:top w:val="nil"/>
                          <w:left w:val="nil"/>
                          <w:bottom w:val="nil"/>
                          <w:right w:val="nil"/>
                        </w:tcBorders>
                        <w:tcMar>
                          <w:top w:w="39" w:type="dxa"/>
                          <w:left w:w="39" w:type="dxa"/>
                          <w:bottom w:w="39" w:type="dxa"/>
                          <w:right w:w="39" w:type="dxa"/>
                        </w:tcMar>
                      </w:tcPr>
                      <w:p w14:paraId="0D592D61" w14:textId="77777777" w:rsidR="00561E7D" w:rsidRDefault="00561E7D">
                        <w:pPr>
                          <w:spacing w:after="0" w:line="240" w:lineRule="auto"/>
                          <w:jc w:val="center"/>
                        </w:pPr>
                      </w:p>
                      <w:p w14:paraId="0D592D62" w14:textId="77777777" w:rsidR="00561E7D" w:rsidRDefault="00000000">
                        <w:pPr>
                          <w:spacing w:after="0" w:line="240" w:lineRule="auto"/>
                          <w:jc w:val="center"/>
                        </w:pPr>
                        <w:r>
                          <w:rPr>
                            <w:color w:val="000000"/>
                            <w:sz w:val="24"/>
                          </w:rPr>
                          <w:t>STATYTOJAS</w:t>
                        </w:r>
                      </w:p>
                      <w:p w14:paraId="0D592D63" w14:textId="77777777" w:rsidR="00561E7D" w:rsidRDefault="00000000">
                        <w:pPr>
                          <w:spacing w:after="0" w:line="240" w:lineRule="auto"/>
                          <w:jc w:val="center"/>
                        </w:pPr>
                        <w:r>
                          <w:rPr>
                            <w:color w:val="000000"/>
                            <w:sz w:val="24"/>
                          </w:rPr>
                          <w:t>Akcinė bendrovė Via Lietuva</w:t>
                        </w:r>
                      </w:p>
                      <w:p w14:paraId="0D592D64" w14:textId="77777777" w:rsidR="00561E7D" w:rsidRDefault="00561E7D">
                        <w:pPr>
                          <w:spacing w:after="0" w:line="240" w:lineRule="auto"/>
                          <w:jc w:val="center"/>
                        </w:pPr>
                      </w:p>
                      <w:p w14:paraId="0D592D65" w14:textId="77777777" w:rsidR="00561E7D" w:rsidRDefault="00000000">
                        <w:pPr>
                          <w:spacing w:after="0" w:line="240" w:lineRule="auto"/>
                          <w:jc w:val="center"/>
                        </w:pPr>
                        <w:r>
                          <w:rPr>
                            <w:color w:val="000000"/>
                            <w:sz w:val="24"/>
                          </w:rPr>
                          <w:t>(vardas, pavardė, parašas, data)</w:t>
                        </w:r>
                      </w:p>
                    </w:tc>
                    <w:tc>
                      <w:tcPr>
                        <w:tcW w:w="3257" w:type="dxa"/>
                        <w:tcBorders>
                          <w:top w:val="nil"/>
                          <w:left w:val="nil"/>
                          <w:bottom w:val="nil"/>
                          <w:right w:val="nil"/>
                        </w:tcBorders>
                        <w:tcMar>
                          <w:top w:w="39" w:type="dxa"/>
                          <w:left w:w="39" w:type="dxa"/>
                          <w:bottom w:w="39" w:type="dxa"/>
                          <w:right w:w="39" w:type="dxa"/>
                        </w:tcMar>
                      </w:tcPr>
                      <w:p w14:paraId="0D592D66" w14:textId="77777777" w:rsidR="00561E7D" w:rsidRDefault="00561E7D">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0D592D67" w14:textId="77777777" w:rsidR="00561E7D" w:rsidRDefault="00561E7D">
                        <w:pPr>
                          <w:spacing w:after="0" w:line="240" w:lineRule="auto"/>
                          <w:jc w:val="center"/>
                        </w:pPr>
                      </w:p>
                      <w:p w14:paraId="0D592D68" w14:textId="77777777" w:rsidR="00561E7D" w:rsidRDefault="00000000">
                        <w:pPr>
                          <w:spacing w:after="0" w:line="240" w:lineRule="auto"/>
                          <w:jc w:val="center"/>
                        </w:pPr>
                        <w:r>
                          <w:rPr>
                            <w:color w:val="000000"/>
                            <w:sz w:val="24"/>
                          </w:rPr>
                          <w:t>PROJEKTUOTOJAS</w:t>
                        </w:r>
                      </w:p>
                      <w:p w14:paraId="0D592D69" w14:textId="77777777" w:rsidR="00561E7D" w:rsidRDefault="00561E7D">
                        <w:pPr>
                          <w:spacing w:after="0" w:line="240" w:lineRule="auto"/>
                          <w:jc w:val="center"/>
                        </w:pPr>
                      </w:p>
                      <w:p w14:paraId="0D592D6A" w14:textId="77777777" w:rsidR="00561E7D" w:rsidRDefault="00561E7D">
                        <w:pPr>
                          <w:spacing w:after="0" w:line="240" w:lineRule="auto"/>
                          <w:jc w:val="center"/>
                        </w:pPr>
                      </w:p>
                      <w:p w14:paraId="0D592D6B" w14:textId="77777777" w:rsidR="00561E7D" w:rsidRDefault="00000000">
                        <w:pPr>
                          <w:spacing w:after="0" w:line="240" w:lineRule="auto"/>
                          <w:jc w:val="center"/>
                        </w:pPr>
                        <w:r>
                          <w:rPr>
                            <w:color w:val="000000"/>
                            <w:sz w:val="24"/>
                          </w:rPr>
                          <w:t>(vardas, pavardė, parašas, data)</w:t>
                        </w:r>
                      </w:p>
                    </w:tc>
                  </w:tr>
                </w:tbl>
                <w:p w14:paraId="0D592D6D" w14:textId="77777777" w:rsidR="00561E7D" w:rsidRDefault="00561E7D">
                  <w:pPr>
                    <w:spacing w:after="0" w:line="240" w:lineRule="auto"/>
                  </w:pPr>
                </w:p>
              </w:tc>
            </w:tr>
          </w:tbl>
          <w:p w14:paraId="0D592D6F" w14:textId="77777777" w:rsidR="00561E7D" w:rsidRDefault="00561E7D">
            <w:pPr>
              <w:spacing w:after="0" w:line="240" w:lineRule="auto"/>
            </w:pPr>
          </w:p>
        </w:tc>
        <w:tc>
          <w:tcPr>
            <w:tcW w:w="614" w:type="dxa"/>
          </w:tcPr>
          <w:p w14:paraId="0D592D70" w14:textId="77777777" w:rsidR="00561E7D" w:rsidRDefault="00561E7D">
            <w:pPr>
              <w:pStyle w:val="EmptyCellLayoutStyle"/>
              <w:spacing w:after="0" w:line="240" w:lineRule="auto"/>
            </w:pPr>
          </w:p>
        </w:tc>
      </w:tr>
      <w:tr w:rsidR="00561E7D" w14:paraId="0D592D75" w14:textId="77777777">
        <w:trPr>
          <w:trHeight w:val="952"/>
        </w:trPr>
        <w:tc>
          <w:tcPr>
            <w:tcW w:w="638" w:type="dxa"/>
          </w:tcPr>
          <w:p w14:paraId="0D592D72" w14:textId="77777777" w:rsidR="00561E7D" w:rsidRDefault="00561E7D">
            <w:pPr>
              <w:pStyle w:val="EmptyCellLayoutStyle"/>
              <w:spacing w:after="0" w:line="240" w:lineRule="auto"/>
            </w:pPr>
          </w:p>
        </w:tc>
        <w:tc>
          <w:tcPr>
            <w:tcW w:w="9771" w:type="dxa"/>
          </w:tcPr>
          <w:p w14:paraId="0D592D73" w14:textId="77777777" w:rsidR="00561E7D" w:rsidRDefault="00561E7D">
            <w:pPr>
              <w:pStyle w:val="EmptyCellLayoutStyle"/>
              <w:spacing w:after="0" w:line="240" w:lineRule="auto"/>
            </w:pPr>
          </w:p>
        </w:tc>
        <w:tc>
          <w:tcPr>
            <w:tcW w:w="614" w:type="dxa"/>
          </w:tcPr>
          <w:p w14:paraId="0D592D74" w14:textId="77777777" w:rsidR="00561E7D" w:rsidRDefault="00561E7D">
            <w:pPr>
              <w:pStyle w:val="EmptyCellLayoutStyle"/>
              <w:spacing w:after="0" w:line="240" w:lineRule="auto"/>
            </w:pPr>
          </w:p>
        </w:tc>
      </w:tr>
    </w:tbl>
    <w:p w14:paraId="0D592D76" w14:textId="77777777" w:rsidR="00561E7D" w:rsidRDefault="00561E7D">
      <w:pPr>
        <w:spacing w:after="0" w:line="240" w:lineRule="auto"/>
      </w:pPr>
    </w:p>
    <w:sectPr w:rsidR="00561E7D">
      <w:pgSz w:w="12584" w:h="16837"/>
      <w:pgMar w:top="2125" w:right="566" w:bottom="2332" w:left="992" w:header="1559" w:footer="1133"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00739708">
    <w:abstractNumId w:val="0"/>
  </w:num>
  <w:num w:numId="2" w16cid:durableId="258830681">
    <w:abstractNumId w:val="1"/>
  </w:num>
  <w:num w:numId="3" w16cid:durableId="1589659486">
    <w:abstractNumId w:val="2"/>
  </w:num>
  <w:num w:numId="4" w16cid:durableId="2147115690">
    <w:abstractNumId w:val="3"/>
  </w:num>
  <w:num w:numId="5" w16cid:durableId="1556042183">
    <w:abstractNumId w:val="4"/>
  </w:num>
  <w:num w:numId="6" w16cid:durableId="2035032983">
    <w:abstractNumId w:val="5"/>
  </w:num>
  <w:num w:numId="7" w16cid:durableId="339551696">
    <w:abstractNumId w:val="6"/>
  </w:num>
  <w:num w:numId="8" w16cid:durableId="143133104">
    <w:abstractNumId w:val="7"/>
  </w:num>
  <w:num w:numId="9" w16cid:durableId="487136958">
    <w:abstractNumId w:val="8"/>
  </w:num>
  <w:num w:numId="10" w16cid:durableId="359816320">
    <w:abstractNumId w:val="9"/>
  </w:num>
  <w:num w:numId="11" w16cid:durableId="1777674966">
    <w:abstractNumId w:val="10"/>
  </w:num>
  <w:num w:numId="12" w16cid:durableId="721055213">
    <w:abstractNumId w:val="11"/>
  </w:num>
  <w:num w:numId="13" w16cid:durableId="935865015">
    <w:abstractNumId w:val="12"/>
  </w:num>
  <w:num w:numId="14" w16cid:durableId="640160357">
    <w:abstractNumId w:val="13"/>
  </w:num>
  <w:num w:numId="15" w16cid:durableId="1798991280">
    <w:abstractNumId w:val="14"/>
  </w:num>
  <w:num w:numId="16" w16cid:durableId="1662083426">
    <w:abstractNumId w:val="15"/>
  </w:num>
  <w:num w:numId="17" w16cid:durableId="811555500">
    <w:abstractNumId w:val="16"/>
  </w:num>
  <w:num w:numId="18" w16cid:durableId="1212155437">
    <w:abstractNumId w:val="17"/>
  </w:num>
  <w:num w:numId="19" w16cid:durableId="1041785660">
    <w:abstractNumId w:val="18"/>
  </w:num>
  <w:num w:numId="20" w16cid:durableId="756557820">
    <w:abstractNumId w:val="19"/>
  </w:num>
  <w:num w:numId="21" w16cid:durableId="938635308">
    <w:abstractNumId w:val="20"/>
  </w:num>
  <w:num w:numId="22" w16cid:durableId="1012490192">
    <w:abstractNumId w:val="21"/>
  </w:num>
  <w:num w:numId="23" w16cid:durableId="656881853">
    <w:abstractNumId w:val="22"/>
  </w:num>
  <w:num w:numId="24" w16cid:durableId="20835214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61E7D"/>
    <w:rsid w:val="00404628"/>
    <w:rsid w:val="00561E7D"/>
    <w:rsid w:val="00C71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2D2B"/>
  <w15:docId w15:val="{AED6C418-05F7-40B2-8D93-41385B8F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4819</Words>
  <Characters>2747</Characters>
  <Application>Microsoft Office Word</Application>
  <DocSecurity>0</DocSecurity>
  <Lines>22</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Technine uzduotis</dc:title>
  <dc:creator/>
  <dc:description/>
  <cp:lastModifiedBy>Vytautas Brūzga</cp:lastModifiedBy>
  <cp:revision>2</cp:revision>
  <dcterms:created xsi:type="dcterms:W3CDTF">2025-03-07T13:00:00Z</dcterms:created>
  <dcterms:modified xsi:type="dcterms:W3CDTF">2025-03-07T13:01:00Z</dcterms:modified>
</cp:coreProperties>
</file>