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160A" w14:textId="0C07FC4B" w:rsidR="001E1172" w:rsidRPr="00973219" w:rsidRDefault="007B468E" w:rsidP="00792E90">
      <w:pPr>
        <w:tabs>
          <w:tab w:val="left" w:pos="1134"/>
        </w:tabs>
        <w:ind w:right="-178"/>
        <w:contextualSpacing/>
        <w:jc w:val="center"/>
        <w:rPr>
          <w:rFonts w:eastAsia="Times New Roman"/>
          <w:b/>
          <w:bCs/>
          <w:lang w:eastAsia="lt-LT"/>
        </w:rPr>
      </w:pPr>
      <w:r w:rsidRPr="00973219">
        <w:rPr>
          <w:rFonts w:eastAsia="Times New Roman"/>
          <w:b/>
          <w:bCs/>
          <w:lang w:eastAsia="lt-LT"/>
        </w:rPr>
        <w:t>TECHNINĖ SPECIFIKACIJA</w:t>
      </w:r>
    </w:p>
    <w:p w14:paraId="5CF6896D" w14:textId="77777777" w:rsidR="007B468E" w:rsidRDefault="007B468E" w:rsidP="001E1172">
      <w:pPr>
        <w:tabs>
          <w:tab w:val="left" w:pos="1134"/>
        </w:tabs>
        <w:ind w:right="-178" w:firstLine="709"/>
        <w:contextualSpacing/>
        <w:rPr>
          <w:rFonts w:eastAsia="Times New Roman"/>
          <w:lang w:eastAsia="lt-LT"/>
        </w:rPr>
      </w:pPr>
    </w:p>
    <w:tbl>
      <w:tblPr>
        <w:tblW w:w="10315" w:type="dxa"/>
        <w:tblInd w:w="-53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1101"/>
        <w:gridCol w:w="9214"/>
      </w:tblGrid>
      <w:tr w:rsidR="009D5C7E" w14:paraId="3BE492F2"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E16EB4" w14:textId="77777777" w:rsidR="009D5C7E" w:rsidRDefault="009D5C7E" w:rsidP="00E51D92">
            <w:pPr>
              <w:ind w:left="113" w:right="113" w:hanging="1"/>
              <w:jc w:val="center"/>
              <w:rPr>
                <w:rFonts w:eastAsia="Calibri"/>
                <w:b/>
                <w:bdr w:val="none" w:sz="0" w:space="0" w:color="auto" w:frame="1"/>
              </w:rPr>
            </w:pPr>
            <w:bookmarkStart w:id="0" w:name="_Hlk528055693"/>
            <w:r>
              <w:rPr>
                <w:rFonts w:eastAsia="Calibri"/>
                <w:b/>
                <w:bdr w:val="none" w:sz="0" w:space="0" w:color="auto" w:frame="1"/>
              </w:rPr>
              <w:t>Eil. Nr.</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E1C9FB" w14:textId="7FD1BFD9" w:rsidR="009D5C7E" w:rsidRDefault="009D5C7E">
            <w:pPr>
              <w:jc w:val="center"/>
              <w:rPr>
                <w:b/>
              </w:rPr>
            </w:pPr>
            <w:r>
              <w:rPr>
                <w:b/>
                <w:lang w:eastAsia="zh-CN"/>
              </w:rPr>
              <w:t>Reikalaujamos charakteristikos</w:t>
            </w:r>
          </w:p>
        </w:tc>
      </w:tr>
      <w:tr w:rsidR="009D5C7E" w:rsidRPr="00600462" w14:paraId="480407D1"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7F7F7"/>
            <w:noWrap/>
            <w:vAlign w:val="center"/>
          </w:tcPr>
          <w:p w14:paraId="04D9E8B4" w14:textId="758CF9F9" w:rsidR="009D5C7E" w:rsidRPr="00600462" w:rsidRDefault="009D5C7E" w:rsidP="00E51D92">
            <w:pPr>
              <w:ind w:left="113" w:right="113" w:hanging="1"/>
              <w:rPr>
                <w:rFonts w:eastAsia="Times New Roman"/>
                <w:b/>
                <w:bCs/>
                <w:bdr w:val="none" w:sz="0" w:space="0" w:color="auto" w:frame="1"/>
              </w:rPr>
            </w:pPr>
            <w:r w:rsidRPr="00600462">
              <w:rPr>
                <w:rFonts w:eastAsia="Times New Roman"/>
                <w:b/>
                <w:bCs/>
                <w:bdr w:val="none" w:sz="0" w:space="0" w:color="auto" w:frame="1"/>
              </w:rPr>
              <w:t>1.</w:t>
            </w:r>
          </w:p>
        </w:tc>
        <w:tc>
          <w:tcPr>
            <w:tcW w:w="9214" w:type="dxa"/>
            <w:tcBorders>
              <w:top w:val="single" w:sz="4" w:space="0" w:color="000000"/>
              <w:left w:val="single" w:sz="4" w:space="0" w:color="000000"/>
              <w:bottom w:val="single" w:sz="4" w:space="0" w:color="000000"/>
              <w:right w:val="single" w:sz="4" w:space="0" w:color="auto"/>
            </w:tcBorders>
            <w:shd w:val="clear" w:color="auto" w:fill="F7F7F7"/>
            <w:noWrap/>
            <w:vAlign w:val="center"/>
          </w:tcPr>
          <w:p w14:paraId="167E2383" w14:textId="77777777" w:rsidR="009D5C7E" w:rsidRPr="00600462" w:rsidRDefault="009D5C7E" w:rsidP="00717825">
            <w:pPr>
              <w:jc w:val="center"/>
              <w:rPr>
                <w:rFonts w:eastAsia="Calibri"/>
                <w:b/>
                <w:bCs/>
                <w:bdr w:val="none" w:sz="0" w:space="0" w:color="auto" w:frame="1"/>
              </w:rPr>
            </w:pPr>
            <w:r w:rsidRPr="00600462">
              <w:rPr>
                <w:rFonts w:eastAsia="Calibri"/>
                <w:b/>
                <w:bCs/>
                <w:bdr w:val="none" w:sz="0" w:space="0" w:color="auto" w:frame="1"/>
              </w:rPr>
              <w:t>Pirkimo objektas</w:t>
            </w:r>
          </w:p>
        </w:tc>
      </w:tr>
      <w:bookmarkEnd w:id="0"/>
      <w:tr w:rsidR="009D5C7E" w14:paraId="28F35A39"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A87707" w14:textId="0DB8617C" w:rsidR="009D5C7E" w:rsidRPr="00717825" w:rsidRDefault="009D5C7E" w:rsidP="00E51D92">
            <w:pPr>
              <w:pStyle w:val="Sraopastraipa"/>
              <w:numPr>
                <w:ilvl w:val="1"/>
                <w:numId w:val="13"/>
              </w:numPr>
              <w:ind w:left="113" w:right="113" w:hanging="1"/>
              <w:rPr>
                <w:rFonts w:eastAsia="Times New Roman"/>
                <w:bdr w:val="none" w:sz="0" w:space="0" w:color="auto" w:frame="1"/>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D9B95C" w14:textId="223E629A" w:rsidR="009D5C7E" w:rsidRPr="008F2B05" w:rsidRDefault="009D5C7E" w:rsidP="0014337D">
            <w:pPr>
              <w:spacing w:line="254" w:lineRule="auto"/>
              <w:rPr>
                <w:rFonts w:eastAsia="Arial"/>
                <w:highlight w:val="yellow"/>
                <w:lang w:eastAsia="lt-LT" w:bidi="lt-LT"/>
              </w:rPr>
            </w:pPr>
            <w:r w:rsidRPr="00717825">
              <w:rPr>
                <w:rFonts w:eastAsia="Arial"/>
                <w:lang w:eastAsia="lt-LT" w:bidi="lt-LT"/>
              </w:rPr>
              <w:t>Pirkimo objektas yra Viešojo saugumo tarnybos prie Vidaus reikalų ministerijos</w:t>
            </w:r>
            <w:r>
              <w:rPr>
                <w:rFonts w:eastAsia="Arial"/>
                <w:lang w:eastAsia="lt-LT" w:bidi="lt-LT"/>
              </w:rPr>
              <w:t xml:space="preserve"> (toliau – VST, Perkančioji organizacija)</w:t>
            </w:r>
            <w:r w:rsidRPr="00717825">
              <w:rPr>
                <w:rFonts w:eastAsia="Arial"/>
                <w:lang w:eastAsia="lt-LT" w:bidi="lt-LT"/>
              </w:rPr>
              <w:t xml:space="preserve"> informacinės sistemos (toliau – VST IS)</w:t>
            </w:r>
            <w:r w:rsidR="00100EA8">
              <w:rPr>
                <w:rFonts w:eastAsia="Arial"/>
                <w:lang w:eastAsia="lt-LT" w:bidi="lt-LT"/>
              </w:rPr>
              <w:t xml:space="preserve"> </w:t>
            </w:r>
            <w:r w:rsidR="00100EA8" w:rsidRPr="00100EA8">
              <w:rPr>
                <w:rFonts w:eastAsia="Arial"/>
                <w:lang w:eastAsia="lt-LT" w:bidi="lt-LT"/>
              </w:rPr>
              <w:t xml:space="preserve">saugos atitikties Kibernetinio saugumo įstatymui, Kibernetinio saugumo reikalavimų aprašui, ir VST kibernetinio saugumo politikos dokumentuose nustatytiems reikalavimams </w:t>
            </w:r>
            <w:r w:rsidR="00100EA8">
              <w:rPr>
                <w:rFonts w:eastAsia="Arial"/>
                <w:lang w:eastAsia="lt-LT" w:bidi="lt-LT"/>
              </w:rPr>
              <w:t>(toliau – R</w:t>
            </w:r>
            <w:r w:rsidR="00100EA8" w:rsidRPr="00100EA8">
              <w:rPr>
                <w:rFonts w:eastAsia="Arial"/>
                <w:lang w:eastAsia="lt-LT" w:bidi="lt-LT"/>
              </w:rPr>
              <w:t>eikalavima</w:t>
            </w:r>
            <w:r w:rsidR="00100EA8">
              <w:rPr>
                <w:rFonts w:eastAsia="Arial"/>
                <w:lang w:eastAsia="lt-LT" w:bidi="lt-LT"/>
              </w:rPr>
              <w:t>i)</w:t>
            </w:r>
            <w:r w:rsidR="00100EA8" w:rsidRPr="00100EA8">
              <w:rPr>
                <w:rFonts w:eastAsia="Arial"/>
                <w:lang w:eastAsia="lt-LT" w:bidi="lt-LT"/>
              </w:rPr>
              <w:t xml:space="preserve"> vertinimas</w:t>
            </w:r>
            <w:r w:rsidR="00100EA8">
              <w:rPr>
                <w:rFonts w:eastAsia="Arial"/>
                <w:lang w:eastAsia="lt-LT" w:bidi="lt-LT"/>
              </w:rPr>
              <w:t>,</w:t>
            </w:r>
            <w:r w:rsidRPr="00717825">
              <w:rPr>
                <w:rFonts w:eastAsia="Arial"/>
                <w:lang w:eastAsia="lt-LT" w:bidi="lt-LT"/>
              </w:rPr>
              <w:t xml:space="preserve"> </w:t>
            </w:r>
            <w:r w:rsidR="00100EA8">
              <w:rPr>
                <w:rFonts w:eastAsia="Arial"/>
                <w:lang w:eastAsia="lt-LT" w:bidi="lt-LT"/>
              </w:rPr>
              <w:t xml:space="preserve">VST IS </w:t>
            </w:r>
            <w:r w:rsidRPr="00717825">
              <w:rPr>
                <w:rFonts w:eastAsia="Arial"/>
                <w:lang w:eastAsia="lt-LT" w:bidi="lt-LT"/>
              </w:rPr>
              <w:t>rizikos analizė</w:t>
            </w:r>
            <w:r>
              <w:rPr>
                <w:rFonts w:eastAsia="Arial"/>
                <w:lang w:eastAsia="lt-LT" w:bidi="lt-LT"/>
              </w:rPr>
              <w:t xml:space="preserve">, VST IS saugumo dokumentacijos </w:t>
            </w:r>
            <w:r w:rsidR="000C4FD0">
              <w:rPr>
                <w:rFonts w:eastAsia="Arial"/>
                <w:lang w:eastAsia="lt-LT" w:bidi="lt-LT"/>
              </w:rPr>
              <w:t>koregavimas</w:t>
            </w:r>
            <w:r w:rsidRPr="00717825">
              <w:rPr>
                <w:rFonts w:eastAsia="Arial"/>
                <w:lang w:eastAsia="lt-LT" w:bidi="lt-LT"/>
              </w:rPr>
              <w:t xml:space="preserve"> (toliau – Paslaugos):</w:t>
            </w:r>
          </w:p>
        </w:tc>
      </w:tr>
      <w:tr w:rsidR="00600462" w:rsidRPr="00600462" w14:paraId="529810BE"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22B87C" w14:textId="268E48A5" w:rsidR="00600462" w:rsidRPr="00600462" w:rsidRDefault="00600462" w:rsidP="00E51D92">
            <w:pPr>
              <w:pStyle w:val="Sraopastraipa"/>
              <w:numPr>
                <w:ilvl w:val="0"/>
                <w:numId w:val="13"/>
              </w:numPr>
              <w:ind w:left="113" w:right="113" w:hanging="1"/>
              <w:rPr>
                <w:rFonts w:eastAsia="Times New Roman"/>
                <w:b/>
                <w:bCs/>
              </w:rPr>
            </w:pPr>
          </w:p>
        </w:tc>
        <w:tc>
          <w:tcPr>
            <w:tcW w:w="921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14:paraId="0D495D97" w14:textId="73AF9CE5" w:rsidR="00600462" w:rsidRPr="00600462" w:rsidRDefault="00600462" w:rsidP="00600462">
            <w:pPr>
              <w:jc w:val="center"/>
              <w:rPr>
                <w:rFonts w:eastAsia="Calibri"/>
                <w:b/>
                <w:bCs/>
                <w:bdr w:val="none" w:sz="0" w:space="0" w:color="auto" w:frame="1"/>
              </w:rPr>
            </w:pPr>
            <w:r w:rsidRPr="00600462">
              <w:rPr>
                <w:rFonts w:eastAsia="Calibri"/>
                <w:b/>
                <w:bCs/>
                <w:bdr w:val="none" w:sz="0" w:space="0" w:color="auto" w:frame="1"/>
              </w:rPr>
              <w:t>Reikalavimai paslaugai</w:t>
            </w:r>
          </w:p>
        </w:tc>
      </w:tr>
      <w:tr w:rsidR="00B92258" w:rsidRPr="00600462" w14:paraId="2A965A85"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61C705" w14:textId="77777777" w:rsidR="00B92258" w:rsidRPr="00600462" w:rsidRDefault="00B92258" w:rsidP="00E51D92">
            <w:pPr>
              <w:pStyle w:val="Sraopastraipa"/>
              <w:numPr>
                <w:ilvl w:val="1"/>
                <w:numId w:val="13"/>
              </w:numPr>
              <w:ind w:left="113" w:right="113" w:hanging="1"/>
              <w:rPr>
                <w:rFonts w:eastAsia="Times New Roman"/>
                <w:b/>
                <w:bCs/>
              </w:rPr>
            </w:pPr>
          </w:p>
        </w:tc>
        <w:tc>
          <w:tcPr>
            <w:tcW w:w="921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14:paraId="0D1CF2AC" w14:textId="52DE3E48" w:rsidR="00B92258" w:rsidRPr="00600462" w:rsidRDefault="00B92258" w:rsidP="00600462">
            <w:pPr>
              <w:jc w:val="center"/>
              <w:rPr>
                <w:rFonts w:eastAsia="Calibri"/>
                <w:b/>
                <w:bCs/>
                <w:bdr w:val="none" w:sz="0" w:space="0" w:color="auto" w:frame="1"/>
              </w:rPr>
            </w:pPr>
            <w:r>
              <w:rPr>
                <w:rFonts w:eastAsia="Calibri"/>
                <w:b/>
                <w:bCs/>
                <w:bdr w:val="none" w:sz="0" w:space="0" w:color="auto" w:frame="1"/>
              </w:rPr>
              <w:t>Bendrieji reikalavimai paslaugai</w:t>
            </w:r>
          </w:p>
        </w:tc>
      </w:tr>
      <w:tr w:rsidR="009D5C7E" w14:paraId="2253D94A"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3345E32" w14:textId="2C728452" w:rsidR="009D5C7E" w:rsidRPr="00C173AC" w:rsidRDefault="009D5C7E" w:rsidP="00E51D92">
            <w:pPr>
              <w:pStyle w:val="Sraopastraipa"/>
              <w:numPr>
                <w:ilvl w:val="2"/>
                <w:numId w:val="13"/>
              </w:numPr>
              <w:ind w:left="113" w:right="113" w:hanging="1"/>
              <w:rPr>
                <w:rFonts w:eastAsia="Times New Roman"/>
                <w:bdr w:val="none" w:sz="0" w:space="0" w:color="auto" w:frame="1"/>
              </w:rPr>
            </w:pPr>
          </w:p>
        </w:tc>
        <w:tc>
          <w:tcPr>
            <w:tcW w:w="9214" w:type="dxa"/>
            <w:tcBorders>
              <w:top w:val="single" w:sz="4" w:space="0" w:color="000000"/>
              <w:left w:val="single" w:sz="4" w:space="0" w:color="000000"/>
              <w:bottom w:val="single" w:sz="4" w:space="0" w:color="000000"/>
              <w:right w:val="single" w:sz="4" w:space="0" w:color="000000"/>
            </w:tcBorders>
            <w:noWrap/>
            <w:vAlign w:val="center"/>
          </w:tcPr>
          <w:p w14:paraId="33D530D8" w14:textId="77777777" w:rsidR="009D5C7E" w:rsidRPr="00C173AC" w:rsidRDefault="009D5C7E" w:rsidP="00143248">
            <w:pPr>
              <w:tabs>
                <w:tab w:val="left" w:pos="331"/>
                <w:tab w:val="left" w:pos="496"/>
                <w:tab w:val="left" w:pos="721"/>
                <w:tab w:val="left" w:pos="931"/>
              </w:tabs>
              <w:spacing w:line="254" w:lineRule="auto"/>
            </w:pPr>
            <w:r w:rsidRPr="00C173AC">
              <w:t>Paslaugų teikėjas teikdamas Paslaugas turi vadovautis visais aktualiais teisės aktais, reglamentuojančiais informacijos saugą ir kibernetinį saugumą valstybės informaciniuose ištekliuose:</w:t>
            </w:r>
          </w:p>
          <w:p w14:paraId="14BF913C" w14:textId="77777777" w:rsidR="009D5C7E" w:rsidRPr="00C173AC" w:rsidRDefault="009D5C7E" w:rsidP="00DD3F2B">
            <w:pPr>
              <w:numPr>
                <w:ilvl w:val="3"/>
                <w:numId w:val="14"/>
              </w:numPr>
              <w:tabs>
                <w:tab w:val="left" w:pos="331"/>
                <w:tab w:val="left" w:pos="496"/>
                <w:tab w:val="left" w:pos="721"/>
                <w:tab w:val="left" w:pos="931"/>
              </w:tabs>
              <w:spacing w:line="254" w:lineRule="auto"/>
              <w:ind w:left="0" w:firstLine="0"/>
            </w:pPr>
            <w:r w:rsidRPr="00C173AC">
              <w:t>Lietuvos Respublikos kibernetinio saugumo įstatymu;</w:t>
            </w:r>
          </w:p>
          <w:p w14:paraId="14335835" w14:textId="77777777" w:rsidR="009D5C7E" w:rsidRPr="00C173AC" w:rsidRDefault="009D5C7E" w:rsidP="00DD3F2B">
            <w:pPr>
              <w:numPr>
                <w:ilvl w:val="3"/>
                <w:numId w:val="14"/>
              </w:numPr>
              <w:tabs>
                <w:tab w:val="left" w:pos="331"/>
                <w:tab w:val="left" w:pos="496"/>
                <w:tab w:val="left" w:pos="721"/>
                <w:tab w:val="left" w:pos="931"/>
              </w:tabs>
              <w:spacing w:line="254" w:lineRule="auto"/>
              <w:ind w:left="0" w:firstLine="0"/>
            </w:pPr>
            <w:r w:rsidRPr="00C173AC">
              <w:t>Lietuvos Respublikos valstybės informacinių išteklių valdymo įstatymu;</w:t>
            </w:r>
          </w:p>
          <w:p w14:paraId="0F241918" w14:textId="4A349790" w:rsidR="009D5C7E" w:rsidRDefault="009D5C7E" w:rsidP="00DD3F2B">
            <w:pPr>
              <w:pStyle w:val="Sraopastraipa"/>
              <w:numPr>
                <w:ilvl w:val="3"/>
                <w:numId w:val="14"/>
              </w:numPr>
              <w:tabs>
                <w:tab w:val="left" w:pos="496"/>
                <w:tab w:val="left" w:pos="721"/>
              </w:tabs>
              <w:spacing w:line="254" w:lineRule="auto"/>
              <w:ind w:left="0" w:firstLine="0"/>
            </w:pPr>
            <w:r>
              <w:t>Kibernetinio saugumo reikalavimų aprašu, patvirtintu Lietuvos Respublikos vyriausybės 2018 m. rugpjūčio 5 d. nutarimu Nr. 818 „Dėl Lietuvos Respublikos kibernetinio saugumo įstatymo įgyvendinimo“;</w:t>
            </w:r>
          </w:p>
          <w:p w14:paraId="198B556E" w14:textId="22149ECE" w:rsidR="00DD3F2B" w:rsidRPr="00FF63BD" w:rsidRDefault="00DD3F2B" w:rsidP="00DD3F2B">
            <w:pPr>
              <w:pStyle w:val="Sraopastraipa"/>
              <w:numPr>
                <w:ilvl w:val="3"/>
                <w:numId w:val="14"/>
              </w:numPr>
              <w:tabs>
                <w:tab w:val="left" w:pos="496"/>
                <w:tab w:val="left" w:pos="721"/>
              </w:tabs>
              <w:spacing w:line="254" w:lineRule="auto"/>
              <w:ind w:left="0" w:firstLine="0"/>
            </w:pPr>
            <w:r>
              <w:t xml:space="preserve">Kitais </w:t>
            </w:r>
            <w:r w:rsidRPr="00DD3F2B">
              <w:t>teisės aktais</w:t>
            </w:r>
            <w:r>
              <w:t>;</w:t>
            </w:r>
          </w:p>
        </w:tc>
      </w:tr>
      <w:tr w:rsidR="009D5C7E" w14:paraId="154A90F4"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B831DF9" w14:textId="721A9A98" w:rsidR="009D5C7E" w:rsidRPr="00641ED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000000"/>
              <w:left w:val="single" w:sz="4" w:space="0" w:color="000000"/>
              <w:bottom w:val="single" w:sz="4" w:space="0" w:color="000000"/>
              <w:right w:val="single" w:sz="4" w:space="0" w:color="000000"/>
            </w:tcBorders>
            <w:noWrap/>
            <w:vAlign w:val="center"/>
          </w:tcPr>
          <w:p w14:paraId="372A84D1" w14:textId="5F699072" w:rsidR="009D5C7E" w:rsidRDefault="009D5C7E" w:rsidP="00AA2158">
            <w:pPr>
              <w:spacing w:line="254" w:lineRule="auto"/>
            </w:pPr>
            <w:r w:rsidRPr="00641ED3">
              <w:t xml:space="preserve">Paslaugų teikėjas ne vėliau kaip per </w:t>
            </w:r>
            <w:r w:rsidRPr="006244AA">
              <w:t>10 darbo dienų</w:t>
            </w:r>
            <w:r w:rsidRPr="00641ED3">
              <w:t xml:space="preserve"> nuo sutarties įsigaliojimo dienos turės parengti Paslaugų teikimo planą, kuris turi apimti planuojamas atlikti veiklas, darbo metodus, komunikavimą ir paslaugų kokybės užtikrinimą, paslaugų teikimo veiklų grafiką (toliau – Paslaugų teikimo planas). Paslaugų teikimo planas turi būti suderintas su Perkančiąja organizacija ne vėliau kaip per </w:t>
            </w:r>
            <w:r w:rsidRPr="006244AA">
              <w:t>5 darbo</w:t>
            </w:r>
            <w:r w:rsidRPr="00641ED3">
              <w:t xml:space="preserve"> dienas nuo Paslaugų teikimo plano pateikimo Perkančiajai organizacijai dienos.</w:t>
            </w:r>
          </w:p>
        </w:tc>
      </w:tr>
      <w:tr w:rsidR="009D5C7E" w14:paraId="31D0CBFC"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3C3182D" w14:textId="329ED0DD" w:rsidR="009D5C7E" w:rsidRPr="00641ED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000000"/>
              <w:left w:val="single" w:sz="4" w:space="0" w:color="000000"/>
              <w:bottom w:val="single" w:sz="4" w:space="0" w:color="000000"/>
              <w:right w:val="single" w:sz="4" w:space="0" w:color="000000"/>
            </w:tcBorders>
            <w:noWrap/>
            <w:vAlign w:val="center"/>
          </w:tcPr>
          <w:p w14:paraId="0DBF3D97" w14:textId="0470C996" w:rsidR="009D5C7E" w:rsidRDefault="009D5C7E" w:rsidP="00B06C09">
            <w:pPr>
              <w:pStyle w:val="Standard"/>
              <w:spacing w:line="254" w:lineRule="auto"/>
              <w:rPr>
                <w:rFonts w:ascii="Times New Roman" w:hAnsi="Times New Roman" w:cs="Times New Roman"/>
              </w:rPr>
            </w:pPr>
            <w:r w:rsidRPr="00641ED3">
              <w:rPr>
                <w:rFonts w:ascii="Times New Roman" w:hAnsi="Times New Roman" w:cs="Times New Roman"/>
              </w:rPr>
              <w:t xml:space="preserve">Paslaugos teikimo metu planuojamus naudoti </w:t>
            </w:r>
            <w:r>
              <w:rPr>
                <w:rFonts w:ascii="Times New Roman" w:hAnsi="Times New Roman" w:cs="Times New Roman"/>
              </w:rPr>
              <w:t>VST IS</w:t>
            </w:r>
            <w:r w:rsidRPr="00641ED3">
              <w:rPr>
                <w:rFonts w:ascii="Times New Roman" w:hAnsi="Times New Roman" w:cs="Times New Roman"/>
              </w:rPr>
              <w:t xml:space="preserve"> vertinimo būdus, metodus ir priemones Paslaugų teikėjas turės suderinti su Perkančiąja organizacija prieš pradėdamas teikti Paslaugas.</w:t>
            </w:r>
          </w:p>
        </w:tc>
      </w:tr>
      <w:tr w:rsidR="009D5C7E" w14:paraId="40A8BD24"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322E5AE3" w14:textId="7D4C7FC8" w:rsidR="009D5C7E" w:rsidRPr="0072631B"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000000"/>
              <w:left w:val="single" w:sz="4" w:space="0" w:color="000000"/>
              <w:bottom w:val="single" w:sz="4" w:space="0" w:color="auto"/>
              <w:right w:val="single" w:sz="4" w:space="0" w:color="000000"/>
            </w:tcBorders>
            <w:noWrap/>
            <w:vAlign w:val="center"/>
          </w:tcPr>
          <w:p w14:paraId="35CCE7CB" w14:textId="39CE0DAC" w:rsidR="009D5C7E" w:rsidRDefault="009D5C7E" w:rsidP="00B06C09">
            <w:pPr>
              <w:pStyle w:val="Standard"/>
              <w:spacing w:line="254" w:lineRule="auto"/>
              <w:rPr>
                <w:rFonts w:ascii="Times New Roman" w:hAnsi="Times New Roman" w:cs="Times New Roman"/>
              </w:rPr>
            </w:pPr>
            <w:r w:rsidRPr="0072631B">
              <w:rPr>
                <w:rFonts w:ascii="Times New Roman" w:hAnsi="Times New Roman" w:cs="Times New Roman"/>
              </w:rPr>
              <w:t>Paslaugų tiekėjas bus atsakingas už Paslaugų teikimo administracinius klausimus (pvz. informacijos, būtinos Paslaugų teikimui gavimą, susitikimų organizavimą ir pan.). Paslaugų teikėjas taip pat bus atsakingas už Paslaugų teikimo metu vykdomą komunikaciją, Paslaugų teikimo metu iškilusių rizikų valdymą, dokumentų (ataskaitų) parengimą, suderinimą su Perkančiąja organizacija ir Paslaugų perdavimą.</w:t>
            </w:r>
          </w:p>
        </w:tc>
      </w:tr>
      <w:tr w:rsidR="009D5C7E" w14:paraId="5EC06A9A"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30868A9F" w14:textId="2C3B2495" w:rsidR="009D5C7E" w:rsidRPr="00363638"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4BD46230" w14:textId="51817727" w:rsidR="009D5C7E" w:rsidRDefault="009D5C7E" w:rsidP="00B06C09">
            <w:pPr>
              <w:spacing w:line="254" w:lineRule="auto"/>
              <w:rPr>
                <w:rFonts w:cs="Arial"/>
              </w:rPr>
            </w:pPr>
            <w:r w:rsidRPr="0072631B">
              <w:rPr>
                <w:rFonts w:cs="Arial"/>
              </w:rPr>
              <w:t xml:space="preserve">Tiek </w:t>
            </w:r>
            <w:r>
              <w:rPr>
                <w:rFonts w:cs="Arial"/>
              </w:rPr>
              <w:t>VST IS</w:t>
            </w:r>
            <w:r w:rsidRPr="0072631B">
              <w:rPr>
                <w:rFonts w:cs="Arial"/>
              </w:rPr>
              <w:t xml:space="preserve"> atitikties, tiek rizikos vertinimas</w:t>
            </w:r>
            <w:r>
              <w:rPr>
                <w:rFonts w:cs="Arial"/>
              </w:rPr>
              <w:t>, bei dokumentacijos rengimas</w:t>
            </w:r>
            <w:r w:rsidRPr="0072631B">
              <w:rPr>
                <w:rFonts w:cs="Arial"/>
              </w:rPr>
              <w:t xml:space="preserve"> gali būti atliekamas, taikant fizinės apžiūros, dokumentų analizės, </w:t>
            </w:r>
            <w:r w:rsidR="00953F3E">
              <w:rPr>
                <w:rFonts w:cs="Arial"/>
              </w:rPr>
              <w:t xml:space="preserve">pokalbiu </w:t>
            </w:r>
            <w:r w:rsidRPr="0072631B">
              <w:rPr>
                <w:rFonts w:cs="Arial"/>
              </w:rPr>
              <w:t xml:space="preserve">su </w:t>
            </w:r>
            <w:r>
              <w:rPr>
                <w:rFonts w:cs="Arial"/>
              </w:rPr>
              <w:t>VST</w:t>
            </w:r>
            <w:r w:rsidRPr="0072631B">
              <w:rPr>
                <w:rFonts w:cs="Arial"/>
              </w:rPr>
              <w:t xml:space="preserve"> darbuotojais ir kitais metodais.</w:t>
            </w:r>
          </w:p>
        </w:tc>
      </w:tr>
      <w:tr w:rsidR="009D5C7E" w14:paraId="69E6D762"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16C6801F" w14:textId="3C4F1661" w:rsidR="009D5C7E" w:rsidRPr="00363638"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000000"/>
              <w:right w:val="single" w:sz="4" w:space="0" w:color="000000"/>
            </w:tcBorders>
            <w:noWrap/>
            <w:vAlign w:val="center"/>
          </w:tcPr>
          <w:p w14:paraId="7416E2DA" w14:textId="32811904" w:rsidR="009D5C7E" w:rsidRDefault="009D5C7E" w:rsidP="00B06C09">
            <w:pPr>
              <w:spacing w:line="254" w:lineRule="auto"/>
            </w:pPr>
            <w:r w:rsidRPr="00363638">
              <w:t xml:space="preserve">Esant poreikiui Paslaugų teikimo laikotarpiu Paslaugos teikėjui bus suteikta galimybė gauti Paslaugai atlikti būtiną informaciją iš Perkančiosios organizacijos atsakingų specialistų, darbuotojų (pvz. </w:t>
            </w:r>
            <w:r>
              <w:t>VST IS</w:t>
            </w:r>
            <w:r w:rsidRPr="00363638">
              <w:t xml:space="preserve"> administratorių, saugos įgaliotinio, asmens atsakingo už kibernetinio saugumo organizavimą, duomenų valdymo įgaliotinio).</w:t>
            </w:r>
          </w:p>
        </w:tc>
      </w:tr>
      <w:tr w:rsidR="009D5C7E" w14:paraId="1EBDE75A"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7E1C76E" w14:textId="0CDF5DD6"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7C284188" w14:textId="1F10ADEB" w:rsidR="009D5C7E" w:rsidRDefault="009D5C7E" w:rsidP="00B06C09">
            <w:pPr>
              <w:spacing w:line="254" w:lineRule="auto"/>
            </w:pPr>
            <w:r w:rsidRPr="00DF71B3">
              <w:t>Paslaugos Tiekėjo ir Perkančiosios organizacijos bendravimas (susitikimai, susirašinėjimas ir kt.) Paslaugų teikimo metu turi vykti lietuvių kalba.</w:t>
            </w:r>
          </w:p>
        </w:tc>
      </w:tr>
      <w:tr w:rsidR="009D5C7E" w14:paraId="56CA678F"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7AFD67D2"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684CFC8" w14:textId="1B6CC4EE" w:rsidR="009D5C7E" w:rsidRPr="00DF71B3" w:rsidRDefault="009D5C7E" w:rsidP="00B06C09">
            <w:pPr>
              <w:spacing w:line="254" w:lineRule="auto"/>
            </w:pPr>
            <w:r w:rsidRPr="00DF71B3">
              <w:t>Paslaugų teikėjas viešojo pirkimo sutarties vykdymo metu privalo užtikrinti paslaugų teikimą laiku, nustatytais terminais ir užtikrinti teikiamų Paslaugų kontrolės vykdymą.</w:t>
            </w:r>
          </w:p>
        </w:tc>
      </w:tr>
      <w:tr w:rsidR="009D5C7E" w14:paraId="2137BF69"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480280A4"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230DDDFC" w14:textId="4E49DB44" w:rsidR="009D5C7E" w:rsidRPr="00DF71B3" w:rsidRDefault="009D5C7E" w:rsidP="00B06C09">
            <w:pPr>
              <w:spacing w:line="254" w:lineRule="auto"/>
            </w:pPr>
            <w:r w:rsidRPr="00E34AF2">
              <w:t>Paslaugų teikėjas, suteikęs Paslaugas, perleis autorines teises į suteiktą paslaugą (jos rezultatus, parengtą dokumentaciją) Perkančiajai organizacijai.</w:t>
            </w:r>
          </w:p>
        </w:tc>
      </w:tr>
      <w:tr w:rsidR="009D5C7E" w14:paraId="25A61260"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2254E262"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C02D83B" w14:textId="4C227096" w:rsidR="009D5C7E" w:rsidRDefault="009D5C7E" w:rsidP="00B06C09">
            <w:pPr>
              <w:spacing w:line="254" w:lineRule="auto"/>
            </w:pPr>
            <w:r w:rsidRPr="003822E5">
              <w:t>Bendrieji reikalavimai teikiamų Paslaugų dokumentacijos pateikimo formai, formatui, dokumentacijos derinimo, redagavimo, taisymo ir galutinių versijų pateikimui</w:t>
            </w:r>
            <w:r>
              <w:t>:</w:t>
            </w:r>
          </w:p>
          <w:tbl>
            <w:tblPr>
              <w:tblStyle w:val="Lentelstinklelis"/>
              <w:tblW w:w="8751" w:type="dxa"/>
              <w:tblLayout w:type="fixed"/>
              <w:tblLook w:val="04A0" w:firstRow="1" w:lastRow="0" w:firstColumn="1" w:lastColumn="0" w:noHBand="0" w:noVBand="1"/>
            </w:tblPr>
            <w:tblGrid>
              <w:gridCol w:w="549"/>
              <w:gridCol w:w="1692"/>
              <w:gridCol w:w="6510"/>
            </w:tblGrid>
            <w:tr w:rsidR="009D5C7E" w:rsidRPr="003822E5" w14:paraId="7337E806" w14:textId="77777777" w:rsidTr="00722DC5">
              <w:tc>
                <w:tcPr>
                  <w:tcW w:w="549" w:type="dxa"/>
                </w:tcPr>
                <w:p w14:paraId="4576F608" w14:textId="784CE332" w:rsidR="009D5C7E" w:rsidRPr="003822E5" w:rsidRDefault="009D5C7E" w:rsidP="003822E5">
                  <w:pPr>
                    <w:pStyle w:val="Sraopastraipa"/>
                    <w:spacing w:after="120"/>
                    <w:ind w:left="0"/>
                    <w:jc w:val="center"/>
                    <w:rPr>
                      <w:rFonts w:eastAsia="Calibri"/>
                      <w:color w:val="000000"/>
                      <w:sz w:val="22"/>
                      <w:szCs w:val="22"/>
                    </w:rPr>
                  </w:pPr>
                  <w:r w:rsidRPr="003822E5">
                    <w:rPr>
                      <w:rFonts w:eastAsia="Calibri"/>
                      <w:b/>
                      <w:color w:val="000000"/>
                      <w:sz w:val="22"/>
                      <w:szCs w:val="22"/>
                    </w:rPr>
                    <w:t>Eil. Nr.</w:t>
                  </w:r>
                </w:p>
              </w:tc>
              <w:tc>
                <w:tcPr>
                  <w:tcW w:w="1692" w:type="dxa"/>
                  <w:vAlign w:val="center"/>
                </w:tcPr>
                <w:p w14:paraId="7FC97442" w14:textId="38B4EB8D" w:rsidR="009D5C7E" w:rsidRPr="003822E5" w:rsidRDefault="009D5C7E" w:rsidP="003822E5">
                  <w:pPr>
                    <w:pStyle w:val="prastasiniatinklio"/>
                    <w:spacing w:before="0" w:beforeAutospacing="0" w:after="0" w:afterAutospacing="0"/>
                    <w:ind w:firstLine="34"/>
                    <w:jc w:val="center"/>
                    <w:rPr>
                      <w:color w:val="000000"/>
                      <w:sz w:val="22"/>
                      <w:szCs w:val="22"/>
                    </w:rPr>
                  </w:pPr>
                  <w:r w:rsidRPr="003822E5">
                    <w:rPr>
                      <w:rFonts w:eastAsia="Calibri"/>
                      <w:b/>
                      <w:color w:val="000000"/>
                      <w:sz w:val="22"/>
                      <w:szCs w:val="22"/>
                    </w:rPr>
                    <w:t>Parametras</w:t>
                  </w:r>
                </w:p>
              </w:tc>
              <w:tc>
                <w:tcPr>
                  <w:tcW w:w="6510" w:type="dxa"/>
                  <w:vAlign w:val="center"/>
                </w:tcPr>
                <w:p w14:paraId="6E7E02A2" w14:textId="0FBD59C4" w:rsidR="009D5C7E" w:rsidRPr="003822E5" w:rsidRDefault="009D5C7E" w:rsidP="003822E5">
                  <w:pPr>
                    <w:pStyle w:val="prastasiniatinklio"/>
                    <w:tabs>
                      <w:tab w:val="left" w:pos="0"/>
                      <w:tab w:val="left" w:pos="456"/>
                    </w:tabs>
                    <w:spacing w:before="0" w:beforeAutospacing="0" w:after="0" w:afterAutospacing="0"/>
                    <w:jc w:val="center"/>
                    <w:rPr>
                      <w:color w:val="000000"/>
                      <w:sz w:val="22"/>
                      <w:szCs w:val="22"/>
                    </w:rPr>
                  </w:pPr>
                  <w:r w:rsidRPr="003822E5">
                    <w:rPr>
                      <w:rFonts w:eastAsia="Calibri"/>
                      <w:b/>
                      <w:color w:val="000000"/>
                      <w:sz w:val="22"/>
                      <w:szCs w:val="22"/>
                    </w:rPr>
                    <w:t>Reikalavimas</w:t>
                  </w:r>
                </w:p>
              </w:tc>
            </w:tr>
            <w:tr w:rsidR="009D5C7E" w:rsidRPr="003822E5" w14:paraId="41928643" w14:textId="77777777" w:rsidTr="00722DC5">
              <w:tc>
                <w:tcPr>
                  <w:tcW w:w="549" w:type="dxa"/>
                </w:tcPr>
                <w:p w14:paraId="2052AD4C" w14:textId="77777777" w:rsidR="009D5C7E" w:rsidRPr="003822E5" w:rsidRDefault="009D5C7E" w:rsidP="003822E5">
                  <w:pPr>
                    <w:pStyle w:val="Sraopastraipa"/>
                    <w:spacing w:after="120"/>
                    <w:ind w:left="0"/>
                    <w:jc w:val="both"/>
                    <w:rPr>
                      <w:rFonts w:eastAsia="Calibri"/>
                      <w:color w:val="000000"/>
                      <w:sz w:val="22"/>
                      <w:szCs w:val="22"/>
                    </w:rPr>
                  </w:pPr>
                  <w:r w:rsidRPr="003822E5">
                    <w:rPr>
                      <w:rFonts w:eastAsia="Calibri"/>
                      <w:color w:val="000000"/>
                      <w:sz w:val="22"/>
                      <w:szCs w:val="22"/>
                    </w:rPr>
                    <w:t>1.</w:t>
                  </w:r>
                </w:p>
              </w:tc>
              <w:tc>
                <w:tcPr>
                  <w:tcW w:w="1692" w:type="dxa"/>
                </w:tcPr>
                <w:p w14:paraId="1ECF116E" w14:textId="77777777" w:rsidR="009D5C7E" w:rsidRPr="003822E5" w:rsidRDefault="009D5C7E" w:rsidP="003822E5">
                  <w:pPr>
                    <w:pStyle w:val="prastasiniatinklio"/>
                    <w:spacing w:before="0" w:beforeAutospacing="0" w:after="0" w:afterAutospacing="0"/>
                    <w:ind w:firstLine="34"/>
                    <w:jc w:val="both"/>
                    <w:rPr>
                      <w:color w:val="000000"/>
                      <w:sz w:val="22"/>
                      <w:szCs w:val="22"/>
                    </w:rPr>
                  </w:pPr>
                  <w:r w:rsidRPr="003822E5">
                    <w:rPr>
                      <w:color w:val="000000"/>
                      <w:sz w:val="22"/>
                      <w:szCs w:val="22"/>
                    </w:rPr>
                    <w:t>Dokumentacijos pateikimo forma, ir formatai</w:t>
                  </w:r>
                </w:p>
              </w:tc>
              <w:tc>
                <w:tcPr>
                  <w:tcW w:w="6510" w:type="dxa"/>
                </w:tcPr>
                <w:p w14:paraId="08DC741E" w14:textId="77777777" w:rsidR="009D5C7E" w:rsidRPr="003822E5" w:rsidRDefault="009D5C7E" w:rsidP="003822E5">
                  <w:pPr>
                    <w:pStyle w:val="prastasiniatinklio"/>
                    <w:numPr>
                      <w:ilvl w:val="1"/>
                      <w:numId w:val="15"/>
                    </w:numPr>
                    <w:tabs>
                      <w:tab w:val="left" w:pos="0"/>
                      <w:tab w:val="left" w:pos="456"/>
                    </w:tabs>
                    <w:spacing w:before="0" w:beforeAutospacing="0" w:after="0" w:afterAutospacing="0"/>
                    <w:ind w:left="0" w:firstLine="0"/>
                    <w:jc w:val="both"/>
                    <w:rPr>
                      <w:color w:val="000000"/>
                      <w:sz w:val="22"/>
                      <w:szCs w:val="22"/>
                    </w:rPr>
                  </w:pPr>
                  <w:r w:rsidRPr="003822E5">
                    <w:rPr>
                      <w:color w:val="000000"/>
                      <w:sz w:val="22"/>
                      <w:szCs w:val="22"/>
                    </w:rPr>
                    <w:t>Dokumentų</w:t>
                  </w:r>
                  <w:r w:rsidRPr="003822E5">
                    <w:rPr>
                      <w:sz w:val="22"/>
                      <w:szCs w:val="22"/>
                    </w:rPr>
                    <w:t xml:space="preserve"> galutinės versijos privalo būti pateiktos lietuvių kalba elektroniniu (MS Word arba kitu lygiaverčiu, su Perkančiąja organizacija suderintu, formatu); </w:t>
                  </w:r>
                </w:p>
                <w:p w14:paraId="0C5F5D7F" w14:textId="77777777" w:rsidR="009D5C7E" w:rsidRPr="003822E5" w:rsidRDefault="009D5C7E" w:rsidP="003822E5">
                  <w:pPr>
                    <w:pStyle w:val="prastasiniatinklio"/>
                    <w:numPr>
                      <w:ilvl w:val="1"/>
                      <w:numId w:val="15"/>
                    </w:numPr>
                    <w:tabs>
                      <w:tab w:val="left" w:pos="456"/>
                    </w:tabs>
                    <w:spacing w:before="0" w:beforeAutospacing="0" w:after="0" w:afterAutospacing="0"/>
                    <w:ind w:left="0" w:firstLine="0"/>
                    <w:jc w:val="both"/>
                    <w:rPr>
                      <w:color w:val="000000"/>
                      <w:sz w:val="22"/>
                      <w:szCs w:val="22"/>
                    </w:rPr>
                  </w:pPr>
                  <w:r w:rsidRPr="003822E5">
                    <w:rPr>
                      <w:sz w:val="22"/>
                      <w:szCs w:val="22"/>
                    </w:rPr>
                    <w:t>Paslaugos teikėjo viešojo pirkimo sutarties vykdymo metu sukurtos schemos, brėžiniai ar kita grafinė informacija turi būti pateikta elektroniniu formatu, tų įrankių, kuriais schemos, brėžiniai ar kita grafinė informacija buvo sukurta, formatu.</w:t>
                  </w:r>
                </w:p>
              </w:tc>
            </w:tr>
            <w:tr w:rsidR="009D5C7E" w:rsidRPr="003822E5" w14:paraId="48404024" w14:textId="77777777" w:rsidTr="00722DC5">
              <w:tc>
                <w:tcPr>
                  <w:tcW w:w="549" w:type="dxa"/>
                </w:tcPr>
                <w:p w14:paraId="2D3589DD" w14:textId="77777777" w:rsidR="009D5C7E" w:rsidRPr="003822E5" w:rsidRDefault="009D5C7E" w:rsidP="003822E5">
                  <w:pPr>
                    <w:pStyle w:val="Sraopastraipa"/>
                    <w:spacing w:after="120"/>
                    <w:ind w:left="0"/>
                    <w:jc w:val="both"/>
                    <w:rPr>
                      <w:rFonts w:eastAsia="Calibri"/>
                      <w:color w:val="000000"/>
                      <w:sz w:val="22"/>
                      <w:szCs w:val="22"/>
                    </w:rPr>
                  </w:pPr>
                  <w:r w:rsidRPr="003822E5">
                    <w:rPr>
                      <w:rFonts w:eastAsia="Calibri"/>
                      <w:color w:val="000000"/>
                      <w:sz w:val="22"/>
                      <w:szCs w:val="22"/>
                    </w:rPr>
                    <w:t>2.</w:t>
                  </w:r>
                </w:p>
              </w:tc>
              <w:tc>
                <w:tcPr>
                  <w:tcW w:w="1692" w:type="dxa"/>
                </w:tcPr>
                <w:p w14:paraId="79F6AEBC" w14:textId="77777777" w:rsidR="009D5C7E" w:rsidRPr="003822E5" w:rsidRDefault="009D5C7E" w:rsidP="003822E5">
                  <w:pPr>
                    <w:pStyle w:val="prastasiniatinklio"/>
                    <w:spacing w:before="0" w:beforeAutospacing="0" w:after="0" w:afterAutospacing="0"/>
                    <w:ind w:firstLine="34"/>
                    <w:jc w:val="both"/>
                    <w:rPr>
                      <w:color w:val="000000"/>
                      <w:sz w:val="22"/>
                      <w:szCs w:val="22"/>
                    </w:rPr>
                  </w:pPr>
                  <w:r w:rsidRPr="003822E5">
                    <w:rPr>
                      <w:color w:val="000000"/>
                      <w:sz w:val="22"/>
                      <w:szCs w:val="22"/>
                    </w:rPr>
                    <w:t>Dokumentacijos redagavimo (taisymo) galimybės</w:t>
                  </w:r>
                </w:p>
              </w:tc>
              <w:tc>
                <w:tcPr>
                  <w:tcW w:w="6510" w:type="dxa"/>
                </w:tcPr>
                <w:p w14:paraId="079A5F22" w14:textId="0335D24B" w:rsidR="009D5C7E" w:rsidRPr="003822E5" w:rsidRDefault="009D5C7E" w:rsidP="003822E5">
                  <w:pPr>
                    <w:pStyle w:val="prastasiniatinklio"/>
                    <w:tabs>
                      <w:tab w:val="left" w:pos="456"/>
                      <w:tab w:val="left" w:pos="585"/>
                    </w:tabs>
                    <w:spacing w:before="0" w:beforeAutospacing="0" w:after="0" w:afterAutospacing="0"/>
                    <w:jc w:val="both"/>
                    <w:rPr>
                      <w:color w:val="000000"/>
                      <w:sz w:val="22"/>
                      <w:szCs w:val="22"/>
                    </w:rPr>
                  </w:pPr>
                  <w:r w:rsidRPr="003822E5">
                    <w:rPr>
                      <w:bCs/>
                      <w:color w:val="000000" w:themeColor="text1"/>
                      <w:sz w:val="22"/>
                      <w:szCs w:val="22"/>
                    </w:rPr>
                    <w:t xml:space="preserve">2.1. </w:t>
                  </w:r>
                  <w:r w:rsidRPr="003822E5">
                    <w:rPr>
                      <w:bCs/>
                      <w:color w:val="000000"/>
                      <w:sz w:val="22"/>
                      <w:szCs w:val="22"/>
                    </w:rPr>
                    <w:t>Pateikta dokumentacija privalo užtikrinti galimybę Perkančiajai organizacijai (jos darbuotojams) standartinėmis informacinių technologijų priemonėmis (pvz., Microsoft Office) patiems taisyti, koreguoti schemas, brėžinius, t.</w:t>
                  </w:r>
                  <w:r>
                    <w:rPr>
                      <w:bCs/>
                      <w:color w:val="000000"/>
                      <w:sz w:val="22"/>
                      <w:szCs w:val="22"/>
                    </w:rPr>
                    <w:t xml:space="preserve"> </w:t>
                  </w:r>
                  <w:r w:rsidRPr="003822E5">
                    <w:rPr>
                      <w:bCs/>
                      <w:color w:val="000000"/>
                      <w:sz w:val="22"/>
                      <w:szCs w:val="22"/>
                    </w:rPr>
                    <w:t>y. nesikreipiant dėl tokio taisymo, koregavimo į P</w:t>
                  </w:r>
                  <w:r w:rsidRPr="003822E5">
                    <w:rPr>
                      <w:bCs/>
                      <w:color w:val="000000" w:themeColor="text1"/>
                      <w:sz w:val="22"/>
                      <w:szCs w:val="22"/>
                    </w:rPr>
                    <w:t>aslaugos teikėją.</w:t>
                  </w:r>
                </w:p>
              </w:tc>
            </w:tr>
            <w:tr w:rsidR="009D5C7E" w:rsidRPr="003822E5" w14:paraId="546C8EE7" w14:textId="77777777" w:rsidTr="00722DC5">
              <w:tc>
                <w:tcPr>
                  <w:tcW w:w="549" w:type="dxa"/>
                </w:tcPr>
                <w:p w14:paraId="63E98609" w14:textId="77777777" w:rsidR="009D5C7E" w:rsidRPr="003822E5" w:rsidRDefault="009D5C7E" w:rsidP="003822E5">
                  <w:pPr>
                    <w:pStyle w:val="Sraopastraipa"/>
                    <w:spacing w:after="120"/>
                    <w:ind w:left="0"/>
                    <w:jc w:val="both"/>
                    <w:rPr>
                      <w:rFonts w:eastAsia="Calibri"/>
                      <w:color w:val="000000"/>
                      <w:sz w:val="22"/>
                      <w:szCs w:val="22"/>
                    </w:rPr>
                  </w:pPr>
                  <w:r w:rsidRPr="003822E5">
                    <w:rPr>
                      <w:rFonts w:eastAsia="Calibri"/>
                      <w:color w:val="000000"/>
                      <w:sz w:val="22"/>
                      <w:szCs w:val="22"/>
                    </w:rPr>
                    <w:t>3.</w:t>
                  </w:r>
                </w:p>
              </w:tc>
              <w:tc>
                <w:tcPr>
                  <w:tcW w:w="1692" w:type="dxa"/>
                </w:tcPr>
                <w:p w14:paraId="10C7E2C3" w14:textId="77777777" w:rsidR="009D5C7E" w:rsidRPr="003822E5" w:rsidRDefault="009D5C7E" w:rsidP="003822E5">
                  <w:pPr>
                    <w:pStyle w:val="prastasiniatinklio"/>
                    <w:spacing w:before="0" w:beforeAutospacing="0" w:after="0" w:afterAutospacing="0"/>
                    <w:ind w:firstLine="34"/>
                    <w:jc w:val="both"/>
                    <w:rPr>
                      <w:color w:val="000000"/>
                      <w:sz w:val="22"/>
                      <w:szCs w:val="22"/>
                    </w:rPr>
                  </w:pPr>
                  <w:r w:rsidRPr="003822E5">
                    <w:rPr>
                      <w:color w:val="000000"/>
                      <w:sz w:val="22"/>
                      <w:szCs w:val="22"/>
                    </w:rPr>
                    <w:t>Dokumentacijos derinimas</w:t>
                  </w:r>
                </w:p>
              </w:tc>
              <w:tc>
                <w:tcPr>
                  <w:tcW w:w="6510" w:type="dxa"/>
                </w:tcPr>
                <w:p w14:paraId="5F52FDFF" w14:textId="77777777" w:rsidR="009D5C7E" w:rsidRPr="003822E5" w:rsidRDefault="009D5C7E" w:rsidP="003822E5">
                  <w:pPr>
                    <w:pStyle w:val="prastasiniatinklio"/>
                    <w:numPr>
                      <w:ilvl w:val="1"/>
                      <w:numId w:val="16"/>
                    </w:numPr>
                    <w:tabs>
                      <w:tab w:val="left" w:pos="456"/>
                    </w:tabs>
                    <w:spacing w:before="0" w:beforeAutospacing="0" w:after="0" w:afterAutospacing="0"/>
                    <w:ind w:left="0" w:firstLine="0"/>
                    <w:jc w:val="both"/>
                    <w:rPr>
                      <w:sz w:val="22"/>
                      <w:szCs w:val="22"/>
                    </w:rPr>
                  </w:pPr>
                  <w:r w:rsidRPr="003822E5">
                    <w:rPr>
                      <w:sz w:val="22"/>
                      <w:szCs w:val="22"/>
                    </w:rPr>
                    <w:t>Preliminarios (projektinės) dokumentų versijos derinimui turi būti pateikiamos Perkančiajai organizacijai su lydraščiu, elektroniniu formatu (MS Word arba kitu lygiaverčiu, su Perkančiąja organizacija suderintu, formatu).</w:t>
                  </w:r>
                </w:p>
                <w:p w14:paraId="0DE71175" w14:textId="77777777" w:rsidR="009D5C7E" w:rsidRPr="003822E5" w:rsidRDefault="009D5C7E" w:rsidP="003822E5">
                  <w:pPr>
                    <w:pStyle w:val="prastasiniatinklio"/>
                    <w:numPr>
                      <w:ilvl w:val="1"/>
                      <w:numId w:val="16"/>
                    </w:numPr>
                    <w:tabs>
                      <w:tab w:val="left" w:pos="456"/>
                    </w:tabs>
                    <w:spacing w:before="0" w:beforeAutospacing="0" w:after="0" w:afterAutospacing="0"/>
                    <w:ind w:left="0" w:firstLine="0"/>
                    <w:jc w:val="both"/>
                    <w:rPr>
                      <w:sz w:val="22"/>
                      <w:szCs w:val="22"/>
                    </w:rPr>
                  </w:pPr>
                  <w:r w:rsidRPr="003822E5">
                    <w:rPr>
                      <w:sz w:val="22"/>
                      <w:szCs w:val="22"/>
                    </w:rPr>
                    <w:t xml:space="preserve">Dokumentai derinami tokia tvarka: </w:t>
                  </w:r>
                </w:p>
                <w:p w14:paraId="7495659B" w14:textId="3FF24600" w:rsidR="009D5C7E" w:rsidRPr="003822E5" w:rsidRDefault="009D5C7E" w:rsidP="003822E5">
                  <w:pPr>
                    <w:pStyle w:val="prastasiniatinklio"/>
                    <w:numPr>
                      <w:ilvl w:val="2"/>
                      <w:numId w:val="16"/>
                    </w:numPr>
                    <w:tabs>
                      <w:tab w:val="left" w:pos="598"/>
                    </w:tabs>
                    <w:spacing w:before="0" w:beforeAutospacing="0" w:after="0" w:afterAutospacing="0"/>
                    <w:ind w:left="0" w:firstLine="0"/>
                    <w:jc w:val="both"/>
                    <w:rPr>
                      <w:sz w:val="22"/>
                      <w:szCs w:val="22"/>
                    </w:rPr>
                  </w:pPr>
                  <w:r w:rsidRPr="003822E5">
                    <w:rPr>
                      <w:sz w:val="22"/>
                      <w:szCs w:val="22"/>
                    </w:rPr>
                    <w:t xml:space="preserve">Perkančioji organizacija, gavusi iš Paslaugos teikėjo dokumento projektą, ne vėliau kaip </w:t>
                  </w:r>
                  <w:r w:rsidRPr="00742357">
                    <w:rPr>
                      <w:sz w:val="22"/>
                      <w:szCs w:val="22"/>
                    </w:rPr>
                    <w:t xml:space="preserve">per </w:t>
                  </w:r>
                  <w:r w:rsidR="00742357">
                    <w:rPr>
                      <w:sz w:val="22"/>
                      <w:szCs w:val="22"/>
                    </w:rPr>
                    <w:t>7</w:t>
                  </w:r>
                  <w:r w:rsidRPr="003822E5">
                    <w:rPr>
                      <w:sz w:val="22"/>
                      <w:szCs w:val="22"/>
                    </w:rPr>
                    <w:t xml:space="preserve"> darbo dienas nuo dokumento gavimo dienos turi pateikti pastabas; </w:t>
                  </w:r>
                </w:p>
                <w:p w14:paraId="2267DCAD" w14:textId="77777777" w:rsidR="009D5C7E" w:rsidRPr="003822E5" w:rsidRDefault="009D5C7E" w:rsidP="003822E5">
                  <w:pPr>
                    <w:pStyle w:val="prastasiniatinklio"/>
                    <w:numPr>
                      <w:ilvl w:val="2"/>
                      <w:numId w:val="16"/>
                    </w:numPr>
                    <w:tabs>
                      <w:tab w:val="left" w:pos="598"/>
                    </w:tabs>
                    <w:spacing w:before="0" w:beforeAutospacing="0" w:after="0" w:afterAutospacing="0"/>
                    <w:ind w:left="0" w:firstLine="0"/>
                    <w:jc w:val="both"/>
                    <w:rPr>
                      <w:sz w:val="22"/>
                      <w:szCs w:val="22"/>
                    </w:rPr>
                  </w:pPr>
                  <w:r w:rsidRPr="003822E5">
                    <w:rPr>
                      <w:sz w:val="22"/>
                      <w:szCs w:val="22"/>
                    </w:rPr>
                    <w:t>Paslaugos teikėjas, atsižvelgdamas į Perkančiosios organizacijos pateiktas pastabas, pakoreguotą dokumentą pakartotinai teikia derinimui šios lentelės 3.1. papunktyje nurodytu būdu ne vėliau kaip per 5 darbo dienas nuo gautų pastabų gavimo dienos).</w:t>
                  </w:r>
                </w:p>
                <w:p w14:paraId="0589ABF2" w14:textId="3DE93B8F" w:rsidR="009D5C7E" w:rsidRPr="003822E5" w:rsidRDefault="009D5C7E" w:rsidP="003822E5">
                  <w:pPr>
                    <w:pStyle w:val="prastasiniatinklio"/>
                    <w:numPr>
                      <w:ilvl w:val="1"/>
                      <w:numId w:val="16"/>
                    </w:numPr>
                    <w:tabs>
                      <w:tab w:val="left" w:pos="456"/>
                    </w:tabs>
                    <w:spacing w:before="0" w:beforeAutospacing="0" w:after="0" w:afterAutospacing="0"/>
                    <w:ind w:left="0" w:firstLine="0"/>
                    <w:jc w:val="both"/>
                    <w:rPr>
                      <w:sz w:val="22"/>
                      <w:szCs w:val="22"/>
                    </w:rPr>
                  </w:pPr>
                  <w:r w:rsidRPr="003822E5">
                    <w:rPr>
                      <w:sz w:val="22"/>
                      <w:szCs w:val="22"/>
                    </w:rPr>
                    <w:t>Didelės apimties dokumentų (t. y., kurių apimtys yra 30 ir daugiau puslapių) derinimui abipusiu sutarimu gali būti nustatomas ilgesnis, negu 3.2.1 papunktyje nustatytas terminas.</w:t>
                  </w:r>
                </w:p>
                <w:p w14:paraId="0D962741" w14:textId="2511E2F5" w:rsidR="009D5C7E" w:rsidRPr="003822E5" w:rsidRDefault="009D5C7E" w:rsidP="003822E5">
                  <w:pPr>
                    <w:pStyle w:val="prastasiniatinklio"/>
                    <w:numPr>
                      <w:ilvl w:val="1"/>
                      <w:numId w:val="16"/>
                    </w:numPr>
                    <w:tabs>
                      <w:tab w:val="left" w:pos="456"/>
                    </w:tabs>
                    <w:spacing w:before="0" w:beforeAutospacing="0" w:after="0" w:afterAutospacing="0"/>
                    <w:ind w:left="0" w:firstLine="0"/>
                    <w:jc w:val="both"/>
                    <w:rPr>
                      <w:sz w:val="22"/>
                      <w:szCs w:val="22"/>
                    </w:rPr>
                  </w:pPr>
                  <w:r w:rsidRPr="003822E5">
                    <w:rPr>
                      <w:sz w:val="22"/>
                      <w:szCs w:val="22"/>
                    </w:rPr>
                    <w:t xml:space="preserve">Paslaugų teikėjo parengti dokumentai yra derinami iki </w:t>
                  </w:r>
                  <w:r w:rsidR="00742357" w:rsidRPr="00742357">
                    <w:rPr>
                      <w:sz w:val="22"/>
                      <w:szCs w:val="22"/>
                    </w:rPr>
                    <w:t>3</w:t>
                  </w:r>
                  <w:r w:rsidRPr="00742357">
                    <w:rPr>
                      <w:sz w:val="22"/>
                      <w:szCs w:val="22"/>
                    </w:rPr>
                    <w:t xml:space="preserve"> iteracijų</w:t>
                  </w:r>
                  <w:r w:rsidRPr="003822E5">
                    <w:rPr>
                      <w:sz w:val="22"/>
                      <w:szCs w:val="22"/>
                    </w:rPr>
                    <w:t>.</w:t>
                  </w:r>
                </w:p>
              </w:tc>
            </w:tr>
            <w:tr w:rsidR="009D5C7E" w:rsidRPr="003822E5" w14:paraId="76EFDB4E" w14:textId="77777777" w:rsidTr="00722DC5">
              <w:tc>
                <w:tcPr>
                  <w:tcW w:w="549" w:type="dxa"/>
                </w:tcPr>
                <w:p w14:paraId="63B306C9" w14:textId="77777777" w:rsidR="009D5C7E" w:rsidRPr="003822E5" w:rsidRDefault="009D5C7E" w:rsidP="003822E5">
                  <w:pPr>
                    <w:pStyle w:val="Sraopastraipa"/>
                    <w:spacing w:after="120"/>
                    <w:ind w:left="0"/>
                    <w:jc w:val="both"/>
                    <w:rPr>
                      <w:rFonts w:eastAsia="Calibri"/>
                      <w:color w:val="000000"/>
                      <w:sz w:val="22"/>
                      <w:szCs w:val="22"/>
                    </w:rPr>
                  </w:pPr>
                  <w:r w:rsidRPr="003822E5">
                    <w:rPr>
                      <w:rFonts w:eastAsia="Calibri"/>
                      <w:color w:val="000000"/>
                      <w:sz w:val="22"/>
                      <w:szCs w:val="22"/>
                    </w:rPr>
                    <w:t>4.</w:t>
                  </w:r>
                </w:p>
              </w:tc>
              <w:tc>
                <w:tcPr>
                  <w:tcW w:w="1692" w:type="dxa"/>
                </w:tcPr>
                <w:p w14:paraId="6618492C" w14:textId="77777777" w:rsidR="009D5C7E" w:rsidRPr="003822E5" w:rsidRDefault="009D5C7E" w:rsidP="003822E5">
                  <w:pPr>
                    <w:pStyle w:val="prastasiniatinklio"/>
                    <w:spacing w:before="0" w:beforeAutospacing="0" w:after="0" w:afterAutospacing="0"/>
                    <w:ind w:firstLine="34"/>
                    <w:jc w:val="both"/>
                    <w:rPr>
                      <w:color w:val="000000"/>
                      <w:sz w:val="22"/>
                      <w:szCs w:val="22"/>
                    </w:rPr>
                  </w:pPr>
                  <w:r w:rsidRPr="003822E5">
                    <w:rPr>
                      <w:color w:val="000000"/>
                      <w:sz w:val="22"/>
                      <w:szCs w:val="22"/>
                    </w:rPr>
                    <w:t>Galutinių versijų pateikimas</w:t>
                  </w:r>
                </w:p>
              </w:tc>
              <w:tc>
                <w:tcPr>
                  <w:tcW w:w="6510" w:type="dxa"/>
                </w:tcPr>
                <w:p w14:paraId="4CBC1C5D" w14:textId="77777777" w:rsidR="009D5C7E" w:rsidRPr="003822E5" w:rsidRDefault="009D5C7E" w:rsidP="003822E5">
                  <w:pPr>
                    <w:pStyle w:val="prastasiniatinklio"/>
                    <w:numPr>
                      <w:ilvl w:val="1"/>
                      <w:numId w:val="17"/>
                    </w:numPr>
                    <w:tabs>
                      <w:tab w:val="left" w:pos="456"/>
                    </w:tabs>
                    <w:spacing w:before="0" w:beforeAutospacing="0" w:after="0" w:afterAutospacing="0"/>
                    <w:ind w:left="0" w:firstLine="0"/>
                    <w:jc w:val="both"/>
                    <w:rPr>
                      <w:sz w:val="22"/>
                      <w:szCs w:val="22"/>
                    </w:rPr>
                  </w:pPr>
                  <w:r w:rsidRPr="003822E5">
                    <w:rPr>
                      <w:sz w:val="22"/>
                      <w:szCs w:val="22"/>
                    </w:rPr>
                    <w:t>Galutinės, su Perkančiąja organizacija suderintos, dokumentų versijos turi būti pateiktos Perkančiajai organizacijai su lydraščiu elektroniniu formatu (MS Word arba kitu lygiaverčiu, su Perkančiąja organizacija suderintu, formatu), pasirašytos elektroniniu parašu, atitinkančiu kvalifikuotam elektroniniam parašui keliamus reikalavimus, numatytus Reglamente (ES) Nr. 910/2014.</w:t>
                  </w:r>
                </w:p>
                <w:p w14:paraId="6798ED88" w14:textId="77777777" w:rsidR="009D5C7E" w:rsidRPr="003822E5" w:rsidRDefault="009D5C7E" w:rsidP="003822E5">
                  <w:pPr>
                    <w:pStyle w:val="prastasiniatinklio"/>
                    <w:numPr>
                      <w:ilvl w:val="1"/>
                      <w:numId w:val="17"/>
                    </w:numPr>
                    <w:tabs>
                      <w:tab w:val="left" w:pos="456"/>
                    </w:tabs>
                    <w:spacing w:before="0" w:beforeAutospacing="0" w:after="0" w:afterAutospacing="0"/>
                    <w:ind w:left="0" w:firstLine="0"/>
                    <w:jc w:val="both"/>
                    <w:rPr>
                      <w:sz w:val="22"/>
                      <w:szCs w:val="22"/>
                    </w:rPr>
                  </w:pPr>
                  <w:r w:rsidRPr="003822E5">
                    <w:rPr>
                      <w:sz w:val="22"/>
                      <w:szCs w:val="22"/>
                    </w:rPr>
                    <w:t xml:space="preserve">Jeigu Perkančioji organizacija pareikalaus, Paslaugų teikėjas turės pateikti dokumentų galutines versijas ir popieriniu formatu (ne daugiau kaip 1 egz.). </w:t>
                  </w:r>
                </w:p>
                <w:p w14:paraId="70DD5AC3" w14:textId="77777777" w:rsidR="009D5C7E" w:rsidRPr="003822E5" w:rsidRDefault="009D5C7E" w:rsidP="003822E5">
                  <w:pPr>
                    <w:pStyle w:val="prastasiniatinklio"/>
                    <w:numPr>
                      <w:ilvl w:val="1"/>
                      <w:numId w:val="17"/>
                    </w:numPr>
                    <w:tabs>
                      <w:tab w:val="left" w:pos="456"/>
                    </w:tabs>
                    <w:spacing w:before="0" w:beforeAutospacing="0" w:after="0" w:afterAutospacing="0"/>
                    <w:ind w:left="0" w:firstLine="0"/>
                    <w:jc w:val="both"/>
                    <w:rPr>
                      <w:sz w:val="22"/>
                      <w:szCs w:val="22"/>
                    </w:rPr>
                  </w:pPr>
                  <w:r w:rsidRPr="003822E5">
                    <w:rPr>
                      <w:sz w:val="22"/>
                      <w:szCs w:val="22"/>
                    </w:rPr>
                    <w:t>Galutinių, su Perkančiąja organizacija suderintų, dokumentų versijų perdavimas turi būti fiksuojamas</w:t>
                  </w:r>
                  <w:r w:rsidRPr="003822E5">
                    <w:rPr>
                      <w:sz w:val="22"/>
                      <w:szCs w:val="22"/>
                      <w:lang w:eastAsia="da-DK"/>
                    </w:rPr>
                    <w:t xml:space="preserve"> Paslaugų teikėjo ir Perkančiosios organizacijos įgaliotiems asmenims pasirašant Paslaugų perdavimo-priėmimo aktą.</w:t>
                  </w:r>
                </w:p>
              </w:tc>
            </w:tr>
          </w:tbl>
          <w:p w14:paraId="2D7D7DE7" w14:textId="301E5BC1" w:rsidR="009D5C7E" w:rsidRPr="00DF71B3" w:rsidRDefault="009D5C7E" w:rsidP="00B06C09">
            <w:pPr>
              <w:spacing w:line="254" w:lineRule="auto"/>
            </w:pPr>
          </w:p>
        </w:tc>
      </w:tr>
      <w:tr w:rsidR="007154E2" w:rsidRPr="007154E2" w14:paraId="08E60C31"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62EBC7" w14:textId="77777777" w:rsidR="007154E2" w:rsidRPr="007154E2" w:rsidRDefault="007154E2" w:rsidP="00E51D92">
            <w:pPr>
              <w:pStyle w:val="Sraopastraipa"/>
              <w:numPr>
                <w:ilvl w:val="1"/>
                <w:numId w:val="14"/>
              </w:numPr>
              <w:ind w:left="113" w:right="113" w:hanging="1"/>
              <w:rPr>
                <w:rFonts w:eastAsia="Times New Roman"/>
                <w:b/>
                <w:bCs/>
                <w:bdr w:val="none" w:sz="0" w:space="0" w:color="auto" w:frame="1"/>
              </w:rPr>
            </w:pPr>
          </w:p>
        </w:tc>
        <w:tc>
          <w:tcPr>
            <w:tcW w:w="9214" w:type="dxa"/>
            <w:tcBorders>
              <w:top w:val="single" w:sz="4" w:space="0" w:color="auto"/>
              <w:left w:val="single" w:sz="4" w:space="0" w:color="000000"/>
              <w:bottom w:val="single" w:sz="4" w:space="0" w:color="auto"/>
              <w:right w:val="single" w:sz="4" w:space="0" w:color="auto"/>
            </w:tcBorders>
            <w:shd w:val="clear" w:color="auto" w:fill="F2F2F2" w:themeFill="background1" w:themeFillShade="F2"/>
            <w:noWrap/>
            <w:vAlign w:val="center"/>
          </w:tcPr>
          <w:p w14:paraId="39D704F5" w14:textId="298EA3D6" w:rsidR="007154E2" w:rsidRPr="007154E2" w:rsidRDefault="007154E2" w:rsidP="00962158">
            <w:pPr>
              <w:jc w:val="center"/>
              <w:rPr>
                <w:rFonts w:eastAsia="Times New Roman"/>
                <w:b/>
                <w:bCs/>
                <w:bdr w:val="none" w:sz="0" w:space="0" w:color="auto" w:frame="1"/>
              </w:rPr>
            </w:pPr>
            <w:r w:rsidRPr="007154E2">
              <w:rPr>
                <w:rFonts w:eastAsia="Times New Roman"/>
                <w:b/>
                <w:bCs/>
                <w:bdr w:val="none" w:sz="0" w:space="0" w:color="auto" w:frame="1"/>
              </w:rPr>
              <w:t>Reikalavimai VST IS saugos atitikties vertinimui ir ataskaitai.</w:t>
            </w:r>
          </w:p>
        </w:tc>
      </w:tr>
      <w:tr w:rsidR="009D5C7E" w14:paraId="6D3D64AE"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470C9512"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48BF9E8B" w14:textId="2C03CA41" w:rsidR="009D5C7E" w:rsidRPr="00DF71B3" w:rsidRDefault="009D5C7E" w:rsidP="00B06C09">
            <w:pPr>
              <w:spacing w:line="254" w:lineRule="auto"/>
            </w:pPr>
            <w:r>
              <w:t xml:space="preserve">VST IS </w:t>
            </w:r>
            <w:r w:rsidRPr="00337DF4">
              <w:t>saugos atitikties vertinimas turi būti atliktas vadovaujantis Informacinių technologijų saugos atitikties vertinimo metodika, patvirtinta Lietuvos Respublikos krašto apsaugos ministro 2020 m. gruodžio 4 d. įsakymu Nr. V-941 „Dėl Informacinių technologijų saugos atitikties vertinimo metodikos patvirtinimo“  (toliau – Atitikties vertinimo metodika).</w:t>
            </w:r>
          </w:p>
        </w:tc>
      </w:tr>
      <w:tr w:rsidR="009D5C7E" w14:paraId="671FF19F"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6FFFADDA"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3EBD8107" w14:textId="393ADC97" w:rsidR="009D5C7E" w:rsidRPr="00DF71B3" w:rsidRDefault="009D5C7E" w:rsidP="00B06C09">
            <w:pPr>
              <w:spacing w:line="254" w:lineRule="auto"/>
            </w:pPr>
            <w:r>
              <w:t xml:space="preserve">Turi būti vertinama VST IS </w:t>
            </w:r>
            <w:r w:rsidRPr="009F4332">
              <w:t>informacijos saugos atitiktis Lietuvos Respublikos teisės aktams, nurodytiems šios techninės specifikacijos 2.1.1.</w:t>
            </w:r>
            <w:r>
              <w:t>1</w:t>
            </w:r>
            <w:r w:rsidRPr="009F4332">
              <w:t>-2.1.1.</w:t>
            </w:r>
            <w:r>
              <w:t>3</w:t>
            </w:r>
            <w:r w:rsidRPr="009F4332">
              <w:t xml:space="preserve"> papunkčiuose.</w:t>
            </w:r>
          </w:p>
        </w:tc>
      </w:tr>
      <w:tr w:rsidR="009D5C7E" w14:paraId="14A7C6DC"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487EA154"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3CFFF11A" w14:textId="42DEDECD" w:rsidR="009D5C7E" w:rsidRPr="00DF71B3" w:rsidRDefault="009D5C7E" w:rsidP="00B06C09">
            <w:pPr>
              <w:spacing w:line="254" w:lineRule="auto"/>
            </w:pPr>
            <w:r w:rsidRPr="00B651F0">
              <w:t>Atitikties vertinimas turi būti atliekamas Atitikties vertinimo metodikos II skyriuje nustatyta tvarka</w:t>
            </w:r>
            <w:r>
              <w:t>.</w:t>
            </w:r>
          </w:p>
        </w:tc>
      </w:tr>
      <w:tr w:rsidR="009D5C7E" w14:paraId="2EB53A1F"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0D7FF3A2"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73D4D0E7" w14:textId="0EB4D0B1" w:rsidR="009D5C7E" w:rsidRPr="00B651F0" w:rsidRDefault="009D5C7E" w:rsidP="00B651F0">
            <w:pPr>
              <w:pStyle w:val="Bodytext20"/>
              <w:shd w:val="clear" w:color="auto" w:fill="auto"/>
              <w:tabs>
                <w:tab w:val="left" w:pos="0"/>
                <w:tab w:val="left" w:pos="677"/>
                <w:tab w:val="left" w:pos="1276"/>
              </w:tabs>
              <w:spacing w:line="240" w:lineRule="auto"/>
              <w:ind w:right="55" w:firstLine="0"/>
              <w:jc w:val="both"/>
              <w:rPr>
                <w:i w:val="0"/>
                <w:iCs w:val="0"/>
                <w:sz w:val="24"/>
                <w:szCs w:val="24"/>
                <w:lang w:val="en-US"/>
              </w:rPr>
            </w:pPr>
            <w:r w:rsidRPr="005606A2">
              <w:rPr>
                <w:i w:val="0"/>
                <w:iCs w:val="0"/>
                <w:sz w:val="24"/>
                <w:szCs w:val="24"/>
              </w:rPr>
              <w:t xml:space="preserve">Atlikus </w:t>
            </w:r>
            <w:r w:rsidRPr="00B651F0">
              <w:rPr>
                <w:i w:val="0"/>
                <w:iCs w:val="0"/>
                <w:sz w:val="24"/>
                <w:szCs w:val="24"/>
              </w:rPr>
              <w:t xml:space="preserve">atitikties vertinimą, Paslaugų teikėjas turės parengti </w:t>
            </w:r>
            <w:r>
              <w:rPr>
                <w:i w:val="0"/>
                <w:iCs w:val="0"/>
                <w:sz w:val="24"/>
                <w:szCs w:val="24"/>
              </w:rPr>
              <w:t xml:space="preserve">VST IS </w:t>
            </w:r>
            <w:r w:rsidRPr="00B651F0">
              <w:rPr>
                <w:i w:val="0"/>
                <w:iCs w:val="0"/>
                <w:sz w:val="24"/>
                <w:szCs w:val="24"/>
              </w:rPr>
              <w:t xml:space="preserve">saugos atitikties vertinimo ataskaitą (toliau – Atitikties vertinimo ataskaita), kurioje turi būti nurodyta </w:t>
            </w:r>
            <w:r>
              <w:rPr>
                <w:i w:val="0"/>
                <w:iCs w:val="0"/>
                <w:sz w:val="24"/>
                <w:szCs w:val="24"/>
              </w:rPr>
              <w:t xml:space="preserve">ši </w:t>
            </w:r>
            <w:r w:rsidRPr="00B651F0">
              <w:rPr>
                <w:i w:val="0"/>
                <w:iCs w:val="0"/>
                <w:sz w:val="24"/>
                <w:szCs w:val="24"/>
              </w:rPr>
              <w:t>informacija:</w:t>
            </w:r>
          </w:p>
          <w:p w14:paraId="465F3457" w14:textId="72FF36DE" w:rsidR="009D5C7E" w:rsidRPr="00B651F0" w:rsidRDefault="009D5C7E" w:rsidP="00B651F0">
            <w:pPr>
              <w:pStyle w:val="Sraopastraipa"/>
              <w:numPr>
                <w:ilvl w:val="3"/>
                <w:numId w:val="14"/>
              </w:numPr>
              <w:tabs>
                <w:tab w:val="left" w:pos="677"/>
                <w:tab w:val="left" w:pos="851"/>
                <w:tab w:val="left" w:pos="1134"/>
              </w:tabs>
              <w:ind w:left="0" w:firstLine="0"/>
              <w:jc w:val="both"/>
            </w:pPr>
            <w:r w:rsidRPr="00B651F0">
              <w:t>atitikties reikalavimams vertinimo rezultatai;</w:t>
            </w:r>
          </w:p>
          <w:p w14:paraId="00B2362B" w14:textId="741DF77C" w:rsidR="009D5C7E" w:rsidRPr="00DF71B3" w:rsidRDefault="009D5C7E" w:rsidP="009F1CA2">
            <w:pPr>
              <w:pStyle w:val="Sraopastraipa"/>
              <w:numPr>
                <w:ilvl w:val="3"/>
                <w:numId w:val="14"/>
              </w:numPr>
              <w:tabs>
                <w:tab w:val="left" w:pos="677"/>
                <w:tab w:val="left" w:pos="851"/>
                <w:tab w:val="left" w:pos="1134"/>
              </w:tabs>
              <w:ind w:left="0" w:firstLine="0"/>
              <w:jc w:val="both"/>
            </w:pPr>
            <w:r w:rsidRPr="00B651F0">
              <w:t>rekomendacijos dėl atitikties vertinimo metu nustatytų neatitikčių (trūkumų) šalinimo (pvz. rekomendacijos esamų saugos dokumentų turiniui ir (ar) trūkstamų saugos dokumentų turinio parengimui).</w:t>
            </w:r>
          </w:p>
        </w:tc>
      </w:tr>
      <w:tr w:rsidR="009D5C7E" w14:paraId="7597CDE8"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7D4C3266"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F367487" w14:textId="14E6206F" w:rsidR="009D5C7E" w:rsidRPr="00EB1530" w:rsidRDefault="009D5C7E" w:rsidP="00EB1530">
            <w:pPr>
              <w:tabs>
                <w:tab w:val="left" w:pos="851"/>
                <w:tab w:val="left" w:pos="1134"/>
              </w:tabs>
              <w:jc w:val="both"/>
            </w:pPr>
            <w:r w:rsidRPr="006B78CB">
              <w:t>Atitikties vertinimo ataskaita rengiama, derinama ir pateikiama Perkančiajai organizacijai pagal šios techninės specifikacijos 2.1.10 papunktyje nustatytus reikalavimus.</w:t>
            </w:r>
          </w:p>
        </w:tc>
      </w:tr>
      <w:tr w:rsidR="009D5C7E" w14:paraId="3700D87C"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1791A530" w14:textId="77777777" w:rsidR="009D5C7E" w:rsidRPr="00DF71B3" w:rsidRDefault="009D5C7E" w:rsidP="00E51D92">
            <w:pPr>
              <w:pStyle w:val="Sraopastraipa"/>
              <w:numPr>
                <w:ilvl w:val="2"/>
                <w:numId w:val="19"/>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497AE87F" w14:textId="1934321C" w:rsidR="009D5C7E" w:rsidRPr="0038651E" w:rsidRDefault="009D5C7E" w:rsidP="0038651E">
            <w:pPr>
              <w:tabs>
                <w:tab w:val="left" w:pos="851"/>
                <w:tab w:val="left" w:pos="1134"/>
              </w:tabs>
              <w:jc w:val="both"/>
            </w:pPr>
            <w:r>
              <w:t>Galutiniai, su Perkančiąja organizacija suderinti, VST IS</w:t>
            </w:r>
            <w:r w:rsidRPr="006B78CB">
              <w:t xml:space="preserve"> saugos atitikties vertinimo rezultatai turi būti pristatyti Perkančiosios organizacijos atsakingiems specialistams (duomenų valdymo įgaliotiniui, saugos įgaliotiniui, administratoriams) ir vadovybei (jei Perkančioji organizacija pageidaus).</w:t>
            </w:r>
          </w:p>
        </w:tc>
      </w:tr>
      <w:tr w:rsidR="00CA19C4" w:rsidRPr="00CA19C4" w14:paraId="5369963D"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4F220C" w14:textId="7D54F288" w:rsidR="00CA19C4" w:rsidRPr="00CA19C4" w:rsidRDefault="00CA19C4" w:rsidP="00E51D92">
            <w:pPr>
              <w:pStyle w:val="Sraopastraipa"/>
              <w:numPr>
                <w:ilvl w:val="1"/>
                <w:numId w:val="14"/>
              </w:numPr>
              <w:ind w:left="113" w:right="113" w:hanging="1"/>
              <w:rPr>
                <w:rFonts w:eastAsia="Times New Roman"/>
                <w:b/>
                <w:bCs/>
                <w:bdr w:val="none" w:sz="0" w:space="0" w:color="auto" w:frame="1"/>
              </w:rPr>
            </w:pPr>
            <w:bookmarkStart w:id="1" w:name="_Hlk191373416"/>
          </w:p>
        </w:tc>
        <w:tc>
          <w:tcPr>
            <w:tcW w:w="9214" w:type="dxa"/>
            <w:tcBorders>
              <w:top w:val="single" w:sz="4" w:space="0" w:color="auto"/>
              <w:left w:val="single" w:sz="4" w:space="0" w:color="000000"/>
              <w:bottom w:val="single" w:sz="4" w:space="0" w:color="auto"/>
              <w:right w:val="single" w:sz="4" w:space="0" w:color="auto"/>
            </w:tcBorders>
            <w:shd w:val="clear" w:color="auto" w:fill="F2F2F2" w:themeFill="background1" w:themeFillShade="F2"/>
            <w:noWrap/>
            <w:vAlign w:val="center"/>
          </w:tcPr>
          <w:p w14:paraId="53DFFFEA" w14:textId="321F460D" w:rsidR="00CA19C4" w:rsidRPr="00CA19C4" w:rsidRDefault="00CA19C4" w:rsidP="00CA19C4">
            <w:pPr>
              <w:jc w:val="center"/>
              <w:rPr>
                <w:rFonts w:eastAsia="Times New Roman"/>
                <w:b/>
                <w:bCs/>
                <w:bdr w:val="none" w:sz="0" w:space="0" w:color="auto" w:frame="1"/>
              </w:rPr>
            </w:pPr>
            <w:r w:rsidRPr="00CA19C4">
              <w:rPr>
                <w:rFonts w:eastAsia="Times New Roman"/>
                <w:b/>
                <w:bCs/>
                <w:bdr w:val="none" w:sz="0" w:space="0" w:color="auto" w:frame="1"/>
              </w:rPr>
              <w:t>Reikalavimai VST IS rizikos vertinimui ir ataskaitai.</w:t>
            </w:r>
          </w:p>
        </w:tc>
      </w:tr>
      <w:bookmarkEnd w:id="1"/>
      <w:tr w:rsidR="009D5C7E" w14:paraId="4DE2FC7E"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6ABC02C9"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49C3C571" w14:textId="540D383E" w:rsidR="009D5C7E" w:rsidRPr="00CC0A13" w:rsidRDefault="009D5C7E" w:rsidP="00CC0A13">
            <w:pPr>
              <w:tabs>
                <w:tab w:val="left" w:pos="851"/>
              </w:tabs>
              <w:jc w:val="both"/>
              <w:rPr>
                <w:lang w:eastAsia="lt-LT"/>
              </w:rPr>
            </w:pPr>
            <w:r>
              <w:t>VST IS</w:t>
            </w:r>
            <w:r w:rsidRPr="006B78CB">
              <w:t xml:space="preserve"> rizikos vertinimas turi būti atliekamas atsižvelgiant į  </w:t>
            </w:r>
            <w:r w:rsidRPr="006B78CB">
              <w:rPr>
                <w:lang w:eastAsia="lt-LT"/>
              </w:rPr>
              <w:t>Nacionalinio kibernetinio saugumo centro prie Lietuvos Respublikos krašto apsaugos ministerijos (toliau – NKSC) interneto svetainėje skelbiamą metodinę priemonę „Rizikos analizės vadovas“</w:t>
            </w:r>
            <w:r w:rsidRPr="00CC0A13">
              <w:rPr>
                <w:rFonts w:eastAsia="Calibri" w:cs="Tahoma"/>
                <w:lang w:eastAsia="lt-LT"/>
              </w:rPr>
              <w:t>, kuri skelbiama NKSC interneto svetainėje</w:t>
            </w:r>
            <w:r w:rsidRPr="00CC0A13">
              <w:rPr>
                <w:rFonts w:ascii="Tahoma" w:eastAsia="Calibri" w:hAnsi="Tahoma" w:cs="Tahoma"/>
                <w:lang w:eastAsia="lt-LT"/>
              </w:rPr>
              <w:t xml:space="preserve"> </w:t>
            </w:r>
            <w:r w:rsidRPr="00CC0A13">
              <w:rPr>
                <w:rFonts w:eastAsia="Calibri" w:cs="Tahoma"/>
                <w:lang w:eastAsia="lt-LT"/>
              </w:rPr>
              <w:t>(</w:t>
            </w:r>
            <w:hyperlink r:id="rId10" w:history="1">
              <w:r w:rsidRPr="00CC0A13">
                <w:rPr>
                  <w:rStyle w:val="Hipersaitas"/>
                  <w:rFonts w:eastAsia="Calibri" w:cs="Tahoma"/>
                  <w:lang w:eastAsia="lt-LT"/>
                </w:rPr>
                <w:t>https://www.nksc.lt/doc/rizikos_analize.pdf</w:t>
              </w:r>
            </w:hyperlink>
            <w:r w:rsidRPr="00CC0A13">
              <w:rPr>
                <w:rFonts w:eastAsia="Calibri" w:cs="Tahoma"/>
                <w:lang w:eastAsia="lt-LT"/>
              </w:rPr>
              <w:t>),</w:t>
            </w:r>
            <w:r w:rsidRPr="006B78CB">
              <w:rPr>
                <w:lang w:eastAsia="lt-LT"/>
              </w:rPr>
              <w:t xml:space="preserve"> Lietuvos ir tarptautinius „Informacijos technologija. Saugumo technika“ grupės standartus arba kitus lygiaverčius standartus.</w:t>
            </w:r>
          </w:p>
        </w:tc>
      </w:tr>
      <w:tr w:rsidR="009D5C7E" w14:paraId="2C15CC71"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0C5F3089"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1B973599" w14:textId="77777777" w:rsidR="009D5C7E" w:rsidRPr="006B78CB" w:rsidRDefault="009D5C7E" w:rsidP="00D631B6">
            <w:pPr>
              <w:tabs>
                <w:tab w:val="left" w:pos="394"/>
              </w:tabs>
              <w:ind w:right="74"/>
              <w:jc w:val="both"/>
              <w:rPr>
                <w:lang w:eastAsia="lt-LT"/>
              </w:rPr>
            </w:pPr>
            <w:r w:rsidRPr="006B78CB">
              <w:t>Rizikos vertinimas turi apimti:</w:t>
            </w:r>
          </w:p>
          <w:p w14:paraId="12EFE595" w14:textId="0157FF2F" w:rsidR="009D5C7E" w:rsidRPr="006B78CB" w:rsidRDefault="009D5C7E" w:rsidP="00D631B6">
            <w:pPr>
              <w:pStyle w:val="Sraopastraipa"/>
              <w:numPr>
                <w:ilvl w:val="3"/>
                <w:numId w:val="14"/>
              </w:numPr>
              <w:tabs>
                <w:tab w:val="left" w:pos="961"/>
                <w:tab w:val="left" w:pos="1560"/>
              </w:tabs>
              <w:ind w:left="0" w:right="74" w:firstLine="0"/>
              <w:jc w:val="both"/>
            </w:pPr>
            <w:r w:rsidRPr="006B78CB">
              <w:t>Poveikio veiklai analizę, kurios metu turi būti įvertinta:</w:t>
            </w:r>
          </w:p>
          <w:p w14:paraId="1847450C" w14:textId="612F61C1" w:rsidR="009D5C7E" w:rsidRPr="006B78CB" w:rsidRDefault="009D5C7E" w:rsidP="00D631B6">
            <w:pPr>
              <w:pStyle w:val="Sraopastraipa"/>
              <w:numPr>
                <w:ilvl w:val="4"/>
                <w:numId w:val="14"/>
              </w:numPr>
              <w:tabs>
                <w:tab w:val="left" w:pos="961"/>
                <w:tab w:val="left" w:pos="1560"/>
              </w:tabs>
              <w:ind w:left="0" w:right="74" w:firstLine="0"/>
              <w:jc w:val="both"/>
            </w:pPr>
            <w:r>
              <w:t>VST IS</w:t>
            </w:r>
            <w:r w:rsidRPr="006B78CB">
              <w:t xml:space="preserve"> programinė ir techninė įranga;</w:t>
            </w:r>
          </w:p>
          <w:p w14:paraId="01308E84" w14:textId="5826479B" w:rsidR="009D5C7E" w:rsidRPr="006B78CB" w:rsidRDefault="009D5C7E" w:rsidP="00D631B6">
            <w:pPr>
              <w:pStyle w:val="Sraopastraipa"/>
              <w:numPr>
                <w:ilvl w:val="4"/>
                <w:numId w:val="14"/>
              </w:numPr>
              <w:tabs>
                <w:tab w:val="left" w:pos="961"/>
                <w:tab w:val="left" w:pos="1560"/>
              </w:tabs>
              <w:ind w:left="0" w:right="74" w:firstLine="0"/>
              <w:jc w:val="both"/>
            </w:pPr>
            <w:r>
              <w:t>VST IS</w:t>
            </w:r>
            <w:r w:rsidRPr="006B78CB">
              <w:t xml:space="preserve"> fizinė aplinka;</w:t>
            </w:r>
          </w:p>
          <w:p w14:paraId="3ED8176C" w14:textId="1B1221C2" w:rsidR="009D5C7E" w:rsidRPr="006B78CB" w:rsidRDefault="009D5C7E" w:rsidP="00D631B6">
            <w:pPr>
              <w:pStyle w:val="Sraopastraipa"/>
              <w:numPr>
                <w:ilvl w:val="4"/>
                <w:numId w:val="14"/>
              </w:numPr>
              <w:tabs>
                <w:tab w:val="left" w:pos="961"/>
                <w:tab w:val="left" w:pos="1560"/>
              </w:tabs>
              <w:ind w:left="0" w:right="74" w:firstLine="0"/>
              <w:jc w:val="both"/>
            </w:pPr>
            <w:r>
              <w:t>VST IS</w:t>
            </w:r>
            <w:r w:rsidRPr="006B78CB">
              <w:t xml:space="preserve"> ir duomenų saugos dokumentacija;</w:t>
            </w:r>
          </w:p>
          <w:p w14:paraId="0307704B" w14:textId="1C38E0C1" w:rsidR="009D5C7E" w:rsidRPr="006B78CB" w:rsidRDefault="009D5C7E" w:rsidP="00D631B6">
            <w:pPr>
              <w:pStyle w:val="Sraopastraipa"/>
              <w:numPr>
                <w:ilvl w:val="4"/>
                <w:numId w:val="14"/>
              </w:numPr>
              <w:tabs>
                <w:tab w:val="left" w:pos="961"/>
                <w:tab w:val="left" w:pos="1560"/>
              </w:tabs>
              <w:ind w:left="0" w:right="74" w:firstLine="0"/>
              <w:jc w:val="both"/>
            </w:pPr>
            <w:r>
              <w:t>VST IS</w:t>
            </w:r>
            <w:r w:rsidRPr="006B78CB">
              <w:t xml:space="preserve"> taikomi informacijos ir duomenų saugos užtikrinimo metodai ir kiti informacijos saugumui svarbūs aspektai.</w:t>
            </w:r>
          </w:p>
          <w:p w14:paraId="4F6B94F5" w14:textId="77777777" w:rsidR="009D5C7E" w:rsidRPr="006B78CB" w:rsidRDefault="009D5C7E" w:rsidP="00D631B6">
            <w:pPr>
              <w:pStyle w:val="Sraopastraipa"/>
              <w:numPr>
                <w:ilvl w:val="3"/>
                <w:numId w:val="14"/>
              </w:numPr>
              <w:tabs>
                <w:tab w:val="left" w:pos="961"/>
                <w:tab w:val="left" w:pos="1560"/>
              </w:tabs>
              <w:ind w:left="0" w:right="74" w:firstLine="0"/>
              <w:jc w:val="both"/>
              <w:rPr>
                <w:lang w:eastAsia="lt-LT"/>
              </w:rPr>
            </w:pPr>
            <w:r w:rsidRPr="006B78CB">
              <w:t>Rizikos vertinimą ir rizikos mažinimo priemonių parinkimą, kurių metu turi būti įvertinta:</w:t>
            </w:r>
          </w:p>
          <w:p w14:paraId="6D3E5F2F" w14:textId="37BFA86A" w:rsidR="009D5C7E" w:rsidRPr="006B78CB" w:rsidRDefault="009D5C7E" w:rsidP="00D631B6">
            <w:pPr>
              <w:pStyle w:val="Sraopastraipa"/>
              <w:numPr>
                <w:ilvl w:val="4"/>
                <w:numId w:val="14"/>
              </w:numPr>
              <w:tabs>
                <w:tab w:val="left" w:pos="961"/>
                <w:tab w:val="left" w:pos="1560"/>
              </w:tabs>
              <w:ind w:left="0" w:right="74" w:firstLine="0"/>
              <w:jc w:val="both"/>
            </w:pPr>
            <w:r w:rsidRPr="006B78CB">
              <w:t xml:space="preserve">nustatytos grėsmės ir pažeidžiamumai, galintys turėti įtakos </w:t>
            </w:r>
            <w:r>
              <w:t>VST IS</w:t>
            </w:r>
            <w:r w:rsidRPr="006B78CB">
              <w:t xml:space="preserve"> tvarkomos informacijos saugumui (įskaitant kibernetinį saugumą);</w:t>
            </w:r>
          </w:p>
          <w:p w14:paraId="0CD6794D" w14:textId="77777777" w:rsidR="009D5C7E" w:rsidRPr="006B78CB" w:rsidRDefault="009D5C7E" w:rsidP="00D631B6">
            <w:pPr>
              <w:pStyle w:val="Sraopastraipa"/>
              <w:numPr>
                <w:ilvl w:val="4"/>
                <w:numId w:val="14"/>
              </w:numPr>
              <w:tabs>
                <w:tab w:val="left" w:pos="961"/>
                <w:tab w:val="left" w:pos="1560"/>
              </w:tabs>
              <w:ind w:left="0" w:right="74" w:firstLine="0"/>
              <w:jc w:val="both"/>
            </w:pPr>
            <w:r w:rsidRPr="006B78CB">
              <w:t>atliktas grėsmių ir pažeidžiamumų įvertinimas;</w:t>
            </w:r>
          </w:p>
          <w:p w14:paraId="1AF82FC1" w14:textId="77777777" w:rsidR="009D5C7E" w:rsidRPr="006B78CB" w:rsidRDefault="009D5C7E" w:rsidP="00D631B6">
            <w:pPr>
              <w:pStyle w:val="Sraopastraipa"/>
              <w:numPr>
                <w:ilvl w:val="4"/>
                <w:numId w:val="14"/>
              </w:numPr>
              <w:tabs>
                <w:tab w:val="left" w:pos="961"/>
                <w:tab w:val="left" w:pos="1134"/>
                <w:tab w:val="left" w:pos="1560"/>
              </w:tabs>
              <w:ind w:left="0" w:right="74" w:firstLine="0"/>
              <w:jc w:val="both"/>
            </w:pPr>
            <w:r w:rsidRPr="006B78CB">
              <w:t>įvertintos grėsmių tikimybės ir jų poveikis (pasekmės);</w:t>
            </w:r>
          </w:p>
          <w:p w14:paraId="3E4CBC1B" w14:textId="77777777" w:rsidR="009D5C7E" w:rsidRPr="006B78CB" w:rsidRDefault="009D5C7E" w:rsidP="00D631B6">
            <w:pPr>
              <w:pStyle w:val="Sraopastraipa"/>
              <w:numPr>
                <w:ilvl w:val="4"/>
                <w:numId w:val="14"/>
              </w:numPr>
              <w:tabs>
                <w:tab w:val="left" w:pos="961"/>
                <w:tab w:val="left" w:pos="1134"/>
                <w:tab w:val="left" w:pos="1560"/>
              </w:tabs>
              <w:ind w:left="0" w:right="74" w:firstLine="0"/>
              <w:jc w:val="both"/>
            </w:pPr>
            <w:r w:rsidRPr="006B78CB">
              <w:t>įvertintas galimas poveikis veiklai dėl potencialaus informacijos ir (ar) informacinių sistemų konfidencialumo, vientisumo arba prieinamumo praradimo;</w:t>
            </w:r>
          </w:p>
          <w:p w14:paraId="20D92C1B" w14:textId="77777777" w:rsidR="009D5C7E" w:rsidRPr="006B78CB" w:rsidRDefault="009D5C7E" w:rsidP="00D631B6">
            <w:pPr>
              <w:pStyle w:val="Sraopastraipa"/>
              <w:numPr>
                <w:ilvl w:val="4"/>
                <w:numId w:val="14"/>
              </w:numPr>
              <w:tabs>
                <w:tab w:val="left" w:pos="961"/>
                <w:tab w:val="left" w:pos="1134"/>
                <w:tab w:val="left" w:pos="1560"/>
              </w:tabs>
              <w:ind w:left="0" w:right="74" w:firstLine="0"/>
            </w:pPr>
            <w:r w:rsidRPr="006B78CB">
              <w:t>esantys pažeidžiamumai, kurie gali būti išnaudoti grėsmėms realizuotis;</w:t>
            </w:r>
          </w:p>
          <w:p w14:paraId="467DC88C" w14:textId="77777777" w:rsidR="009D5C7E" w:rsidRPr="006B78CB" w:rsidRDefault="009D5C7E" w:rsidP="00D631B6">
            <w:pPr>
              <w:pStyle w:val="Sraopastraipa"/>
              <w:numPr>
                <w:ilvl w:val="4"/>
                <w:numId w:val="14"/>
              </w:numPr>
              <w:tabs>
                <w:tab w:val="left" w:pos="961"/>
                <w:tab w:val="left" w:pos="1134"/>
                <w:tab w:val="left" w:pos="1560"/>
              </w:tabs>
              <w:ind w:left="0" w:right="74" w:firstLine="0"/>
            </w:pPr>
            <w:r w:rsidRPr="006B78CB">
              <w:t>nustatytas rizikos lygis;</w:t>
            </w:r>
          </w:p>
          <w:p w14:paraId="62837A4D" w14:textId="77777777" w:rsidR="009D5C7E" w:rsidRPr="006B78CB" w:rsidRDefault="009D5C7E" w:rsidP="00D631B6">
            <w:pPr>
              <w:pStyle w:val="Sraopastraipa"/>
              <w:numPr>
                <w:ilvl w:val="4"/>
                <w:numId w:val="14"/>
              </w:numPr>
              <w:tabs>
                <w:tab w:val="left" w:pos="961"/>
                <w:tab w:val="left" w:pos="1134"/>
                <w:tab w:val="left" w:pos="1560"/>
              </w:tabs>
              <w:ind w:left="0" w:right="74" w:firstLine="0"/>
            </w:pPr>
            <w:r w:rsidRPr="006B78CB">
              <w:t>nustatytas priimtinos rizikos lygis;</w:t>
            </w:r>
          </w:p>
          <w:p w14:paraId="3AD5B8E2" w14:textId="05B228E4" w:rsidR="009D5C7E" w:rsidRDefault="009D5C7E" w:rsidP="00BA7343">
            <w:pPr>
              <w:pStyle w:val="Sraopastraipa"/>
              <w:numPr>
                <w:ilvl w:val="4"/>
                <w:numId w:val="14"/>
              </w:numPr>
              <w:tabs>
                <w:tab w:val="left" w:pos="961"/>
                <w:tab w:val="left" w:pos="1134"/>
                <w:tab w:val="left" w:pos="1560"/>
              </w:tabs>
              <w:ind w:left="0" w:right="74" w:firstLine="0"/>
              <w:jc w:val="both"/>
            </w:pPr>
            <w:r w:rsidRPr="006B78CB">
              <w:t>parinktos taikytinos (rekomenduojamos) nustatytų nepriimtinų rizikų valdymo priemonės.</w:t>
            </w:r>
          </w:p>
        </w:tc>
      </w:tr>
      <w:tr w:rsidR="009D5C7E" w14:paraId="39C1FDCF"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25637D3A"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7C5E9B24" w14:textId="7AB4B470" w:rsidR="009D5C7E" w:rsidRDefault="009D5C7E" w:rsidP="00BA7343">
            <w:pPr>
              <w:tabs>
                <w:tab w:val="left" w:pos="851"/>
              </w:tabs>
              <w:ind w:right="74"/>
              <w:jc w:val="both"/>
            </w:pPr>
            <w:r>
              <w:t>Atlikus VST IS Rizikos vertinimą Paslaugų teikėjas turės parengti VST IS rizikos vertinimo ataskaitą (toliau – Rizikos vertinimo ataskaitą), kurioje turi būti nurodyta bent tokia informacija:</w:t>
            </w:r>
          </w:p>
          <w:p w14:paraId="5472A19F" w14:textId="77777777" w:rsidR="009D5C7E" w:rsidRDefault="009D5C7E" w:rsidP="00BA7343">
            <w:pPr>
              <w:tabs>
                <w:tab w:val="left" w:pos="851"/>
              </w:tabs>
              <w:ind w:right="74"/>
              <w:jc w:val="both"/>
            </w:pPr>
            <w:r>
              <w:t>2.3.3.1.</w:t>
            </w:r>
            <w:r>
              <w:tab/>
              <w:t>rizikos vertinimo apimtis (objektas);</w:t>
            </w:r>
          </w:p>
          <w:p w14:paraId="4CAF402E" w14:textId="77777777" w:rsidR="009D5C7E" w:rsidRDefault="009D5C7E" w:rsidP="00BA7343">
            <w:pPr>
              <w:tabs>
                <w:tab w:val="left" w:pos="851"/>
              </w:tabs>
              <w:ind w:right="74"/>
              <w:jc w:val="both"/>
            </w:pPr>
            <w:r>
              <w:t>2.3.3.2.</w:t>
            </w:r>
            <w:r>
              <w:tab/>
              <w:t>rizikos vertinimo metodo, kuriuo vadovaujantis buvo atliktas rizikos vertinimas, aprašymas;</w:t>
            </w:r>
          </w:p>
          <w:p w14:paraId="7A3E025E" w14:textId="77777777" w:rsidR="009D5C7E" w:rsidRDefault="009D5C7E" w:rsidP="00BA7343">
            <w:pPr>
              <w:tabs>
                <w:tab w:val="left" w:pos="851"/>
              </w:tabs>
              <w:ind w:right="74"/>
              <w:jc w:val="both"/>
            </w:pPr>
            <w:r>
              <w:t>2.3.3.3.</w:t>
            </w:r>
            <w:r>
              <w:tab/>
              <w:t>nustatytos grėsmės, pažeidžiamumai ir rizikos lygiai;</w:t>
            </w:r>
          </w:p>
          <w:p w14:paraId="37EDD24D" w14:textId="77777777" w:rsidR="009D5C7E" w:rsidRDefault="009D5C7E" w:rsidP="00BA7343">
            <w:pPr>
              <w:tabs>
                <w:tab w:val="left" w:pos="851"/>
              </w:tabs>
              <w:ind w:right="74"/>
              <w:jc w:val="both"/>
            </w:pPr>
            <w:r>
              <w:t>2.3.3.4.</w:t>
            </w:r>
            <w:r>
              <w:tab/>
              <w:t>grėsmių tikimybės turi būti išdėstytos prioriteto tvarka pagal svarbą, kuri nustatoma atsižvelgiant į atliktą rizikos vertinimą;</w:t>
            </w:r>
          </w:p>
          <w:p w14:paraId="39A99B15" w14:textId="77777777" w:rsidR="009D5C7E" w:rsidRDefault="009D5C7E" w:rsidP="00BA7343">
            <w:pPr>
              <w:tabs>
                <w:tab w:val="left" w:pos="851"/>
              </w:tabs>
              <w:ind w:right="74"/>
              <w:jc w:val="both"/>
            </w:pPr>
            <w:r>
              <w:t>2.3.3.5.</w:t>
            </w:r>
            <w:r>
              <w:tab/>
              <w:t>įvertintas grėsmių poveikis veiklai (pasekmės);</w:t>
            </w:r>
          </w:p>
          <w:p w14:paraId="3AAF3691" w14:textId="77777777" w:rsidR="009D5C7E" w:rsidRDefault="009D5C7E" w:rsidP="00BA7343">
            <w:pPr>
              <w:tabs>
                <w:tab w:val="left" w:pos="851"/>
              </w:tabs>
              <w:ind w:right="74"/>
              <w:jc w:val="both"/>
            </w:pPr>
            <w:r>
              <w:t>2.3.3.6.</w:t>
            </w:r>
            <w:r>
              <w:tab/>
              <w:t>pateiktos priimtinos ir nepriimtinos rizikos (sąrašas);</w:t>
            </w:r>
          </w:p>
          <w:p w14:paraId="6ECD2C85" w14:textId="77777777" w:rsidR="009D5C7E" w:rsidRDefault="009D5C7E" w:rsidP="00BA7343">
            <w:pPr>
              <w:tabs>
                <w:tab w:val="left" w:pos="851"/>
              </w:tabs>
              <w:ind w:right="74"/>
              <w:jc w:val="both"/>
            </w:pPr>
            <w:r>
              <w:t>2.3.3.7.</w:t>
            </w:r>
            <w:r>
              <w:tab/>
              <w:t>pateiktas liekamosios rizikos sąrašas;</w:t>
            </w:r>
          </w:p>
          <w:p w14:paraId="5031CDF8" w14:textId="77777777" w:rsidR="009D5C7E" w:rsidRDefault="009D5C7E" w:rsidP="00BA7343">
            <w:pPr>
              <w:tabs>
                <w:tab w:val="left" w:pos="851"/>
              </w:tabs>
              <w:ind w:right="74"/>
              <w:jc w:val="both"/>
            </w:pPr>
            <w:r>
              <w:t>2.3.3.8.</w:t>
            </w:r>
            <w:r>
              <w:tab/>
              <w:t>pateiktas rizikos sumažinimui taikytinų informacijos saugos organizacinių ir techninių priemonių sąrašas;</w:t>
            </w:r>
          </w:p>
          <w:p w14:paraId="74C7EBBD" w14:textId="21B7936A" w:rsidR="009D5C7E" w:rsidRDefault="009D5C7E" w:rsidP="00BA7343">
            <w:pPr>
              <w:tabs>
                <w:tab w:val="left" w:pos="851"/>
              </w:tabs>
              <w:ind w:right="74"/>
              <w:jc w:val="both"/>
            </w:pPr>
            <w:r>
              <w:t>2.3.3.9.</w:t>
            </w:r>
            <w:r>
              <w:tab/>
              <w:t>pateiktas rekomenduojamų informacijos saugos priemonių įdiegimo (rizikų mažinimo) planas (plane priemonės turi būti pateiktos prioritetine tvarka).</w:t>
            </w:r>
          </w:p>
        </w:tc>
      </w:tr>
      <w:tr w:rsidR="009D5C7E" w14:paraId="106DFC02"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6977FA9"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0D095F4C" w14:textId="59587066" w:rsidR="009D5C7E" w:rsidRDefault="009D5C7E" w:rsidP="00FF2ADC">
            <w:pPr>
              <w:tabs>
                <w:tab w:val="left" w:pos="851"/>
                <w:tab w:val="left" w:pos="1134"/>
              </w:tabs>
              <w:ind w:right="74"/>
              <w:jc w:val="both"/>
            </w:pPr>
            <w:r w:rsidRPr="006B78CB">
              <w:t xml:space="preserve">Rizikos vertinimo ataskaita rengiama, derinama ir pateikiama Perkančiajai organizacijai pagal šios techninės specifikacijos 2.1.10 papunktyje nustatytus reikalavimus. </w:t>
            </w:r>
          </w:p>
        </w:tc>
      </w:tr>
      <w:tr w:rsidR="009D5C7E" w14:paraId="47FFB54C"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437E06DF" w14:textId="77777777" w:rsidR="009D5C7E" w:rsidRPr="00DF71B3" w:rsidRDefault="009D5C7E" w:rsidP="00E51D92">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54DA826F" w14:textId="161C3E37" w:rsidR="009D5C7E" w:rsidRDefault="009D5C7E" w:rsidP="00FF2ADC">
            <w:pPr>
              <w:tabs>
                <w:tab w:val="left" w:pos="851"/>
                <w:tab w:val="left" w:pos="1134"/>
              </w:tabs>
              <w:ind w:right="74"/>
              <w:jc w:val="both"/>
            </w:pPr>
            <w:r>
              <w:t>Galutiniai, su Perkančiąja organizacija suderinti, VST IS</w:t>
            </w:r>
            <w:r w:rsidRPr="006B78CB">
              <w:t xml:space="preserve"> rizikos vertinimo rezultatai turi būti pristatyti Perkančiosios organizacijos atsakingiems specialistams</w:t>
            </w:r>
            <w:r w:rsidR="00953F3E">
              <w:t>.</w:t>
            </w:r>
          </w:p>
        </w:tc>
      </w:tr>
      <w:tr w:rsidR="000343A6" w:rsidRPr="00CA19C4" w14:paraId="34EA21BE"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43CAEF" w14:textId="75C4E967" w:rsidR="000343A6" w:rsidRPr="000343A6" w:rsidRDefault="000343A6" w:rsidP="000343A6">
            <w:pPr>
              <w:pStyle w:val="Sraopastraipa"/>
              <w:numPr>
                <w:ilvl w:val="1"/>
                <w:numId w:val="14"/>
              </w:numPr>
              <w:ind w:right="113"/>
              <w:rPr>
                <w:rFonts w:eastAsia="Times New Roman"/>
                <w:b/>
                <w:bCs/>
                <w:bdr w:val="none" w:sz="0" w:space="0" w:color="auto" w:frame="1"/>
              </w:rPr>
            </w:pPr>
          </w:p>
        </w:tc>
        <w:tc>
          <w:tcPr>
            <w:tcW w:w="9214" w:type="dxa"/>
            <w:tcBorders>
              <w:top w:val="single" w:sz="4" w:space="0" w:color="auto"/>
              <w:left w:val="single" w:sz="4" w:space="0" w:color="000000"/>
              <w:bottom w:val="single" w:sz="4" w:space="0" w:color="auto"/>
              <w:right w:val="single" w:sz="4" w:space="0" w:color="auto"/>
            </w:tcBorders>
            <w:shd w:val="clear" w:color="auto" w:fill="F2F2F2" w:themeFill="background1" w:themeFillShade="F2"/>
            <w:noWrap/>
            <w:vAlign w:val="center"/>
          </w:tcPr>
          <w:p w14:paraId="6BCD0FF5" w14:textId="188D9CC6" w:rsidR="000343A6" w:rsidRPr="00CA19C4" w:rsidRDefault="000343A6" w:rsidP="00286B64">
            <w:pPr>
              <w:jc w:val="center"/>
              <w:rPr>
                <w:rFonts w:eastAsia="Times New Roman"/>
                <w:b/>
                <w:bCs/>
                <w:bdr w:val="none" w:sz="0" w:space="0" w:color="auto" w:frame="1"/>
              </w:rPr>
            </w:pPr>
            <w:r w:rsidRPr="00CA19C4">
              <w:rPr>
                <w:rFonts w:eastAsia="Times New Roman"/>
                <w:b/>
                <w:bCs/>
                <w:bdr w:val="none" w:sz="0" w:space="0" w:color="auto" w:frame="1"/>
              </w:rPr>
              <w:t xml:space="preserve">Reikalavimai VST IS </w:t>
            </w:r>
            <w:r w:rsidR="007D69DE">
              <w:rPr>
                <w:rFonts w:eastAsia="Times New Roman"/>
                <w:b/>
                <w:bCs/>
                <w:bdr w:val="none" w:sz="0" w:space="0" w:color="auto" w:frame="1"/>
              </w:rPr>
              <w:t xml:space="preserve">saugumo dokumentacijos </w:t>
            </w:r>
            <w:r w:rsidR="000C4FD0">
              <w:rPr>
                <w:rFonts w:eastAsia="Times New Roman"/>
                <w:b/>
                <w:bCs/>
                <w:bdr w:val="none" w:sz="0" w:space="0" w:color="auto" w:frame="1"/>
              </w:rPr>
              <w:t>koregavimui</w:t>
            </w:r>
          </w:p>
        </w:tc>
      </w:tr>
      <w:tr w:rsidR="009D5C7E" w14:paraId="7D35A6AC"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151D33B1" w14:textId="77777777" w:rsidR="009D5C7E" w:rsidRPr="00DF71B3" w:rsidRDefault="009D5C7E" w:rsidP="000343A6">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1C54D396" w14:textId="58EB7CAA" w:rsidR="009D5C7E" w:rsidRPr="00CC0A13" w:rsidRDefault="009D5C7E" w:rsidP="00286B64">
            <w:pPr>
              <w:tabs>
                <w:tab w:val="left" w:pos="851"/>
              </w:tabs>
              <w:jc w:val="both"/>
              <w:rPr>
                <w:lang w:eastAsia="lt-LT"/>
              </w:rPr>
            </w:pPr>
            <w:r w:rsidRPr="007D69DE">
              <w:t>VST IS saugumo dokumentacija turi būti rengiama vadovaujantis Kibernetinio saugumo reikalavimų aprašu, patvirtintu Lietuvos Respublikos vyriausybės 2018 m. rugpjūčio 5 d. nutarimu Nr. 818 „Dėl Lietuvos Respublikos kibernetinio saugumo įstatymo įgyvendinimo“.</w:t>
            </w:r>
          </w:p>
        </w:tc>
      </w:tr>
      <w:tr w:rsidR="009D5C7E" w14:paraId="0228A6EE"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0E481A62" w14:textId="77777777" w:rsidR="009D5C7E" w:rsidRPr="00DF71B3" w:rsidRDefault="009D5C7E" w:rsidP="000343A6">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7C9ACE7B" w14:textId="77777777" w:rsidR="009D5C7E" w:rsidRDefault="009D5C7E" w:rsidP="0089300B">
            <w:pPr>
              <w:pStyle w:val="Sraopastraipa"/>
              <w:tabs>
                <w:tab w:val="left" w:pos="961"/>
                <w:tab w:val="left" w:pos="1134"/>
                <w:tab w:val="left" w:pos="1560"/>
              </w:tabs>
              <w:spacing w:after="120"/>
              <w:ind w:left="0" w:right="74"/>
              <w:jc w:val="both"/>
            </w:pPr>
            <w:r>
              <w:t xml:space="preserve">Tiekėjas, įvertinęs esamą VST IS saugos dokumentaciją, </w:t>
            </w:r>
            <w:r w:rsidR="00DB1744">
              <w:t>turi atlikti reikiamas korekcijas</w:t>
            </w:r>
            <w:r w:rsidR="00F25ECA">
              <w:t xml:space="preserve"> bei esant poreikiui papildyti.</w:t>
            </w:r>
            <w:r w:rsidR="005E1D3A">
              <w:t xml:space="preserve"> VST IS saugumo dokumentacijoje turi būti nustatyta:</w:t>
            </w:r>
          </w:p>
          <w:p w14:paraId="5F55587B" w14:textId="62FCDB8B" w:rsidR="005E1D3A" w:rsidRPr="005E1D3A" w:rsidRDefault="005E1D3A" w:rsidP="0089300B">
            <w:pPr>
              <w:tabs>
                <w:tab w:val="left" w:pos="961"/>
                <w:tab w:val="left" w:pos="1134"/>
                <w:tab w:val="left" w:pos="1560"/>
              </w:tabs>
              <w:spacing w:after="120"/>
              <w:ind w:right="74"/>
              <w:jc w:val="both"/>
            </w:pPr>
            <w:r w:rsidRPr="005E1D3A">
              <w:t>1.</w:t>
            </w:r>
            <w:r>
              <w:t xml:space="preserve"> </w:t>
            </w:r>
            <w:r w:rsidRPr="005E1D3A">
              <w:t>veiklos užtikrinant kibernetinį saugumą tikslai, suformuluoti pagal Kibernetinio saugumo įstatyme nustatytus kibernetinio saugumo principus;</w:t>
            </w:r>
          </w:p>
          <w:p w14:paraId="68304012" w14:textId="46A22164" w:rsidR="005E1D3A" w:rsidRPr="005E1D3A" w:rsidRDefault="005E1D3A" w:rsidP="0089300B">
            <w:pPr>
              <w:tabs>
                <w:tab w:val="left" w:pos="961"/>
                <w:tab w:val="left" w:pos="1134"/>
                <w:tab w:val="left" w:pos="1560"/>
              </w:tabs>
              <w:spacing w:after="120"/>
              <w:ind w:right="74"/>
              <w:jc w:val="both"/>
            </w:pPr>
            <w:bookmarkStart w:id="2" w:name="part_1df0d2f7a9bc477d85c1be5c11cdccf1"/>
            <w:bookmarkEnd w:id="2"/>
            <w:r w:rsidRPr="005E1D3A">
              <w:t>2.</w:t>
            </w:r>
            <w:r>
              <w:t xml:space="preserve"> </w:t>
            </w:r>
            <w:r w:rsidRPr="005E1D3A">
              <w:t>kibernetinį saugumą reglamentuojančių teisės aktų, kuriais vadovaujamasi, sąrašas;</w:t>
            </w:r>
          </w:p>
          <w:p w14:paraId="1E16E721" w14:textId="5AF93D2C" w:rsidR="005E1D3A" w:rsidRPr="005E1D3A" w:rsidRDefault="005E1D3A" w:rsidP="0089300B">
            <w:pPr>
              <w:tabs>
                <w:tab w:val="left" w:pos="961"/>
                <w:tab w:val="left" w:pos="1134"/>
                <w:tab w:val="left" w:pos="1560"/>
              </w:tabs>
              <w:spacing w:after="120"/>
              <w:ind w:right="74"/>
              <w:jc w:val="both"/>
            </w:pPr>
            <w:bookmarkStart w:id="3" w:name="part_90569bd6154942ccb08a42f4d205bc9a"/>
            <w:bookmarkEnd w:id="3"/>
            <w:r w:rsidRPr="005E1D3A">
              <w:t>3.</w:t>
            </w:r>
            <w:r>
              <w:t xml:space="preserve"> </w:t>
            </w:r>
            <w:r w:rsidRPr="005E1D3A">
              <w:t>kiti kibernetinio saugumo politikos dokumentai, kuriais vadovaujamasi įgyvendinant tinklų ir informacinių sistemų saugumo politiką;</w:t>
            </w:r>
          </w:p>
          <w:p w14:paraId="1F23F249" w14:textId="4A9935D6" w:rsidR="005E1D3A" w:rsidRDefault="005E1D3A" w:rsidP="0089300B">
            <w:pPr>
              <w:tabs>
                <w:tab w:val="left" w:pos="961"/>
                <w:tab w:val="left" w:pos="1134"/>
                <w:tab w:val="left" w:pos="1560"/>
              </w:tabs>
              <w:spacing w:after="120"/>
              <w:ind w:right="74"/>
              <w:jc w:val="both"/>
            </w:pPr>
            <w:bookmarkStart w:id="4" w:name="part_80cd1b9ea51a4c22a98ed829b33c2abe"/>
            <w:bookmarkEnd w:id="4"/>
            <w:r w:rsidRPr="005E1D3A">
              <w:t>4.</w:t>
            </w:r>
            <w:r>
              <w:t xml:space="preserve"> </w:t>
            </w:r>
            <w:r w:rsidRPr="005E1D3A">
              <w:t>kibernetinio saugumo politikos įpareigojimai, kurių turi laikytis darbuotojai ir trečiosios šalys</w:t>
            </w:r>
            <w:r>
              <w:t>.</w:t>
            </w:r>
          </w:p>
        </w:tc>
      </w:tr>
      <w:tr w:rsidR="009D5C7E" w14:paraId="443E0198"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6C98AEC8" w14:textId="77777777" w:rsidR="009D5C7E" w:rsidRPr="00DF71B3" w:rsidRDefault="009D5C7E" w:rsidP="000343A6">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1A5A503E" w14:textId="12E28F5A" w:rsidR="009D5C7E" w:rsidRDefault="009D5C7E" w:rsidP="0089300B">
            <w:pPr>
              <w:tabs>
                <w:tab w:val="left" w:pos="851"/>
              </w:tabs>
              <w:spacing w:after="120"/>
              <w:ind w:right="74"/>
              <w:jc w:val="both"/>
            </w:pPr>
            <w:r>
              <w:t>VST IS saugumo dokumentai</w:t>
            </w:r>
            <w:r w:rsidRPr="00867616">
              <w:t xml:space="preserve"> rengiam</w:t>
            </w:r>
            <w:r>
              <w:t>i</w:t>
            </w:r>
            <w:r w:rsidRPr="00867616">
              <w:t>, derinam</w:t>
            </w:r>
            <w:r>
              <w:t>i</w:t>
            </w:r>
            <w:r w:rsidRPr="00867616">
              <w:t xml:space="preserve"> ir pateikiam</w:t>
            </w:r>
            <w:r>
              <w:t>i</w:t>
            </w:r>
            <w:r w:rsidRPr="00867616">
              <w:t xml:space="preserve"> Perkančiajai organizacijai pagal šios techninės specifikacijos 2.1.10 papunktyje nustatytus reikalavimus.</w:t>
            </w:r>
          </w:p>
        </w:tc>
      </w:tr>
      <w:tr w:rsidR="00E51D92" w:rsidRPr="00E51D92" w14:paraId="6ED24DAF" w14:textId="77777777" w:rsidTr="009D5C7E">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39E5DC" w14:textId="77777777" w:rsidR="00E51D92" w:rsidRPr="00E51D92" w:rsidRDefault="00E51D92" w:rsidP="000343A6">
            <w:pPr>
              <w:pStyle w:val="Sraopastraipa"/>
              <w:numPr>
                <w:ilvl w:val="1"/>
                <w:numId w:val="14"/>
              </w:numPr>
              <w:ind w:left="113" w:right="113" w:hanging="1"/>
              <w:jc w:val="center"/>
              <w:rPr>
                <w:rFonts w:eastAsia="Times New Roman"/>
                <w:b/>
                <w:bCs/>
                <w:bdr w:val="none" w:sz="0" w:space="0" w:color="auto" w:frame="1"/>
              </w:rPr>
            </w:pPr>
          </w:p>
        </w:tc>
        <w:tc>
          <w:tcPr>
            <w:tcW w:w="9214" w:type="dxa"/>
            <w:tcBorders>
              <w:top w:val="single" w:sz="4" w:space="0" w:color="auto"/>
              <w:left w:val="single" w:sz="4" w:space="0" w:color="000000"/>
              <w:bottom w:val="single" w:sz="4" w:space="0" w:color="auto"/>
              <w:right w:val="single" w:sz="4" w:space="0" w:color="auto"/>
            </w:tcBorders>
            <w:shd w:val="clear" w:color="auto" w:fill="F2F2F2" w:themeFill="background1" w:themeFillShade="F2"/>
            <w:noWrap/>
            <w:vAlign w:val="center"/>
          </w:tcPr>
          <w:p w14:paraId="01C49D47" w14:textId="6DE0CA84" w:rsidR="00E51D92" w:rsidRPr="00E51D92" w:rsidRDefault="00E51D92" w:rsidP="00FF2ADC">
            <w:pPr>
              <w:ind w:right="74"/>
              <w:jc w:val="center"/>
              <w:rPr>
                <w:rFonts w:eastAsia="Times New Roman"/>
                <w:b/>
                <w:bCs/>
                <w:bdr w:val="none" w:sz="0" w:space="0" w:color="auto" w:frame="1"/>
              </w:rPr>
            </w:pPr>
            <w:r w:rsidRPr="00E51D92">
              <w:rPr>
                <w:rFonts w:eastAsia="Times New Roman"/>
                <w:b/>
                <w:bCs/>
                <w:bdr w:val="none" w:sz="0" w:space="0" w:color="auto" w:frame="1"/>
              </w:rPr>
              <w:t>Reikalavimai, susiję su informacijos (duomenų) saugumu bei sutarties vykdymu</w:t>
            </w:r>
          </w:p>
        </w:tc>
      </w:tr>
      <w:tr w:rsidR="009D5C7E" w14:paraId="1FB892E5"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464C1FA0" w14:textId="77777777" w:rsidR="009D5C7E" w:rsidRPr="00DF71B3" w:rsidRDefault="009D5C7E" w:rsidP="000343A6">
            <w:pPr>
              <w:pStyle w:val="Sraopastraipa"/>
              <w:numPr>
                <w:ilvl w:val="2"/>
                <w:numId w:val="14"/>
              </w:numPr>
              <w:ind w:left="113" w:right="113" w:hanging="1"/>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7DFDB3F3" w14:textId="1D55B3CD" w:rsidR="009D5C7E" w:rsidRDefault="009D5C7E" w:rsidP="00FF2ADC">
            <w:pPr>
              <w:tabs>
                <w:tab w:val="left" w:pos="851"/>
              </w:tabs>
              <w:spacing w:after="160"/>
              <w:ind w:right="74"/>
              <w:jc w:val="both"/>
            </w:pPr>
            <w:r w:rsidRPr="006B78CB">
              <w:t>Teikiant paslaugas (vykdant viešojo pirkimo sutartį) Paslaugų teikėjas turi vadovautis šioje techninėje specifikacijoje nustatytais reikalavimais ir užtikrinti bent šiuose teisės aktuose nustatytų reikalavimų įgyvendinimą:</w:t>
            </w:r>
          </w:p>
          <w:p w14:paraId="08ED6F3C" w14:textId="77777777" w:rsidR="009D5C7E" w:rsidRPr="006B78CB" w:rsidRDefault="009D5C7E" w:rsidP="000343A6">
            <w:pPr>
              <w:pStyle w:val="Sraopastraipa"/>
              <w:numPr>
                <w:ilvl w:val="3"/>
                <w:numId w:val="14"/>
              </w:numPr>
              <w:tabs>
                <w:tab w:val="left" w:pos="819"/>
              </w:tabs>
              <w:spacing w:after="160"/>
              <w:ind w:left="0" w:right="74" w:firstLine="0"/>
              <w:jc w:val="both"/>
            </w:pPr>
            <w:r w:rsidRPr="006B78CB">
              <w:t>2016 m. balandžio 27 d. Europos Parlamento ir Tarybos reglamentas (ES) 2016/679 dėl fizinių asmenų apsaugos tvarkant asmens duomenis ir dėl laisvo tokių duomenų judėjimo ir kuriuo panaikinama Direktyva 95/46/EB;</w:t>
            </w:r>
          </w:p>
          <w:p w14:paraId="17D11150" w14:textId="77777777" w:rsidR="009D5C7E" w:rsidRPr="006B78CB" w:rsidRDefault="009D5C7E" w:rsidP="000343A6">
            <w:pPr>
              <w:pStyle w:val="Sraopastraipa"/>
              <w:numPr>
                <w:ilvl w:val="3"/>
                <w:numId w:val="14"/>
              </w:numPr>
              <w:tabs>
                <w:tab w:val="left" w:pos="819"/>
              </w:tabs>
              <w:spacing w:after="160"/>
              <w:ind w:left="0" w:right="74" w:firstLine="0"/>
              <w:jc w:val="both"/>
            </w:pPr>
            <w:r w:rsidRPr="006B78CB">
              <w:t>Lietuvos Respublikos valstybės informacinių išteklių valdymo įstatymas;</w:t>
            </w:r>
          </w:p>
          <w:p w14:paraId="71660F78" w14:textId="0D4A462A" w:rsidR="009D5C7E" w:rsidRDefault="009D5C7E" w:rsidP="000343A6">
            <w:pPr>
              <w:pStyle w:val="Sraopastraipa"/>
              <w:numPr>
                <w:ilvl w:val="3"/>
                <w:numId w:val="14"/>
              </w:numPr>
              <w:tabs>
                <w:tab w:val="left" w:pos="819"/>
              </w:tabs>
              <w:spacing w:after="160"/>
              <w:ind w:left="0" w:right="74" w:firstLine="0"/>
              <w:jc w:val="both"/>
            </w:pPr>
            <w:r w:rsidRPr="00B91DB4">
              <w:t>Kibernetinio saugumo reikalavimų apraš</w:t>
            </w:r>
            <w:r>
              <w:t>as</w:t>
            </w:r>
            <w:r w:rsidRPr="006B78CB">
              <w:t>, patvirtintas Lietuvos Respublikos Vyriausybės 2018 m. rugpjūčio 13 d. nutarimu Nr. 818 „Dėl Lietuvos Respublikos kibernetinio saugumo įstatymo įgyvendinimo“ (aktuali redakcija).</w:t>
            </w:r>
          </w:p>
        </w:tc>
      </w:tr>
      <w:tr w:rsidR="009D5C7E" w14:paraId="007C7BAE"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A043DF1" w14:textId="77777777" w:rsidR="009D5C7E" w:rsidRPr="00DF71B3" w:rsidRDefault="009D5C7E" w:rsidP="000343A6">
            <w:pPr>
              <w:pStyle w:val="Sraopastraipa"/>
              <w:numPr>
                <w:ilvl w:val="2"/>
                <w:numId w:val="14"/>
              </w:numPr>
              <w:ind w:right="113"/>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FC938F7" w14:textId="0A7FF45F" w:rsidR="0089300B" w:rsidRDefault="009D5C7E" w:rsidP="0089300B">
            <w:pPr>
              <w:tabs>
                <w:tab w:val="left" w:pos="851"/>
              </w:tabs>
              <w:spacing w:after="120"/>
              <w:ind w:right="74"/>
              <w:jc w:val="both"/>
            </w:pPr>
            <w:r w:rsidRPr="00FF2ADC">
              <w:t>Įsigaliojus naujiems Europos Sąjungos ar Lietuvos Respublikos teisės aktams, ar jų pakeitimams, susijusiems su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Paslaugų teikėjo teikiamomis paslaugomis, nuo tokio naujojo teisės akto ar jo pakeitimo įsigaliojimo datos netaikoma, o vietoj jos taikoma įsigaliojusio naujojo Europos Sąjungos ar Lietuvos Respublikos teisės akto ar jo pakeitimo, susijusi su teikiamomis paslaugomis, nuostata.</w:t>
            </w:r>
          </w:p>
        </w:tc>
      </w:tr>
      <w:tr w:rsidR="009D5C7E" w14:paraId="63E34258"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4EE2D9A4" w14:textId="77777777" w:rsidR="009D5C7E" w:rsidRPr="00DF71B3" w:rsidRDefault="009D5C7E" w:rsidP="000343A6">
            <w:pPr>
              <w:pStyle w:val="Sraopastraipa"/>
              <w:numPr>
                <w:ilvl w:val="2"/>
                <w:numId w:val="14"/>
              </w:numPr>
              <w:ind w:right="113"/>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FC43CB8" w14:textId="685EF3C7" w:rsidR="009D5C7E" w:rsidRPr="00FF2ADC" w:rsidRDefault="009D5C7E" w:rsidP="001F7FF7">
            <w:pPr>
              <w:tabs>
                <w:tab w:val="left" w:pos="851"/>
              </w:tabs>
              <w:spacing w:after="160"/>
              <w:ind w:right="74"/>
              <w:jc w:val="both"/>
            </w:pPr>
            <w:r w:rsidRPr="006B78CB">
              <w:t>Paslaugų teikėjas galės teikti Paslaugas (vykdyti sutartį) tik Teikėjo specialistams pasirašius Konfidencialumo pasižadėjimo formą (Techninės specifikacijos priedas Nr. 1). Konfidencialumo pasižadėjimo formos Teikėjo, subtiekėjo, specialistų (kurių kvalifikacija buvo tikrinama viešojo pirkimo vykdymo metu) ir kitų specialistų, kurių kvalifikacija nebuvo tikrinama viešojo pirkimo vykdymo metu, bet jie bus įtraukti į Paslaugų teikimą (viešojo pirkimo sutarties vykdymą) kaip kiti specialistai, turi būti pasirašytos ir pateiktos Perkančiajai organizacijai per 2 d. d. nuo viešojo pirkimo Sutarties įsigaliojimo dienos (nebent su Perkančiąja organizacija yra sutariama kitaip). Keičiant / pasitelkiant naujus subtiekėjus, keičiant specialistus Paslaugų teikimo (Sutarties vykdymo metu) kartu su raštu sudaromu susitarimu dėl subtiekėjų, specialistų (įtraukimo, pakeitimo ir pan.) turi būti pateikti šių specialistų konfidencialumo pasižadėjimai.</w:t>
            </w:r>
          </w:p>
        </w:tc>
      </w:tr>
      <w:tr w:rsidR="009D5C7E" w14:paraId="6DB3ED56"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577A9F69" w14:textId="77777777" w:rsidR="009D5C7E" w:rsidRPr="00DF71B3" w:rsidRDefault="009D5C7E" w:rsidP="000343A6">
            <w:pPr>
              <w:pStyle w:val="Sraopastraipa"/>
              <w:numPr>
                <w:ilvl w:val="2"/>
                <w:numId w:val="14"/>
              </w:numPr>
              <w:ind w:right="113"/>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1642729D" w14:textId="3E7BED08" w:rsidR="009D5C7E" w:rsidRPr="006B78CB" w:rsidRDefault="009D5C7E" w:rsidP="001F7FF7">
            <w:pPr>
              <w:tabs>
                <w:tab w:val="left" w:pos="851"/>
              </w:tabs>
              <w:spacing w:after="160"/>
              <w:ind w:right="74"/>
              <w:jc w:val="both"/>
            </w:pPr>
            <w:r w:rsidRPr="001F7FF7">
              <w:t>Paslaugų teikimui (Sutarties vykdymui) Teikėjo darbuotojams prieiga prie Perkančiosios organizacijos informacinių išteklių bus suteikiama tik tokios apimties, kokios reikia paslaugų vykdymui užtikrinti. Nuotoliniai prisijungimai prie Perkančiosios organizacijos informacinės infrastruktūros (jeigu tokie bus būtini paslaugai vykdyti) suteikiami taip, kaip numatyta šios techninės specifikacijos 2.4.7 punkte.</w:t>
            </w:r>
          </w:p>
        </w:tc>
      </w:tr>
      <w:tr w:rsidR="009D5C7E" w14:paraId="0EA02AD6"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0B072430" w14:textId="77777777" w:rsidR="009D5C7E" w:rsidRPr="00DF71B3" w:rsidRDefault="009D5C7E" w:rsidP="000343A6">
            <w:pPr>
              <w:pStyle w:val="Sraopastraipa"/>
              <w:numPr>
                <w:ilvl w:val="2"/>
                <w:numId w:val="14"/>
              </w:numPr>
              <w:ind w:right="113"/>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26043E95" w14:textId="2BE67332" w:rsidR="009D5C7E" w:rsidRDefault="009D5C7E" w:rsidP="001F7FF7">
            <w:pPr>
              <w:tabs>
                <w:tab w:val="left" w:pos="851"/>
              </w:tabs>
              <w:spacing w:after="160"/>
              <w:ind w:right="74"/>
              <w:jc w:val="both"/>
            </w:pPr>
            <w:r>
              <w:t>Teikėjui viešai neskelbtina informacija teikiama tik tokios apimties, kuri būtina Paslaugoms vykdyti. Teikėjas turi imtis visų teisinių, techninių ir organizacinių priemonių iš Perkančiosios organizacijos gautai informacijai apsaugoti, todėl Teikėjui nustatomi bent tokie pagrindiniai informacijos saugumo reikalavimai:</w:t>
            </w:r>
          </w:p>
          <w:p w14:paraId="0BE19F4B" w14:textId="77777777" w:rsidR="009D5C7E" w:rsidRDefault="009D5C7E" w:rsidP="001F7FF7">
            <w:pPr>
              <w:tabs>
                <w:tab w:val="left" w:pos="851"/>
              </w:tabs>
              <w:spacing w:after="160"/>
              <w:ind w:right="74"/>
              <w:jc w:val="both"/>
            </w:pPr>
            <w:r>
              <w:t>2.4.5.1.</w:t>
            </w:r>
            <w:r>
              <w:tab/>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2C03F4A5" w14:textId="69A8A675" w:rsidR="009D5C7E" w:rsidRPr="001F7FF7" w:rsidRDefault="009D5C7E" w:rsidP="001F7FF7">
            <w:pPr>
              <w:tabs>
                <w:tab w:val="left" w:pos="851"/>
              </w:tabs>
              <w:spacing w:after="160"/>
              <w:ind w:right="74"/>
              <w:jc w:val="both"/>
            </w:pPr>
            <w:r>
              <w:t>2.4.5.2.</w:t>
            </w:r>
            <w:r>
              <w:tab/>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tc>
      </w:tr>
      <w:tr w:rsidR="009D5C7E" w14:paraId="0AE9C023"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1467AE4C" w14:textId="77777777" w:rsidR="009D5C7E" w:rsidRPr="00DF71B3" w:rsidRDefault="009D5C7E" w:rsidP="000343A6">
            <w:pPr>
              <w:pStyle w:val="Sraopastraipa"/>
              <w:numPr>
                <w:ilvl w:val="2"/>
                <w:numId w:val="14"/>
              </w:numPr>
              <w:ind w:right="113"/>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8964DFC" w14:textId="440F9042" w:rsidR="009D5C7E" w:rsidRPr="001F7FF7" w:rsidRDefault="009D5C7E" w:rsidP="001F7FF7">
            <w:pPr>
              <w:tabs>
                <w:tab w:val="left" w:pos="851"/>
              </w:tabs>
              <w:spacing w:after="160"/>
              <w:jc w:val="both"/>
            </w:pPr>
            <w:r w:rsidRPr="006B78CB">
              <w:t>Visi informacijos saugumo reikalavimai, taikomi Tiekėjui, yra taikomi ir jo subtiekėjams ir kitais pagrindais pasitelkiamiems ūkio subjektams.</w:t>
            </w:r>
          </w:p>
        </w:tc>
      </w:tr>
      <w:tr w:rsidR="009D5C7E" w14:paraId="6B39B40B" w14:textId="77777777" w:rsidTr="009D5C7E">
        <w:tc>
          <w:tcPr>
            <w:tcW w:w="1101" w:type="dxa"/>
            <w:tcBorders>
              <w:top w:val="single" w:sz="4" w:space="0" w:color="auto"/>
              <w:left w:val="single" w:sz="4" w:space="0" w:color="auto"/>
              <w:bottom w:val="single" w:sz="4" w:space="0" w:color="auto"/>
              <w:right w:val="single" w:sz="4" w:space="0" w:color="auto"/>
            </w:tcBorders>
            <w:noWrap/>
            <w:vAlign w:val="center"/>
          </w:tcPr>
          <w:p w14:paraId="02547149" w14:textId="77777777" w:rsidR="009D5C7E" w:rsidRPr="00DF71B3" w:rsidRDefault="009D5C7E" w:rsidP="000343A6">
            <w:pPr>
              <w:pStyle w:val="Sraopastraipa"/>
              <w:numPr>
                <w:ilvl w:val="2"/>
                <w:numId w:val="14"/>
              </w:numPr>
              <w:ind w:right="113"/>
              <w:rPr>
                <w:rFonts w:eastAsia="Times New Roman"/>
                <w:bdr w:val="none" w:sz="0" w:space="0" w:color="auto" w:frame="1"/>
              </w:rPr>
            </w:pPr>
          </w:p>
        </w:tc>
        <w:tc>
          <w:tcPr>
            <w:tcW w:w="9214" w:type="dxa"/>
            <w:tcBorders>
              <w:top w:val="single" w:sz="4" w:space="0" w:color="auto"/>
              <w:left w:val="single" w:sz="4" w:space="0" w:color="000000"/>
              <w:bottom w:val="single" w:sz="4" w:space="0" w:color="auto"/>
              <w:right w:val="single" w:sz="4" w:space="0" w:color="000000"/>
            </w:tcBorders>
            <w:noWrap/>
            <w:vAlign w:val="center"/>
          </w:tcPr>
          <w:p w14:paraId="6E24E2A1" w14:textId="3BE8DC78" w:rsidR="009D5C7E" w:rsidRDefault="009D5C7E" w:rsidP="0051611A">
            <w:pPr>
              <w:tabs>
                <w:tab w:val="left" w:pos="851"/>
              </w:tabs>
              <w:spacing w:after="160"/>
              <w:jc w:val="both"/>
            </w:pPr>
            <w:r>
              <w:t>Nuotoliniams prisijungimams prie Perkančiosios organizacijos informacinių išteklių keliami šie reikalavimai:</w:t>
            </w:r>
          </w:p>
          <w:p w14:paraId="1817397F" w14:textId="77777777" w:rsidR="009D5C7E" w:rsidRDefault="009D5C7E" w:rsidP="0051611A">
            <w:pPr>
              <w:tabs>
                <w:tab w:val="left" w:pos="851"/>
              </w:tabs>
              <w:spacing w:after="160"/>
              <w:jc w:val="both"/>
            </w:pPr>
            <w:r>
              <w:t>2.4.7.1.</w:t>
            </w:r>
            <w:r>
              <w:tab/>
              <w:t>Nuotolinis prisijungimas yra galimas tik naudojantis virtualiuoju privačiu tinklu (angl. Virtual private network, VPN). Teikėjas nurodo IP adresą (-us) iš kurių bus jungiamasi prie Perkančiosios organizacijos įrangos ar kitos informacinės infrastruktūros;</w:t>
            </w:r>
          </w:p>
          <w:p w14:paraId="4E056C1E" w14:textId="77777777" w:rsidR="009D5C7E" w:rsidRDefault="009D5C7E" w:rsidP="0051611A">
            <w:pPr>
              <w:tabs>
                <w:tab w:val="left" w:pos="851"/>
              </w:tabs>
              <w:spacing w:after="160"/>
              <w:jc w:val="both"/>
            </w:pPr>
            <w:r>
              <w:t>2.4.7.2.</w:t>
            </w:r>
            <w:r>
              <w:tab/>
              <w:t xml:space="preserve">Kiekvienam Paslaugų teikėjo paskirtam specialistui, atitinkančiam Perkančiosios organizacijos paslaugų pirkimo sąlygose nustatytus kvalifikacinius reikalavimus (jeigu tokie taikomi), sudaromas unikalus naudotojo vardas ir slaptažodis, kurie perduodami Teikėjo specialistui asmeniškai arba siunčiami elektroniniu paštu, užšifruotame dokumente </w:t>
            </w:r>
            <w:r w:rsidRPr="006244AA">
              <w:t>(pvz., pasinaudojant Gpg4win arba lygiaverčiu sprendimu).</w:t>
            </w:r>
            <w:r>
              <w:t xml:space="preserve"> Slaptažodis perduodamas atskirai nuo prisijungimo vardo;</w:t>
            </w:r>
          </w:p>
          <w:p w14:paraId="41119078" w14:textId="77777777" w:rsidR="009D5C7E" w:rsidRDefault="009D5C7E" w:rsidP="0051611A">
            <w:pPr>
              <w:tabs>
                <w:tab w:val="left" w:pos="851"/>
              </w:tabs>
              <w:spacing w:after="160"/>
              <w:jc w:val="both"/>
            </w:pPr>
            <w:r>
              <w:t>2.4.7.3.</w:t>
            </w:r>
            <w:r>
              <w:tab/>
              <w:t>Paslaugų teikėjui nutraukus darbo santykius su paskirtu vykdyti paslaugų teikimo sutartį specialistu, Paslaugų teikėjas, paslaugų teikimo sutartyje nurodytu el. paštu, nedelsiant turi informuoti apie tai Perkančiąją organizaciją, kuri nedelsiant panaikina nurodyto specialisto naudotojo vardą ir slaptažodį ir (arba) užblokuoja prieigą prie Perkančiosios organizacijos informacinės infrastruktūros;</w:t>
            </w:r>
          </w:p>
          <w:p w14:paraId="7C8AAEF8" w14:textId="59E00FB4" w:rsidR="009D5C7E" w:rsidRPr="006B78CB" w:rsidRDefault="009D5C7E" w:rsidP="0051611A">
            <w:pPr>
              <w:tabs>
                <w:tab w:val="left" w:pos="851"/>
              </w:tabs>
              <w:spacing w:after="160"/>
              <w:jc w:val="both"/>
            </w:pPr>
            <w:r>
              <w:t>2.4.7.4.</w:t>
            </w:r>
            <w:r>
              <w:tab/>
              <w:t>Teikėjo specialistui suteiktas naudotojo vardas nekeičiamas ir negali būti suteiktas kitam teikėjo paskirtam specialistui.</w:t>
            </w:r>
          </w:p>
        </w:tc>
      </w:tr>
    </w:tbl>
    <w:p w14:paraId="669418A6" w14:textId="77777777" w:rsidR="00100EA8" w:rsidRDefault="00100EA8"/>
    <w:p w14:paraId="687E107C" w14:textId="77777777" w:rsidR="0025549B" w:rsidRDefault="0025549B"/>
    <w:p w14:paraId="2D0038E8" w14:textId="6D67DFD4" w:rsidR="0025549B" w:rsidRDefault="0025549B" w:rsidP="0025549B">
      <w:pPr>
        <w:jc w:val="center"/>
      </w:pPr>
      <w:r>
        <w:t>____________________________________</w:t>
      </w:r>
    </w:p>
    <w:sectPr w:rsidR="0025549B" w:rsidSect="004E1EC2">
      <w:headerReference w:type="default" r:id="rId11"/>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7752" w14:textId="77777777" w:rsidR="003C0D4F" w:rsidRDefault="003C0D4F" w:rsidP="002046D3">
      <w:r>
        <w:separator/>
      </w:r>
    </w:p>
  </w:endnote>
  <w:endnote w:type="continuationSeparator" w:id="0">
    <w:p w14:paraId="4D887382" w14:textId="77777777" w:rsidR="003C0D4F" w:rsidRDefault="003C0D4F" w:rsidP="0020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9BFD" w14:textId="77777777" w:rsidR="003C0D4F" w:rsidRDefault="003C0D4F" w:rsidP="002046D3">
      <w:r>
        <w:separator/>
      </w:r>
    </w:p>
  </w:footnote>
  <w:footnote w:type="continuationSeparator" w:id="0">
    <w:p w14:paraId="4B5E62B7" w14:textId="77777777" w:rsidR="003C0D4F" w:rsidRDefault="003C0D4F" w:rsidP="0020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28579"/>
      <w:docPartObj>
        <w:docPartGallery w:val="Page Numbers (Top of Page)"/>
        <w:docPartUnique/>
      </w:docPartObj>
    </w:sdtPr>
    <w:sdtContent>
      <w:p w14:paraId="2D345EE9" w14:textId="2E75074A" w:rsidR="002046D3" w:rsidRDefault="002046D3">
        <w:pPr>
          <w:pStyle w:val="Antrats"/>
          <w:jc w:val="center"/>
        </w:pPr>
        <w:r>
          <w:fldChar w:fldCharType="begin"/>
        </w:r>
        <w:r>
          <w:instrText>PAGE   \* MERGEFORMAT</w:instrText>
        </w:r>
        <w:r>
          <w:fldChar w:fldCharType="separate"/>
        </w:r>
        <w:r>
          <w:t>2</w:t>
        </w:r>
        <w:r>
          <w:fldChar w:fldCharType="end"/>
        </w:r>
      </w:p>
    </w:sdtContent>
  </w:sdt>
  <w:p w14:paraId="44D0E1E2" w14:textId="77777777" w:rsidR="002046D3" w:rsidRDefault="002046D3" w:rsidP="002046D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ACB"/>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2E3DFD"/>
    <w:multiLevelType w:val="multilevel"/>
    <w:tmpl w:val="B27E2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D9371BB"/>
    <w:multiLevelType w:val="hybridMultilevel"/>
    <w:tmpl w:val="B4C6A6FC"/>
    <w:lvl w:ilvl="0" w:tplc="20E8B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200E9"/>
    <w:multiLevelType w:val="multilevel"/>
    <w:tmpl w:val="FE105038"/>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10229"/>
    <w:multiLevelType w:val="hybridMultilevel"/>
    <w:tmpl w:val="1638D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8811FD"/>
    <w:multiLevelType w:val="multilevel"/>
    <w:tmpl w:val="FE105038"/>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17F91"/>
    <w:multiLevelType w:val="multilevel"/>
    <w:tmpl w:val="4FBC3F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CC5593"/>
    <w:multiLevelType w:val="multilevel"/>
    <w:tmpl w:val="588C6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928"/>
    <w:multiLevelType w:val="hybridMultilevel"/>
    <w:tmpl w:val="17B00EE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B92D6B"/>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2B02A1"/>
    <w:multiLevelType w:val="hybridMultilevel"/>
    <w:tmpl w:val="FD9E41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F253CC"/>
    <w:multiLevelType w:val="hybridMultilevel"/>
    <w:tmpl w:val="076AE3B2"/>
    <w:lvl w:ilvl="0" w:tplc="20E8B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4AC2459"/>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6C6CF5"/>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1D7DD6"/>
    <w:multiLevelType w:val="hybridMultilevel"/>
    <w:tmpl w:val="A492F7B4"/>
    <w:lvl w:ilvl="0" w:tplc="40FA0CA0">
      <w:start w:val="1"/>
      <w:numFmt w:val="bullet"/>
      <w:lvlText w:val=""/>
      <w:lvlJc w:val="left"/>
      <w:pPr>
        <w:ind w:left="720" w:hanging="360"/>
      </w:pPr>
      <w:rPr>
        <w:rFonts w:ascii="Symbol" w:hAnsi="Symbol"/>
      </w:rPr>
    </w:lvl>
    <w:lvl w:ilvl="1" w:tplc="9FF28FE2">
      <w:start w:val="1"/>
      <w:numFmt w:val="bullet"/>
      <w:lvlText w:val=""/>
      <w:lvlJc w:val="left"/>
      <w:pPr>
        <w:ind w:left="720" w:hanging="360"/>
      </w:pPr>
      <w:rPr>
        <w:rFonts w:ascii="Symbol" w:hAnsi="Symbol"/>
      </w:rPr>
    </w:lvl>
    <w:lvl w:ilvl="2" w:tplc="50F675A6">
      <w:start w:val="1"/>
      <w:numFmt w:val="bullet"/>
      <w:lvlText w:val=""/>
      <w:lvlJc w:val="left"/>
      <w:pPr>
        <w:ind w:left="720" w:hanging="360"/>
      </w:pPr>
      <w:rPr>
        <w:rFonts w:ascii="Symbol" w:hAnsi="Symbol"/>
      </w:rPr>
    </w:lvl>
    <w:lvl w:ilvl="3" w:tplc="E572F838">
      <w:start w:val="1"/>
      <w:numFmt w:val="bullet"/>
      <w:lvlText w:val=""/>
      <w:lvlJc w:val="left"/>
      <w:pPr>
        <w:ind w:left="720" w:hanging="360"/>
      </w:pPr>
      <w:rPr>
        <w:rFonts w:ascii="Symbol" w:hAnsi="Symbol"/>
      </w:rPr>
    </w:lvl>
    <w:lvl w:ilvl="4" w:tplc="FE386698">
      <w:start w:val="1"/>
      <w:numFmt w:val="bullet"/>
      <w:lvlText w:val=""/>
      <w:lvlJc w:val="left"/>
      <w:pPr>
        <w:ind w:left="720" w:hanging="360"/>
      </w:pPr>
      <w:rPr>
        <w:rFonts w:ascii="Symbol" w:hAnsi="Symbol"/>
      </w:rPr>
    </w:lvl>
    <w:lvl w:ilvl="5" w:tplc="51A6E0A4">
      <w:start w:val="1"/>
      <w:numFmt w:val="bullet"/>
      <w:lvlText w:val=""/>
      <w:lvlJc w:val="left"/>
      <w:pPr>
        <w:ind w:left="720" w:hanging="360"/>
      </w:pPr>
      <w:rPr>
        <w:rFonts w:ascii="Symbol" w:hAnsi="Symbol"/>
      </w:rPr>
    </w:lvl>
    <w:lvl w:ilvl="6" w:tplc="B8087B1C">
      <w:start w:val="1"/>
      <w:numFmt w:val="bullet"/>
      <w:lvlText w:val=""/>
      <w:lvlJc w:val="left"/>
      <w:pPr>
        <w:ind w:left="720" w:hanging="360"/>
      </w:pPr>
      <w:rPr>
        <w:rFonts w:ascii="Symbol" w:hAnsi="Symbol"/>
      </w:rPr>
    </w:lvl>
    <w:lvl w:ilvl="7" w:tplc="86282702">
      <w:start w:val="1"/>
      <w:numFmt w:val="bullet"/>
      <w:lvlText w:val=""/>
      <w:lvlJc w:val="left"/>
      <w:pPr>
        <w:ind w:left="720" w:hanging="360"/>
      </w:pPr>
      <w:rPr>
        <w:rFonts w:ascii="Symbol" w:hAnsi="Symbol"/>
      </w:rPr>
    </w:lvl>
    <w:lvl w:ilvl="8" w:tplc="DF8C9A3E">
      <w:start w:val="1"/>
      <w:numFmt w:val="bullet"/>
      <w:lvlText w:val=""/>
      <w:lvlJc w:val="left"/>
      <w:pPr>
        <w:ind w:left="720" w:hanging="360"/>
      </w:pPr>
      <w:rPr>
        <w:rFonts w:ascii="Symbol" w:hAnsi="Symbol"/>
      </w:rPr>
    </w:lvl>
  </w:abstractNum>
  <w:abstractNum w:abstractNumId="15" w15:restartNumberingAfterBreak="0">
    <w:nsid w:val="5EDD7C5B"/>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F4D07"/>
    <w:multiLevelType w:val="multilevel"/>
    <w:tmpl w:val="8E90B6A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12A52A3"/>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6822A5"/>
    <w:multiLevelType w:val="hybridMultilevel"/>
    <w:tmpl w:val="7AD0ED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D1608E"/>
    <w:multiLevelType w:val="hybridMultilevel"/>
    <w:tmpl w:val="F474C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1E2658"/>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DB6575"/>
    <w:multiLevelType w:val="multilevel"/>
    <w:tmpl w:val="FE105038"/>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4B0B5E"/>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496312"/>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DA160F"/>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5559F1"/>
    <w:multiLevelType w:val="multilevel"/>
    <w:tmpl w:val="E5962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31433288">
    <w:abstractNumId w:val="3"/>
  </w:num>
  <w:num w:numId="2" w16cid:durableId="1084182057">
    <w:abstractNumId w:val="3"/>
  </w:num>
  <w:num w:numId="3" w16cid:durableId="306785163">
    <w:abstractNumId w:val="10"/>
  </w:num>
  <w:num w:numId="4" w16cid:durableId="760838135">
    <w:abstractNumId w:val="4"/>
  </w:num>
  <w:num w:numId="5" w16cid:durableId="1896358630">
    <w:abstractNumId w:val="14"/>
  </w:num>
  <w:num w:numId="6" w16cid:durableId="1213880191">
    <w:abstractNumId w:val="19"/>
  </w:num>
  <w:num w:numId="7" w16cid:durableId="1023091857">
    <w:abstractNumId w:val="8"/>
  </w:num>
  <w:num w:numId="8" w16cid:durableId="992685578">
    <w:abstractNumId w:val="18"/>
  </w:num>
  <w:num w:numId="9" w16cid:durableId="246695272">
    <w:abstractNumId w:val="21"/>
  </w:num>
  <w:num w:numId="10" w16cid:durableId="591668463">
    <w:abstractNumId w:val="5"/>
  </w:num>
  <w:num w:numId="11" w16cid:durableId="46268841">
    <w:abstractNumId w:val="11"/>
  </w:num>
  <w:num w:numId="12" w16cid:durableId="1355185120">
    <w:abstractNumId w:val="2"/>
  </w:num>
  <w:num w:numId="13" w16cid:durableId="1615868688">
    <w:abstractNumId w:val="6"/>
  </w:num>
  <w:num w:numId="14" w16cid:durableId="1525367614">
    <w:abstractNumId w:val="13"/>
  </w:num>
  <w:num w:numId="15" w16cid:durableId="1550610445">
    <w:abstractNumId w:val="16"/>
  </w:num>
  <w:num w:numId="16" w16cid:durableId="1707099006">
    <w:abstractNumId w:val="7"/>
  </w:num>
  <w:num w:numId="17" w16cid:durableId="1840348329">
    <w:abstractNumId w:val="1"/>
  </w:num>
  <w:num w:numId="18" w16cid:durableId="1809938360">
    <w:abstractNumId w:val="23"/>
  </w:num>
  <w:num w:numId="19" w16cid:durableId="739790826">
    <w:abstractNumId w:val="20"/>
  </w:num>
  <w:num w:numId="20" w16cid:durableId="1457329898">
    <w:abstractNumId w:val="22"/>
  </w:num>
  <w:num w:numId="21" w16cid:durableId="1631670863">
    <w:abstractNumId w:val="24"/>
  </w:num>
  <w:num w:numId="22" w16cid:durableId="1145508640">
    <w:abstractNumId w:val="0"/>
  </w:num>
  <w:num w:numId="23" w16cid:durableId="273757311">
    <w:abstractNumId w:val="12"/>
  </w:num>
  <w:num w:numId="24" w16cid:durableId="353771397">
    <w:abstractNumId w:val="9"/>
  </w:num>
  <w:num w:numId="25" w16cid:durableId="1319966004">
    <w:abstractNumId w:val="25"/>
  </w:num>
  <w:num w:numId="26" w16cid:durableId="1894653602">
    <w:abstractNumId w:val="15"/>
  </w:num>
  <w:num w:numId="27" w16cid:durableId="1289805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72"/>
    <w:rsid w:val="00003BA4"/>
    <w:rsid w:val="00012065"/>
    <w:rsid w:val="00016D4A"/>
    <w:rsid w:val="000279C3"/>
    <w:rsid w:val="000343A6"/>
    <w:rsid w:val="00041F49"/>
    <w:rsid w:val="00043E1F"/>
    <w:rsid w:val="0004524F"/>
    <w:rsid w:val="00051A4A"/>
    <w:rsid w:val="0006154C"/>
    <w:rsid w:val="00066EF6"/>
    <w:rsid w:val="000729AE"/>
    <w:rsid w:val="00072EFA"/>
    <w:rsid w:val="00094C58"/>
    <w:rsid w:val="000961B8"/>
    <w:rsid w:val="000A47B9"/>
    <w:rsid w:val="000B2C2F"/>
    <w:rsid w:val="000B49D5"/>
    <w:rsid w:val="000C13A7"/>
    <w:rsid w:val="000C1828"/>
    <w:rsid w:val="000C4FD0"/>
    <w:rsid w:val="000D2644"/>
    <w:rsid w:val="000D69B3"/>
    <w:rsid w:val="000E5113"/>
    <w:rsid w:val="000F7410"/>
    <w:rsid w:val="000F747F"/>
    <w:rsid w:val="00100EA8"/>
    <w:rsid w:val="00105E80"/>
    <w:rsid w:val="00106FDF"/>
    <w:rsid w:val="0011080A"/>
    <w:rsid w:val="00110A22"/>
    <w:rsid w:val="001135F5"/>
    <w:rsid w:val="00113A92"/>
    <w:rsid w:val="00143248"/>
    <w:rsid w:val="0014337D"/>
    <w:rsid w:val="0014557C"/>
    <w:rsid w:val="0015239B"/>
    <w:rsid w:val="00165946"/>
    <w:rsid w:val="00177F31"/>
    <w:rsid w:val="0018494D"/>
    <w:rsid w:val="00191AF4"/>
    <w:rsid w:val="001A4488"/>
    <w:rsid w:val="001B3D91"/>
    <w:rsid w:val="001B58B7"/>
    <w:rsid w:val="001B5F64"/>
    <w:rsid w:val="001D4AB2"/>
    <w:rsid w:val="001D5B1F"/>
    <w:rsid w:val="001D5BAE"/>
    <w:rsid w:val="001D5F76"/>
    <w:rsid w:val="001E073D"/>
    <w:rsid w:val="001E1172"/>
    <w:rsid w:val="001E27D4"/>
    <w:rsid w:val="001E45EE"/>
    <w:rsid w:val="001E57D7"/>
    <w:rsid w:val="001E605C"/>
    <w:rsid w:val="001E6BFC"/>
    <w:rsid w:val="001F7FF7"/>
    <w:rsid w:val="002046D3"/>
    <w:rsid w:val="00214A7D"/>
    <w:rsid w:val="00217E8A"/>
    <w:rsid w:val="00220D86"/>
    <w:rsid w:val="00236519"/>
    <w:rsid w:val="00240766"/>
    <w:rsid w:val="00244A14"/>
    <w:rsid w:val="0025549B"/>
    <w:rsid w:val="0025604B"/>
    <w:rsid w:val="002721C1"/>
    <w:rsid w:val="00272C94"/>
    <w:rsid w:val="0027456C"/>
    <w:rsid w:val="0028133C"/>
    <w:rsid w:val="00287B23"/>
    <w:rsid w:val="002D3D37"/>
    <w:rsid w:val="002D7D54"/>
    <w:rsid w:val="002E7F05"/>
    <w:rsid w:val="002F7FF4"/>
    <w:rsid w:val="00302E03"/>
    <w:rsid w:val="00305A9B"/>
    <w:rsid w:val="00311AC6"/>
    <w:rsid w:val="003162FF"/>
    <w:rsid w:val="003233FB"/>
    <w:rsid w:val="00335A89"/>
    <w:rsid w:val="00337DF4"/>
    <w:rsid w:val="00343CD7"/>
    <w:rsid w:val="003457AD"/>
    <w:rsid w:val="003459C3"/>
    <w:rsid w:val="003614B2"/>
    <w:rsid w:val="00362CF6"/>
    <w:rsid w:val="00363638"/>
    <w:rsid w:val="00363D84"/>
    <w:rsid w:val="003647D3"/>
    <w:rsid w:val="00365ED1"/>
    <w:rsid w:val="00371F78"/>
    <w:rsid w:val="0037664F"/>
    <w:rsid w:val="003822E5"/>
    <w:rsid w:val="0038651E"/>
    <w:rsid w:val="003A4AE1"/>
    <w:rsid w:val="003B1CA5"/>
    <w:rsid w:val="003C0D4F"/>
    <w:rsid w:val="003C2237"/>
    <w:rsid w:val="003C7163"/>
    <w:rsid w:val="003C74BE"/>
    <w:rsid w:val="003E0074"/>
    <w:rsid w:val="003F16AE"/>
    <w:rsid w:val="003F5A71"/>
    <w:rsid w:val="0040039B"/>
    <w:rsid w:val="004224D2"/>
    <w:rsid w:val="00431294"/>
    <w:rsid w:val="0043450E"/>
    <w:rsid w:val="00435A9D"/>
    <w:rsid w:val="00436669"/>
    <w:rsid w:val="00440C9E"/>
    <w:rsid w:val="00453B83"/>
    <w:rsid w:val="004606F9"/>
    <w:rsid w:val="00461EFC"/>
    <w:rsid w:val="0047545B"/>
    <w:rsid w:val="00475797"/>
    <w:rsid w:val="004800EC"/>
    <w:rsid w:val="0048653B"/>
    <w:rsid w:val="004A1094"/>
    <w:rsid w:val="004E1EC2"/>
    <w:rsid w:val="004E4A9A"/>
    <w:rsid w:val="005003CC"/>
    <w:rsid w:val="0051106E"/>
    <w:rsid w:val="0051611A"/>
    <w:rsid w:val="0052259D"/>
    <w:rsid w:val="00523F2E"/>
    <w:rsid w:val="00525DB1"/>
    <w:rsid w:val="005340A2"/>
    <w:rsid w:val="00537505"/>
    <w:rsid w:val="00541DBB"/>
    <w:rsid w:val="005565C7"/>
    <w:rsid w:val="005603EA"/>
    <w:rsid w:val="005606A2"/>
    <w:rsid w:val="005666C1"/>
    <w:rsid w:val="00573BE0"/>
    <w:rsid w:val="00581DB6"/>
    <w:rsid w:val="00585B74"/>
    <w:rsid w:val="005A0907"/>
    <w:rsid w:val="005A3291"/>
    <w:rsid w:val="005B0314"/>
    <w:rsid w:val="005B2B50"/>
    <w:rsid w:val="005C1F49"/>
    <w:rsid w:val="005D3417"/>
    <w:rsid w:val="005D3AB9"/>
    <w:rsid w:val="005E1D3A"/>
    <w:rsid w:val="005E5EC3"/>
    <w:rsid w:val="005F1844"/>
    <w:rsid w:val="005F7F67"/>
    <w:rsid w:val="00600462"/>
    <w:rsid w:val="006055EA"/>
    <w:rsid w:val="00606A91"/>
    <w:rsid w:val="006244AA"/>
    <w:rsid w:val="00626A34"/>
    <w:rsid w:val="0062769E"/>
    <w:rsid w:val="0062770C"/>
    <w:rsid w:val="00633273"/>
    <w:rsid w:val="00641ED3"/>
    <w:rsid w:val="006436D2"/>
    <w:rsid w:val="00650992"/>
    <w:rsid w:val="00663151"/>
    <w:rsid w:val="006724F5"/>
    <w:rsid w:val="00674959"/>
    <w:rsid w:val="006814DC"/>
    <w:rsid w:val="00684F2B"/>
    <w:rsid w:val="00686840"/>
    <w:rsid w:val="0069325D"/>
    <w:rsid w:val="00695C9C"/>
    <w:rsid w:val="00696A0B"/>
    <w:rsid w:val="006A1C34"/>
    <w:rsid w:val="006D21AD"/>
    <w:rsid w:val="006D4947"/>
    <w:rsid w:val="006D5344"/>
    <w:rsid w:val="006D69B4"/>
    <w:rsid w:val="006E69CD"/>
    <w:rsid w:val="007050D0"/>
    <w:rsid w:val="007154E2"/>
    <w:rsid w:val="00717825"/>
    <w:rsid w:val="00722DC5"/>
    <w:rsid w:val="0072631B"/>
    <w:rsid w:val="007265E2"/>
    <w:rsid w:val="00734298"/>
    <w:rsid w:val="00741B60"/>
    <w:rsid w:val="00742357"/>
    <w:rsid w:val="00761675"/>
    <w:rsid w:val="00765533"/>
    <w:rsid w:val="007664A5"/>
    <w:rsid w:val="007715B0"/>
    <w:rsid w:val="00783776"/>
    <w:rsid w:val="00785362"/>
    <w:rsid w:val="00792E90"/>
    <w:rsid w:val="007A3688"/>
    <w:rsid w:val="007B059A"/>
    <w:rsid w:val="007B468E"/>
    <w:rsid w:val="007D69DE"/>
    <w:rsid w:val="007F27E5"/>
    <w:rsid w:val="007F48AD"/>
    <w:rsid w:val="00811E6E"/>
    <w:rsid w:val="00813921"/>
    <w:rsid w:val="00821E2F"/>
    <w:rsid w:val="0082557D"/>
    <w:rsid w:val="00837E30"/>
    <w:rsid w:val="0086044A"/>
    <w:rsid w:val="00867616"/>
    <w:rsid w:val="0089300B"/>
    <w:rsid w:val="008A1D96"/>
    <w:rsid w:val="008B7685"/>
    <w:rsid w:val="008C258B"/>
    <w:rsid w:val="008C3C92"/>
    <w:rsid w:val="008C5362"/>
    <w:rsid w:val="008E3677"/>
    <w:rsid w:val="008F0CE7"/>
    <w:rsid w:val="008F2B05"/>
    <w:rsid w:val="008F3775"/>
    <w:rsid w:val="00912653"/>
    <w:rsid w:val="00913AA6"/>
    <w:rsid w:val="00920F10"/>
    <w:rsid w:val="00923C13"/>
    <w:rsid w:val="00924F2A"/>
    <w:rsid w:val="00926BE3"/>
    <w:rsid w:val="00927022"/>
    <w:rsid w:val="00936E7E"/>
    <w:rsid w:val="00937DDF"/>
    <w:rsid w:val="009401C4"/>
    <w:rsid w:val="00942B6F"/>
    <w:rsid w:val="0094561A"/>
    <w:rsid w:val="00946631"/>
    <w:rsid w:val="009472E9"/>
    <w:rsid w:val="009536A3"/>
    <w:rsid w:val="009536B5"/>
    <w:rsid w:val="00953F3E"/>
    <w:rsid w:val="00955738"/>
    <w:rsid w:val="00962158"/>
    <w:rsid w:val="00973219"/>
    <w:rsid w:val="00976603"/>
    <w:rsid w:val="00992C77"/>
    <w:rsid w:val="009948A0"/>
    <w:rsid w:val="0099655E"/>
    <w:rsid w:val="009A63EE"/>
    <w:rsid w:val="009A673F"/>
    <w:rsid w:val="009B176E"/>
    <w:rsid w:val="009C68E6"/>
    <w:rsid w:val="009D5C7E"/>
    <w:rsid w:val="009E5913"/>
    <w:rsid w:val="009F1CA2"/>
    <w:rsid w:val="009F4332"/>
    <w:rsid w:val="009F5F3F"/>
    <w:rsid w:val="00A01BC3"/>
    <w:rsid w:val="00A01D12"/>
    <w:rsid w:val="00A048EE"/>
    <w:rsid w:val="00A3340A"/>
    <w:rsid w:val="00A352E0"/>
    <w:rsid w:val="00A4364D"/>
    <w:rsid w:val="00A45413"/>
    <w:rsid w:val="00A46338"/>
    <w:rsid w:val="00A6353F"/>
    <w:rsid w:val="00A7398E"/>
    <w:rsid w:val="00A800ED"/>
    <w:rsid w:val="00A85257"/>
    <w:rsid w:val="00A94534"/>
    <w:rsid w:val="00AA777A"/>
    <w:rsid w:val="00AB1BC7"/>
    <w:rsid w:val="00AB22C1"/>
    <w:rsid w:val="00AC53AB"/>
    <w:rsid w:val="00AD23A1"/>
    <w:rsid w:val="00AD4A19"/>
    <w:rsid w:val="00AD677F"/>
    <w:rsid w:val="00AF26DB"/>
    <w:rsid w:val="00B06C09"/>
    <w:rsid w:val="00B17150"/>
    <w:rsid w:val="00B307BE"/>
    <w:rsid w:val="00B32A2A"/>
    <w:rsid w:val="00B3391E"/>
    <w:rsid w:val="00B510F5"/>
    <w:rsid w:val="00B54031"/>
    <w:rsid w:val="00B5518A"/>
    <w:rsid w:val="00B63EA4"/>
    <w:rsid w:val="00B64332"/>
    <w:rsid w:val="00B651F0"/>
    <w:rsid w:val="00B8581D"/>
    <w:rsid w:val="00B873A1"/>
    <w:rsid w:val="00B91DB4"/>
    <w:rsid w:val="00B92258"/>
    <w:rsid w:val="00BA0921"/>
    <w:rsid w:val="00BA445E"/>
    <w:rsid w:val="00BA5D83"/>
    <w:rsid w:val="00BA7343"/>
    <w:rsid w:val="00BC7D27"/>
    <w:rsid w:val="00BD0583"/>
    <w:rsid w:val="00BD0659"/>
    <w:rsid w:val="00BD0891"/>
    <w:rsid w:val="00BE2D53"/>
    <w:rsid w:val="00BE3F3E"/>
    <w:rsid w:val="00BF4106"/>
    <w:rsid w:val="00C05A1C"/>
    <w:rsid w:val="00C11E3A"/>
    <w:rsid w:val="00C173AC"/>
    <w:rsid w:val="00C2559E"/>
    <w:rsid w:val="00C47FBB"/>
    <w:rsid w:val="00C57800"/>
    <w:rsid w:val="00C66284"/>
    <w:rsid w:val="00C71C49"/>
    <w:rsid w:val="00C731B2"/>
    <w:rsid w:val="00C77ED4"/>
    <w:rsid w:val="00C85655"/>
    <w:rsid w:val="00C85E5B"/>
    <w:rsid w:val="00C92561"/>
    <w:rsid w:val="00CA0D1A"/>
    <w:rsid w:val="00CA19C4"/>
    <w:rsid w:val="00CB6517"/>
    <w:rsid w:val="00CC0A13"/>
    <w:rsid w:val="00CC202B"/>
    <w:rsid w:val="00CC2554"/>
    <w:rsid w:val="00CC3B2C"/>
    <w:rsid w:val="00D052F6"/>
    <w:rsid w:val="00D10D70"/>
    <w:rsid w:val="00D13417"/>
    <w:rsid w:val="00D157B9"/>
    <w:rsid w:val="00D4053E"/>
    <w:rsid w:val="00D461E3"/>
    <w:rsid w:val="00D631B6"/>
    <w:rsid w:val="00D765E8"/>
    <w:rsid w:val="00D8238C"/>
    <w:rsid w:val="00DA5CC6"/>
    <w:rsid w:val="00DB1744"/>
    <w:rsid w:val="00DD3F2B"/>
    <w:rsid w:val="00DD50CE"/>
    <w:rsid w:val="00DE044A"/>
    <w:rsid w:val="00DE0928"/>
    <w:rsid w:val="00DE4032"/>
    <w:rsid w:val="00DF3AE1"/>
    <w:rsid w:val="00DF71B3"/>
    <w:rsid w:val="00E01984"/>
    <w:rsid w:val="00E02C1A"/>
    <w:rsid w:val="00E23C03"/>
    <w:rsid w:val="00E32A82"/>
    <w:rsid w:val="00E34AF2"/>
    <w:rsid w:val="00E34BD0"/>
    <w:rsid w:val="00E416B4"/>
    <w:rsid w:val="00E42049"/>
    <w:rsid w:val="00E42F91"/>
    <w:rsid w:val="00E4563A"/>
    <w:rsid w:val="00E51D92"/>
    <w:rsid w:val="00E84026"/>
    <w:rsid w:val="00E968A2"/>
    <w:rsid w:val="00EA4264"/>
    <w:rsid w:val="00EA7B6D"/>
    <w:rsid w:val="00EB1530"/>
    <w:rsid w:val="00EB29D4"/>
    <w:rsid w:val="00EB3DEB"/>
    <w:rsid w:val="00EB773B"/>
    <w:rsid w:val="00EC4676"/>
    <w:rsid w:val="00ED6AA5"/>
    <w:rsid w:val="00EE63F7"/>
    <w:rsid w:val="00F03B7D"/>
    <w:rsid w:val="00F044FF"/>
    <w:rsid w:val="00F06B4F"/>
    <w:rsid w:val="00F14C0B"/>
    <w:rsid w:val="00F22CCC"/>
    <w:rsid w:val="00F25ECA"/>
    <w:rsid w:val="00F26583"/>
    <w:rsid w:val="00F32FBC"/>
    <w:rsid w:val="00F42921"/>
    <w:rsid w:val="00F43CD7"/>
    <w:rsid w:val="00F537B6"/>
    <w:rsid w:val="00FB4A77"/>
    <w:rsid w:val="00FB55C6"/>
    <w:rsid w:val="00FD1B7E"/>
    <w:rsid w:val="00FD2E1A"/>
    <w:rsid w:val="00FD6D84"/>
    <w:rsid w:val="00FE04EC"/>
    <w:rsid w:val="00FF2ADC"/>
    <w:rsid w:val="00FF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94CB"/>
  <w15:docId w15:val="{7DB8551E-9CAA-42AC-B750-D72156F3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172"/>
    <w:pPr>
      <w:spacing w:after="0" w:line="240" w:lineRule="auto"/>
    </w:pPr>
    <w:rPr>
      <w:rFonts w:ascii="Times New Roman" w:eastAsia="Arial Unicode MS"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E1172"/>
    <w:pPr>
      <w:autoSpaceDE w:val="0"/>
      <w:autoSpaceDN w:val="0"/>
      <w:adjustRightInd w:val="0"/>
      <w:spacing w:after="0" w:line="240" w:lineRule="auto"/>
    </w:pPr>
    <w:rPr>
      <w:rFonts w:ascii="Segoe UI" w:hAnsi="Segoe UI" w:cs="Segoe UI"/>
      <w:color w:val="000000"/>
      <w:sz w:val="24"/>
      <w:szCs w:val="24"/>
    </w:rPr>
  </w:style>
  <w:style w:type="paragraph" w:customStyle="1" w:styleId="Standard">
    <w:name w:val="Standard"/>
    <w:rsid w:val="001E1172"/>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Betarp">
    <w:name w:val="No Spacing"/>
    <w:uiPriority w:val="1"/>
    <w:qFormat/>
    <w:rsid w:val="001E1172"/>
    <w:pPr>
      <w:spacing w:after="0" w:line="240" w:lineRule="auto"/>
    </w:pPr>
    <w:rPr>
      <w:rFonts w:ascii="Calibri" w:hAnsi="Calibri"/>
      <w:color w:val="404040" w:themeColor="text1" w:themeTint="BF"/>
      <w:sz w:val="18"/>
      <w:szCs w:val="20"/>
      <w:lang w:val="en-US" w:eastAsia="ja-JP"/>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B873A1"/>
    <w:pPr>
      <w:ind w:left="720"/>
      <w:contextualSpacing/>
    </w:pPr>
  </w:style>
  <w:style w:type="character" w:styleId="Komentaronuoroda">
    <w:name w:val="annotation reference"/>
    <w:basedOn w:val="Numatytasispastraiposriftas"/>
    <w:uiPriority w:val="99"/>
    <w:semiHidden/>
    <w:unhideWhenUsed/>
    <w:rsid w:val="00F32FBC"/>
    <w:rPr>
      <w:sz w:val="16"/>
      <w:szCs w:val="16"/>
    </w:rPr>
  </w:style>
  <w:style w:type="paragraph" w:styleId="Komentarotekstas">
    <w:name w:val="annotation text"/>
    <w:basedOn w:val="prastasis"/>
    <w:link w:val="KomentarotekstasDiagrama"/>
    <w:uiPriority w:val="99"/>
    <w:unhideWhenUsed/>
    <w:rsid w:val="00F32FBC"/>
    <w:rPr>
      <w:sz w:val="20"/>
      <w:szCs w:val="20"/>
    </w:rPr>
  </w:style>
  <w:style w:type="character" w:customStyle="1" w:styleId="KomentarotekstasDiagrama">
    <w:name w:val="Komentaro tekstas Diagrama"/>
    <w:basedOn w:val="Numatytasispastraiposriftas"/>
    <w:link w:val="Komentarotekstas"/>
    <w:uiPriority w:val="99"/>
    <w:rsid w:val="00F32FBC"/>
    <w:rPr>
      <w:rFonts w:ascii="Times New Roman" w:eastAsia="Arial Unicode MS"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32FBC"/>
    <w:rPr>
      <w:b/>
      <w:bCs/>
    </w:rPr>
  </w:style>
  <w:style w:type="character" w:customStyle="1" w:styleId="KomentarotemaDiagrama">
    <w:name w:val="Komentaro tema Diagrama"/>
    <w:basedOn w:val="KomentarotekstasDiagrama"/>
    <w:link w:val="Komentarotema"/>
    <w:uiPriority w:val="99"/>
    <w:semiHidden/>
    <w:rsid w:val="00F32FBC"/>
    <w:rPr>
      <w:rFonts w:ascii="Times New Roman" w:eastAsia="Arial Unicode MS" w:hAnsi="Times New Roman" w:cs="Times New Roman"/>
      <w:b/>
      <w:bCs/>
      <w:sz w:val="20"/>
      <w:szCs w:val="20"/>
    </w:rPr>
  </w:style>
  <w:style w:type="paragraph" w:styleId="Antrats">
    <w:name w:val="header"/>
    <w:basedOn w:val="prastasis"/>
    <w:link w:val="AntratsDiagrama"/>
    <w:uiPriority w:val="99"/>
    <w:unhideWhenUsed/>
    <w:rsid w:val="002046D3"/>
    <w:pPr>
      <w:tabs>
        <w:tab w:val="center" w:pos="4513"/>
        <w:tab w:val="right" w:pos="9026"/>
      </w:tabs>
    </w:pPr>
  </w:style>
  <w:style w:type="character" w:customStyle="1" w:styleId="AntratsDiagrama">
    <w:name w:val="Antraštės Diagrama"/>
    <w:basedOn w:val="Numatytasispastraiposriftas"/>
    <w:link w:val="Antrats"/>
    <w:uiPriority w:val="99"/>
    <w:rsid w:val="002046D3"/>
    <w:rPr>
      <w:rFonts w:ascii="Times New Roman" w:eastAsia="Arial Unicode MS" w:hAnsi="Times New Roman" w:cs="Times New Roman"/>
      <w:sz w:val="24"/>
      <w:szCs w:val="24"/>
    </w:rPr>
  </w:style>
  <w:style w:type="paragraph" w:styleId="Porat">
    <w:name w:val="footer"/>
    <w:basedOn w:val="prastasis"/>
    <w:link w:val="PoratDiagrama"/>
    <w:uiPriority w:val="99"/>
    <w:unhideWhenUsed/>
    <w:rsid w:val="002046D3"/>
    <w:pPr>
      <w:tabs>
        <w:tab w:val="center" w:pos="4513"/>
        <w:tab w:val="right" w:pos="9026"/>
      </w:tabs>
    </w:pPr>
  </w:style>
  <w:style w:type="character" w:customStyle="1" w:styleId="PoratDiagrama">
    <w:name w:val="Poraštė Diagrama"/>
    <w:basedOn w:val="Numatytasispastraiposriftas"/>
    <w:link w:val="Porat"/>
    <w:uiPriority w:val="99"/>
    <w:rsid w:val="002046D3"/>
    <w:rPr>
      <w:rFonts w:ascii="Times New Roman" w:eastAsia="Arial Unicode MS" w:hAnsi="Times New Roman" w:cs="Times New Roman"/>
      <w:sz w:val="24"/>
      <w:szCs w:val="24"/>
    </w:rPr>
  </w:style>
  <w:style w:type="paragraph" w:styleId="Pataisymai">
    <w:name w:val="Revision"/>
    <w:hidden/>
    <w:uiPriority w:val="99"/>
    <w:semiHidden/>
    <w:rsid w:val="00440C9E"/>
    <w:pPr>
      <w:spacing w:after="0" w:line="240" w:lineRule="auto"/>
    </w:pPr>
    <w:rPr>
      <w:rFonts w:ascii="Times New Roman" w:eastAsia="Arial Unicode MS" w:hAnsi="Times New Roman" w:cs="Times New Roman"/>
      <w:sz w:val="24"/>
      <w:szCs w:val="24"/>
    </w:rPr>
  </w:style>
  <w:style w:type="paragraph" w:styleId="prastasiniatinklio">
    <w:name w:val="Normal (Web)"/>
    <w:basedOn w:val="prastasis"/>
    <w:rsid w:val="003822E5"/>
    <w:pPr>
      <w:spacing w:before="100" w:beforeAutospacing="1" w:after="100" w:afterAutospacing="1"/>
    </w:pPr>
    <w:rPr>
      <w:rFonts w:eastAsia="Times New Roman"/>
      <w:lang w:eastAsia="lt-LT"/>
    </w:rPr>
  </w:style>
  <w:style w:type="table" w:styleId="Lentelstinklelis">
    <w:name w:val="Table Grid"/>
    <w:basedOn w:val="prastojilentel"/>
    <w:rsid w:val="003822E5"/>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3822E5"/>
    <w:rPr>
      <w:rFonts w:ascii="Times New Roman" w:eastAsia="Arial Unicode MS" w:hAnsi="Times New Roman" w:cs="Times New Roman"/>
      <w:sz w:val="24"/>
      <w:szCs w:val="24"/>
    </w:rPr>
  </w:style>
  <w:style w:type="character" w:customStyle="1" w:styleId="Bodytext2">
    <w:name w:val="Body text (2)_"/>
    <w:link w:val="Bodytext20"/>
    <w:rsid w:val="00B651F0"/>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B651F0"/>
    <w:pPr>
      <w:shd w:val="clear" w:color="auto" w:fill="FFFFFF"/>
      <w:spacing w:line="269" w:lineRule="exact"/>
      <w:ind w:hanging="400"/>
    </w:pPr>
    <w:rPr>
      <w:rFonts w:eastAsiaTheme="minorHAnsi"/>
      <w:i/>
      <w:iCs/>
      <w:sz w:val="23"/>
      <w:szCs w:val="23"/>
    </w:rPr>
  </w:style>
  <w:style w:type="character" w:styleId="Hipersaitas">
    <w:name w:val="Hyperlink"/>
    <w:basedOn w:val="Numatytasispastraiposriftas"/>
    <w:uiPriority w:val="99"/>
    <w:unhideWhenUsed/>
    <w:rsid w:val="00CC0A13"/>
    <w:rPr>
      <w:color w:val="0563C1" w:themeColor="hyperlink"/>
      <w:u w:val="single"/>
    </w:rPr>
  </w:style>
  <w:style w:type="character" w:styleId="Perirtashipersaitas">
    <w:name w:val="FollowedHyperlink"/>
    <w:basedOn w:val="Numatytasispastraiposriftas"/>
    <w:uiPriority w:val="99"/>
    <w:semiHidden/>
    <w:unhideWhenUsed/>
    <w:rsid w:val="00CC0A13"/>
    <w:rPr>
      <w:color w:val="954F72" w:themeColor="followedHyperlink"/>
      <w:u w:val="single"/>
    </w:rPr>
  </w:style>
  <w:style w:type="paragraph" w:styleId="Puslapioinaostekstas">
    <w:name w:val="footnote text"/>
    <w:basedOn w:val="prastasis"/>
    <w:link w:val="PuslapioinaostekstasDiagrama"/>
    <w:uiPriority w:val="99"/>
    <w:semiHidden/>
    <w:unhideWhenUsed/>
    <w:rsid w:val="00BE3F3E"/>
    <w:pPr>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E3F3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E3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0540">
      <w:bodyDiv w:val="1"/>
      <w:marLeft w:val="0"/>
      <w:marRight w:val="0"/>
      <w:marTop w:val="0"/>
      <w:marBottom w:val="0"/>
      <w:divBdr>
        <w:top w:val="none" w:sz="0" w:space="0" w:color="auto"/>
        <w:left w:val="none" w:sz="0" w:space="0" w:color="auto"/>
        <w:bottom w:val="none" w:sz="0" w:space="0" w:color="auto"/>
        <w:right w:val="none" w:sz="0" w:space="0" w:color="auto"/>
      </w:divBdr>
    </w:div>
    <w:div w:id="668756343">
      <w:bodyDiv w:val="1"/>
      <w:marLeft w:val="0"/>
      <w:marRight w:val="0"/>
      <w:marTop w:val="0"/>
      <w:marBottom w:val="0"/>
      <w:divBdr>
        <w:top w:val="none" w:sz="0" w:space="0" w:color="auto"/>
        <w:left w:val="none" w:sz="0" w:space="0" w:color="auto"/>
        <w:bottom w:val="none" w:sz="0" w:space="0" w:color="auto"/>
        <w:right w:val="none" w:sz="0" w:space="0" w:color="auto"/>
      </w:divBdr>
    </w:div>
    <w:div w:id="669336149">
      <w:bodyDiv w:val="1"/>
      <w:marLeft w:val="0"/>
      <w:marRight w:val="0"/>
      <w:marTop w:val="0"/>
      <w:marBottom w:val="0"/>
      <w:divBdr>
        <w:top w:val="none" w:sz="0" w:space="0" w:color="auto"/>
        <w:left w:val="none" w:sz="0" w:space="0" w:color="auto"/>
        <w:bottom w:val="none" w:sz="0" w:space="0" w:color="auto"/>
        <w:right w:val="none" w:sz="0" w:space="0" w:color="auto"/>
      </w:divBdr>
      <w:divsChild>
        <w:div w:id="391542054">
          <w:marLeft w:val="0"/>
          <w:marRight w:val="0"/>
          <w:marTop w:val="0"/>
          <w:marBottom w:val="0"/>
          <w:divBdr>
            <w:top w:val="none" w:sz="0" w:space="0" w:color="auto"/>
            <w:left w:val="none" w:sz="0" w:space="0" w:color="auto"/>
            <w:bottom w:val="none" w:sz="0" w:space="0" w:color="auto"/>
            <w:right w:val="none" w:sz="0" w:space="0" w:color="auto"/>
          </w:divBdr>
        </w:div>
        <w:div w:id="1342589074">
          <w:marLeft w:val="0"/>
          <w:marRight w:val="0"/>
          <w:marTop w:val="0"/>
          <w:marBottom w:val="0"/>
          <w:divBdr>
            <w:top w:val="none" w:sz="0" w:space="0" w:color="auto"/>
            <w:left w:val="none" w:sz="0" w:space="0" w:color="auto"/>
            <w:bottom w:val="none" w:sz="0" w:space="0" w:color="auto"/>
            <w:right w:val="none" w:sz="0" w:space="0" w:color="auto"/>
          </w:divBdr>
        </w:div>
        <w:div w:id="490482502">
          <w:marLeft w:val="0"/>
          <w:marRight w:val="0"/>
          <w:marTop w:val="0"/>
          <w:marBottom w:val="0"/>
          <w:divBdr>
            <w:top w:val="none" w:sz="0" w:space="0" w:color="auto"/>
            <w:left w:val="none" w:sz="0" w:space="0" w:color="auto"/>
            <w:bottom w:val="none" w:sz="0" w:space="0" w:color="auto"/>
            <w:right w:val="none" w:sz="0" w:space="0" w:color="auto"/>
          </w:divBdr>
        </w:div>
        <w:div w:id="567542738">
          <w:marLeft w:val="0"/>
          <w:marRight w:val="0"/>
          <w:marTop w:val="0"/>
          <w:marBottom w:val="0"/>
          <w:divBdr>
            <w:top w:val="none" w:sz="0" w:space="0" w:color="auto"/>
            <w:left w:val="none" w:sz="0" w:space="0" w:color="auto"/>
            <w:bottom w:val="none" w:sz="0" w:space="0" w:color="auto"/>
            <w:right w:val="none" w:sz="0" w:space="0" w:color="auto"/>
          </w:divBdr>
        </w:div>
      </w:divsChild>
    </w:div>
    <w:div w:id="755711391">
      <w:bodyDiv w:val="1"/>
      <w:marLeft w:val="0"/>
      <w:marRight w:val="0"/>
      <w:marTop w:val="0"/>
      <w:marBottom w:val="0"/>
      <w:divBdr>
        <w:top w:val="none" w:sz="0" w:space="0" w:color="auto"/>
        <w:left w:val="none" w:sz="0" w:space="0" w:color="auto"/>
        <w:bottom w:val="none" w:sz="0" w:space="0" w:color="auto"/>
        <w:right w:val="none" w:sz="0" w:space="0" w:color="auto"/>
      </w:divBdr>
      <w:divsChild>
        <w:div w:id="362175567">
          <w:marLeft w:val="0"/>
          <w:marRight w:val="0"/>
          <w:marTop w:val="0"/>
          <w:marBottom w:val="0"/>
          <w:divBdr>
            <w:top w:val="none" w:sz="0" w:space="0" w:color="auto"/>
            <w:left w:val="none" w:sz="0" w:space="0" w:color="auto"/>
            <w:bottom w:val="none" w:sz="0" w:space="0" w:color="auto"/>
            <w:right w:val="none" w:sz="0" w:space="0" w:color="auto"/>
          </w:divBdr>
        </w:div>
        <w:div w:id="1556698467">
          <w:marLeft w:val="0"/>
          <w:marRight w:val="0"/>
          <w:marTop w:val="0"/>
          <w:marBottom w:val="0"/>
          <w:divBdr>
            <w:top w:val="none" w:sz="0" w:space="0" w:color="auto"/>
            <w:left w:val="none" w:sz="0" w:space="0" w:color="auto"/>
            <w:bottom w:val="none" w:sz="0" w:space="0" w:color="auto"/>
            <w:right w:val="none" w:sz="0" w:space="0" w:color="auto"/>
          </w:divBdr>
        </w:div>
        <w:div w:id="1330865322">
          <w:marLeft w:val="0"/>
          <w:marRight w:val="0"/>
          <w:marTop w:val="0"/>
          <w:marBottom w:val="0"/>
          <w:divBdr>
            <w:top w:val="none" w:sz="0" w:space="0" w:color="auto"/>
            <w:left w:val="none" w:sz="0" w:space="0" w:color="auto"/>
            <w:bottom w:val="none" w:sz="0" w:space="0" w:color="auto"/>
            <w:right w:val="none" w:sz="0" w:space="0" w:color="auto"/>
          </w:divBdr>
        </w:div>
        <w:div w:id="1737898693">
          <w:marLeft w:val="0"/>
          <w:marRight w:val="0"/>
          <w:marTop w:val="0"/>
          <w:marBottom w:val="0"/>
          <w:divBdr>
            <w:top w:val="none" w:sz="0" w:space="0" w:color="auto"/>
            <w:left w:val="none" w:sz="0" w:space="0" w:color="auto"/>
            <w:bottom w:val="none" w:sz="0" w:space="0" w:color="auto"/>
            <w:right w:val="none" w:sz="0" w:space="0" w:color="auto"/>
          </w:divBdr>
        </w:div>
      </w:divsChild>
    </w:div>
    <w:div w:id="1848057128">
      <w:bodyDiv w:val="1"/>
      <w:marLeft w:val="0"/>
      <w:marRight w:val="0"/>
      <w:marTop w:val="0"/>
      <w:marBottom w:val="0"/>
      <w:divBdr>
        <w:top w:val="none" w:sz="0" w:space="0" w:color="auto"/>
        <w:left w:val="none" w:sz="0" w:space="0" w:color="auto"/>
        <w:bottom w:val="none" w:sz="0" w:space="0" w:color="auto"/>
        <w:right w:val="none" w:sz="0" w:space="0" w:color="auto"/>
      </w:divBdr>
    </w:div>
    <w:div w:id="192861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ksc.lt/doc/rizikos_analize.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872ACEFDB674AA6D31AA0D5D895A7" ma:contentTypeVersion="4" ma:contentTypeDescription="Create a new document." ma:contentTypeScope="" ma:versionID="8e0540d4404b02026a92a59e20d956d7">
  <xsd:schema xmlns:xsd="http://www.w3.org/2001/XMLSchema" xmlns:xs="http://www.w3.org/2001/XMLSchema" xmlns:p="http://schemas.microsoft.com/office/2006/metadata/properties" xmlns:ns3="d5d456e8-2d12-489d-965a-95fe29d7e662" targetNamespace="http://schemas.microsoft.com/office/2006/metadata/properties" ma:root="true" ma:fieldsID="d2bd57fee7a2a3ba641404d782cf0c82" ns3:_="">
    <xsd:import namespace="d5d456e8-2d12-489d-965a-95fe29d7e66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456e8-2d12-489d-965a-95fe29d7e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8118A-9474-4CFF-9D7E-7E3A4E1D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456e8-2d12-489d-965a-95fe29d7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4C37B-690D-4F58-8B05-EB12CFAF96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BEEE33-88A4-47C4-A45B-7CB8802F7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10823</Words>
  <Characters>6170</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Jankevičius</dc:creator>
  <cp:keywords/>
  <dc:description/>
  <cp:lastModifiedBy>Rasa Jeskevič</cp:lastModifiedBy>
  <cp:revision>3</cp:revision>
  <dcterms:created xsi:type="dcterms:W3CDTF">2025-03-21T07:39:00Z</dcterms:created>
  <dcterms:modified xsi:type="dcterms:W3CDTF">2025-03-21T07:39:00Z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0x010100C16872ACEFDB674AA6D31AA0D5D895A7</vt:lpwstr>
  </property>
</Properties>
</file>