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3A5B" w14:textId="001530A1" w:rsidR="00B62C06" w:rsidRDefault="00B62C06" w:rsidP="00B62C06">
      <w:pPr>
        <w:spacing w:line="240" w:lineRule="auto"/>
        <w:ind w:left="7314" w:firstLine="0"/>
        <w:rPr>
          <w:rFonts w:cstheme="minorHAnsi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>
        <w:rPr>
          <w:rFonts w:cstheme="minorHAnsi"/>
        </w:rPr>
        <w:t xml:space="preserve">Pirkimo sąlygų </w:t>
      </w:r>
      <w:r w:rsidR="00A33704">
        <w:rPr>
          <w:rFonts w:cstheme="minorHAnsi"/>
        </w:rPr>
        <w:t>4</w:t>
      </w:r>
      <w:r>
        <w:rPr>
          <w:rFonts w:cstheme="minorHAnsi"/>
        </w:rPr>
        <w:t xml:space="preserve"> priedas „Techninė specifikacija“</w:t>
      </w:r>
    </w:p>
    <w:bookmarkEnd w:id="0"/>
    <w:bookmarkEnd w:id="1"/>
    <w:bookmarkEnd w:id="2"/>
    <w:bookmarkEnd w:id="3"/>
    <w:bookmarkEnd w:id="4"/>
    <w:bookmarkEnd w:id="5"/>
    <w:p w14:paraId="7158B1F6" w14:textId="77777777" w:rsidR="00B62C06" w:rsidRDefault="00B62C06" w:rsidP="00B62C06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48BC276B" w14:textId="77777777" w:rsidR="00762276" w:rsidRDefault="00762276" w:rsidP="00762276">
      <w:pPr>
        <w:tabs>
          <w:tab w:val="left" w:pos="1134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7541101B" w14:textId="77777777" w:rsidR="00762276" w:rsidRDefault="00762276" w:rsidP="00762276">
      <w:pPr>
        <w:numPr>
          <w:ilvl w:val="0"/>
          <w:numId w:val="1"/>
        </w:numPr>
        <w:spacing w:line="240" w:lineRule="auto"/>
        <w:ind w:left="360" w:firstLine="180"/>
        <w:jc w:val="left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BENDRA INFORMACIJA</w:t>
      </w:r>
    </w:p>
    <w:p w14:paraId="5C13CCA6" w14:textId="77777777" w:rsidR="00762276" w:rsidRDefault="00762276" w:rsidP="00762276">
      <w:pPr>
        <w:spacing w:line="240" w:lineRule="auto"/>
        <w:ind w:left="357"/>
        <w:rPr>
          <w:rFonts w:ascii="Times New Roman" w:hAnsi="Times New Roman"/>
          <w:b/>
          <w:caps/>
          <w:sz w:val="24"/>
          <w:szCs w:val="24"/>
        </w:rPr>
      </w:pPr>
    </w:p>
    <w:p w14:paraId="7E9EEB6B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Pirkimo objektas –   Programavimo paslaugos. </w:t>
      </w:r>
    </w:p>
    <w:p w14:paraId="31BA7663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Pirkimo tikslas –</w:t>
      </w:r>
      <w:r>
        <w:rPr>
          <w:rFonts w:ascii="Times New Roman" w:hAnsi="Times New Roman"/>
          <w:sz w:val="24"/>
          <w:szCs w:val="24"/>
        </w:rPr>
        <w:t xml:space="preserve"> įsigyti programavimo paslaugas, racionaliai naudojant tam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skirtas lėšas. </w:t>
      </w:r>
    </w:p>
    <w:p w14:paraId="595C7A06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Paslaugos turi būti suteiktos iki 202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m. gruodžio 26 d. </w:t>
      </w:r>
      <w:r>
        <w:rPr>
          <w:rFonts w:ascii="Times New Roman" w:hAnsi="Times New Roman"/>
          <w:sz w:val="24"/>
          <w:szCs w:val="24"/>
        </w:rPr>
        <w:t xml:space="preserve">Planuojama įsigyti </w:t>
      </w:r>
      <w:r>
        <w:rPr>
          <w:rFonts w:ascii="Times New Roman" w:hAnsi="Times New Roman"/>
          <w:sz w:val="24"/>
          <w:szCs w:val="24"/>
          <w:lang w:val="en-US"/>
        </w:rPr>
        <w:t xml:space="preserve">460 </w:t>
      </w:r>
      <w:r>
        <w:rPr>
          <w:rFonts w:ascii="Times New Roman" w:hAnsi="Times New Roman"/>
          <w:sz w:val="24"/>
          <w:szCs w:val="24"/>
        </w:rPr>
        <w:t>programavimo valandų.</w:t>
      </w:r>
    </w:p>
    <w:p w14:paraId="4BC20BA6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Paslaugų teikėjas (toliau - Paslaugų teikėjas arba Vykdytojas) per 10 (dešimt) kalendorinių dienų nuo sutarties sudarymo dienos privalo aptarti ir suderinti su Valstybine maisto ir veterinarijos tarnyba (toliau – VMVT arba Užsakovas):</w:t>
      </w:r>
    </w:p>
    <w:p w14:paraId="6E45C67A" w14:textId="77777777" w:rsidR="00762276" w:rsidRDefault="00762276" w:rsidP="00762276">
      <w:pPr>
        <w:pStyle w:val="ListParagraph"/>
        <w:numPr>
          <w:ilvl w:val="2"/>
          <w:numId w:val="1"/>
        </w:numPr>
        <w:spacing w:before="100" w:beforeAutospacing="1" w:after="100" w:afterAutospacing="1" w:line="276" w:lineRule="auto"/>
        <w:ind w:left="851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Paslaugų teikimo grafikus;</w:t>
      </w:r>
    </w:p>
    <w:p w14:paraId="05DC3B19" w14:textId="77777777" w:rsidR="00762276" w:rsidRDefault="00762276" w:rsidP="00762276">
      <w:pPr>
        <w:pStyle w:val="ListParagraph"/>
        <w:numPr>
          <w:ilvl w:val="2"/>
          <w:numId w:val="1"/>
        </w:numPr>
        <w:spacing w:before="100" w:beforeAutospacing="1" w:after="100" w:afterAutospacing="1" w:line="276" w:lineRule="auto"/>
        <w:ind w:left="851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Paslaugų priėmimo kriterijus. </w:t>
      </w:r>
    </w:p>
    <w:p w14:paraId="6CD3DC76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Paslaugos apmokamos pagal tiekėjo pasiūlytą valandinį įkainį.</w:t>
      </w:r>
    </w:p>
    <w:p w14:paraId="16BD856B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Paslaugos bus perkamos pagal Užsakovo poreikį (neįsipareigojama, kad preliminarus paslaugų kiekis bus įsigytas).</w:t>
      </w:r>
    </w:p>
    <w:p w14:paraId="7FB418BB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Maksimali sutarties vertė </w:t>
      </w:r>
      <w:r>
        <w:rPr>
          <w:rFonts w:ascii="Times New Roman" w:hAnsi="Times New Roman"/>
          <w:sz w:val="24"/>
          <w:szCs w:val="24"/>
          <w:lang w:val="en-US"/>
        </w:rPr>
        <w:t>30 000</w:t>
      </w:r>
      <w:r>
        <w:rPr>
          <w:rFonts w:ascii="Times New Roman" w:hAnsi="Times New Roman"/>
          <w:sz w:val="24"/>
          <w:szCs w:val="24"/>
        </w:rPr>
        <w:t xml:space="preserve"> Eur (trisdešimt tūkstančių eurų,  be PVM). </w:t>
      </w:r>
    </w:p>
    <w:p w14:paraId="3B25CD59" w14:textId="77777777" w:rsidR="00762276" w:rsidRDefault="00762276" w:rsidP="00762276">
      <w:pPr>
        <w:tabs>
          <w:tab w:val="left" w:pos="709"/>
          <w:tab w:val="left" w:pos="851"/>
          <w:tab w:val="left" w:pos="993"/>
          <w:tab w:val="left" w:pos="1276"/>
        </w:tabs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</w:p>
    <w:p w14:paraId="34439C49" w14:textId="77777777" w:rsidR="00762276" w:rsidRDefault="00762276" w:rsidP="00762276">
      <w:pPr>
        <w:numPr>
          <w:ilvl w:val="0"/>
          <w:numId w:val="1"/>
        </w:num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0" w:firstLine="540"/>
        <w:contextualSpacing/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REIKALAVIMAI</w:t>
      </w:r>
      <w:r>
        <w:rPr>
          <w:rFonts w:ascii="Times New Roman" w:hAnsi="Times New Roman"/>
          <w:b/>
          <w:bCs/>
          <w:sz w:val="24"/>
          <w:szCs w:val="24"/>
        </w:rPr>
        <w:t xml:space="preserve"> PROGRAMAVIMO PASLAUGŲ TEIKIMUI</w:t>
      </w:r>
    </w:p>
    <w:p w14:paraId="20CF64E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F5EB73A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Bendroji informacija</w:t>
      </w:r>
    </w:p>
    <w:p w14:paraId="7FA80695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C116C26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Sistemos pavadinimas: Veterinarinių vaistų registras.</w:t>
      </w:r>
    </w:p>
    <w:p w14:paraId="736EEEE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Sistemos aprašymas: Veterinarinių vaistų registras – tai valstybinė duomenų bazė, kurioje registruojami, kaupiami ir tvarkomi duomenys apie veterinarinius vaistus, skirtus naudoti Lietuvos Respublikoje. Šis registras užtikrina teisėtą vaistų patekimą į rinką, jų saugumą, efektyvumą ir atitiktį teisės aktams.</w:t>
      </w:r>
    </w:p>
    <w:p w14:paraId="01D012ED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Tikslas: Sukurti ir įdiegti vidinę informacinę sistemą, skirtą veterinarinių vaistų registravimo administravimui. </w:t>
      </w:r>
    </w:p>
    <w:p w14:paraId="2672BD14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VMVT darbo laikas: darbo dienos (pirmadienis – ketvirtadienis: 0</w:t>
      </w:r>
      <w:r>
        <w:rPr>
          <w:rFonts w:ascii="Times New Roman" w:hAnsi="Times New Roman"/>
          <w:sz w:val="24"/>
          <w:szCs w:val="24"/>
          <w:lang w:val="en-US"/>
        </w:rPr>
        <w:t xml:space="preserve">8:00-17:00 val.;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penktadienis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08-15:45 val.)</w:t>
      </w:r>
    </w:p>
    <w:p w14:paraId="1ACC7DD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20455D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Funkciniai reikalavimai</w:t>
      </w:r>
    </w:p>
    <w:p w14:paraId="6B5E879A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484FF01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2.2.1. Veterinarinių vaistų registracija:</w:t>
      </w:r>
    </w:p>
    <w:p w14:paraId="1D379E1C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2.2.1.1 Galimybė registruoti naujus veterinarinius vaistus.</w:t>
      </w:r>
    </w:p>
    <w:p w14:paraId="79B95C5A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2.2.1.2. Automatinis registracijos numerio suteikimas.</w:t>
      </w:r>
    </w:p>
    <w:p w14:paraId="5718F423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2.2.1.3. Vaistų sudėties, gamintojo, naudojimo indikacijų, dozavimo ir kitų duomenų suvedimas bei gavimas per integracinius šaltinius.</w:t>
      </w:r>
    </w:p>
    <w:p w14:paraId="735ABDE6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2.2.1.4. Informacinio lapelio įkėlimas.</w:t>
      </w:r>
    </w:p>
    <w:p w14:paraId="7B3422ED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A2CE06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Duomenų valdymas:</w:t>
      </w:r>
    </w:p>
    <w:p w14:paraId="46A97E19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2.2.2.1. Paieška pagal pavadinimą, registracijos numerį, gamintoją ir pagal pakuotės dydį.</w:t>
      </w:r>
    </w:p>
    <w:p w14:paraId="6F576523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2.2.2.2. Duomenų redagavimo, įrašymo ir trynimo funkcijos.</w:t>
      </w:r>
    </w:p>
    <w:p w14:paraId="06CFEAAD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2.2.2.3. Išregistravimo ir archyvavimo mechanizmas.</w:t>
      </w:r>
    </w:p>
    <w:p w14:paraId="716AA52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234F56E9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Sąveika su kitomis sistemomis:</w:t>
      </w:r>
    </w:p>
    <w:p w14:paraId="35C5FEE3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2.2.3.1. Integracija su EMA UPD (</w:t>
      </w:r>
      <w:proofErr w:type="spellStart"/>
      <w:r>
        <w:rPr>
          <w:rFonts w:ascii="Times New Roman" w:hAnsi="Times New Roman"/>
          <w:sz w:val="24"/>
          <w:szCs w:val="24"/>
        </w:rPr>
        <w:t>European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Agency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Database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7D026EE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2.2.3.2. Duomenų importas/eksportas pagal nustatytus formatus (XML, JSON, CSV).</w:t>
      </w:r>
    </w:p>
    <w:p w14:paraId="5772317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2E11E4A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Ataskaitos ir statistika:</w:t>
      </w:r>
    </w:p>
    <w:p w14:paraId="2153D839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2.2.4.1. Automatinės ataskaitos apie registruotus ir išregistruotus vaistus.</w:t>
      </w:r>
    </w:p>
    <w:p w14:paraId="289AC64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2.2.4.2. Statistinė analizė ir duomenų vizualizacija.</w:t>
      </w:r>
    </w:p>
    <w:p w14:paraId="54B5FEF1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65023944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Naudotojų valdymas:</w:t>
      </w:r>
    </w:p>
    <w:p w14:paraId="215BDE1D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2.2.5.1. Skirtingi prieigos lygiai (administratorius, naudotojas, svečias).</w:t>
      </w:r>
    </w:p>
    <w:p w14:paraId="5C64D46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2.2.5.2.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Vartotojų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tikrinimas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AzureAD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35536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4FCD640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Nefunkciniai reikalavimai</w:t>
      </w:r>
    </w:p>
    <w:p w14:paraId="1583DAB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7E6AFE83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Sistemos prieinamumas: Ne mažiau kaip 99,5% veikimo laikas.</w:t>
      </w:r>
    </w:p>
    <w:p w14:paraId="69B2EBD6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Našumas: Palaikymas ne mažiau kaip 500 aktyvių naudotojų vienu metu.</w:t>
      </w:r>
    </w:p>
    <w:p w14:paraId="100E6183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Duomenų sauga:</w:t>
      </w:r>
    </w:p>
    <w:p w14:paraId="12BFA03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2.3.3.1. Duomenų šifravimas (AES-256).</w:t>
      </w:r>
    </w:p>
    <w:p w14:paraId="5C72AF67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2.3.3.2. Vartotojų prisijungimų auditavimas.</w:t>
      </w:r>
    </w:p>
    <w:p w14:paraId="36BFF68F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Sistemos plečiamumas: Galimybė lengvai pridėti naujas funkcijas be esminio veiklos sutrikdymo.</w:t>
      </w:r>
    </w:p>
    <w:p w14:paraId="7D629440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49DE6651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Techniniai reikalavimai</w:t>
      </w:r>
    </w:p>
    <w:p w14:paraId="7408100F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5CF918" w14:textId="77777777" w:rsidR="00762276" w:rsidRDefault="00762276" w:rsidP="007622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2.4.1.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Veterinariniai vaistai registravimo administravimui reikalinga vidinė VMVT sistema, kuri turės būti sukurta naudojant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code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verslo analitikos ir programų kūrimo sprendimus. Duomenys turės būti saugomi duomenų bazėje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PostgreSQL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ir pasiimami per specialiąją jungtį (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custom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connector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), o vidinės sistemos veiklos logika - suprogramuota drobės programa (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Canvas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apps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). </w:t>
      </w:r>
    </w:p>
    <w:p w14:paraId="2DCD126B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eastAsia="Calibri" w:hAnsi="Times New Roman"/>
          <w:bCs/>
          <w:sz w:val="24"/>
          <w:szCs w:val="24"/>
        </w:rPr>
      </w:pPr>
    </w:p>
    <w:p w14:paraId="2F4860B9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Naudotojo sąsaja:</w:t>
      </w:r>
    </w:p>
    <w:p w14:paraId="06B3687C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3.2.1.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Internetinė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prieiga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naršyklę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(Chrome, Firefox, Edge).</w:t>
      </w:r>
    </w:p>
    <w:p w14:paraId="2BBC1745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3.2.2.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Responsyvus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dizainas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pritaikytas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mobiliesiems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įrenginiams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9D56AB6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3B6BAE3F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2D087078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7CF6D4F" w14:textId="77777777" w:rsidR="00762276" w:rsidRDefault="00762276" w:rsidP="00762276">
      <w:pPr>
        <w:numPr>
          <w:ilvl w:val="0"/>
          <w:numId w:val="1"/>
        </w:num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0" w:firstLine="540"/>
        <w:contextualSpacing/>
        <w:jc w:val="left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PASLAUGŲ TEIKIMO SCHEMA</w:t>
      </w:r>
    </w:p>
    <w:p w14:paraId="2BA12EA4" w14:textId="77777777" w:rsidR="00762276" w:rsidRDefault="00762276" w:rsidP="00762276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bCs/>
          <w:color w:val="000000" w:themeColor="text1"/>
          <w:lang w:eastAsia="en-US"/>
        </w:rPr>
      </w:pPr>
    </w:p>
    <w:p w14:paraId="6187133B" w14:textId="77777777" w:rsidR="00762276" w:rsidRDefault="00762276" w:rsidP="00762276">
      <w:pPr>
        <w:pStyle w:val="ListParagraph"/>
        <w:numPr>
          <w:ilvl w:val="1"/>
          <w:numId w:val="1"/>
        </w:numPr>
        <w:spacing w:before="100" w:beforeAutospacing="1" w:after="100" w:afterAutospacing="1" w:line="276" w:lineRule="auto"/>
        <w:ind w:left="567" w:hanging="425"/>
        <w:rPr>
          <w:rStyle w:val="eop"/>
          <w:rFonts w:ascii="Times New Roman" w:eastAsia="Calibri" w:hAnsi="Times New Roman"/>
          <w:color w:val="000000" w:themeColor="text1"/>
          <w:sz w:val="24"/>
          <w:szCs w:val="24"/>
          <w:lang w:eastAsia="en-GB"/>
        </w:rPr>
      </w:pPr>
      <w:bookmarkStart w:id="6" w:name="_Hlk161239526"/>
      <w:r>
        <w:rPr>
          <w:rStyle w:val="normaltextrun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Priežiūros/vystymo paslaugos teikiamos </w:t>
      </w:r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iteraciniu-</w:t>
      </w:r>
      <w:proofErr w:type="spellStart"/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inkrementiniu</w:t>
      </w:r>
      <w:proofErr w:type="spellEnd"/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 xml:space="preserve"> būdu, naudojant „</w:t>
      </w:r>
      <w:proofErr w:type="spellStart"/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Scrum</w:t>
      </w:r>
      <w:proofErr w:type="spellEnd"/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 xml:space="preserve">“ projektų valdymo metodologiją, suformuojant, įgyvendinant ir įdiegiant 10 darbo dienų, arba trumpesnės trukmės užduotis („sprintus“). </w:t>
      </w:r>
    </w:p>
    <w:p w14:paraId="15F9AD7B" w14:textId="77777777" w:rsidR="00762276" w:rsidRDefault="00762276" w:rsidP="007622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 w:themeColor="text1"/>
        </w:rPr>
      </w:pPr>
    </w:p>
    <w:p w14:paraId="26810281" w14:textId="20000388" w:rsidR="00762276" w:rsidRDefault="00762276" w:rsidP="00762276">
      <w:pPr>
        <w:pStyle w:val="paragraph"/>
        <w:spacing w:before="0" w:beforeAutospacing="0" w:after="0" w:afterAutospacing="0"/>
        <w:ind w:left="-142"/>
        <w:jc w:val="center"/>
        <w:textAlignment w:val="baseline"/>
        <w:rPr>
          <w:rFonts w:eastAsiaTheme="majorEastAsia"/>
          <w:b/>
          <w:bCs/>
          <w:caps/>
          <w:lang w:eastAsia="en-US"/>
        </w:rPr>
      </w:pPr>
      <w:r>
        <w:rPr>
          <w:rFonts w:asciiTheme="minorHAnsi" w:hAnsiTheme="minorHAnsi" w:cstheme="minorHAnsi"/>
          <w:b/>
          <w:caps/>
          <w:noProof/>
          <w:sz w:val="22"/>
          <w:szCs w:val="22"/>
          <w:lang w:eastAsia="en-US"/>
        </w:rPr>
        <w:lastRenderedPageBreak/>
        <w:drawing>
          <wp:inline distT="0" distB="0" distL="0" distR="0" wp14:anchorId="17EBB645" wp14:editId="526FA454">
            <wp:extent cx="6118860" cy="1188720"/>
            <wp:effectExtent l="0" t="0" r="0" b="0"/>
            <wp:docPr id="1319598681" name="Picture 1" descr="A diagram of a software development proces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diagram of a software development process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D8E5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Style w:val="normaltextrun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/>
          <w:color w:val="000000" w:themeColor="text1"/>
          <w:sz w:val="24"/>
          <w:szCs w:val="24"/>
        </w:rPr>
        <w:t>Užduočių („sprintų“) užsakymo tvarka ir rezultatų priėmimas:</w:t>
      </w:r>
      <w:r>
        <w:rPr>
          <w:rStyle w:val="normaltextrun"/>
          <w:rFonts w:ascii="Times New Roman" w:hAnsi="Times New Roman"/>
          <w:sz w:val="24"/>
          <w:szCs w:val="24"/>
        </w:rPr>
        <w:t> </w:t>
      </w:r>
    </w:p>
    <w:p w14:paraId="32128E5A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eastAsiaTheme="majorEastAsia"/>
        </w:rPr>
      </w:pPr>
      <w:r>
        <w:rPr>
          <w:rStyle w:val="normaltextrun"/>
          <w:rFonts w:eastAsiaTheme="majorEastAsia"/>
          <w:color w:val="000000" w:themeColor="text1"/>
        </w:rPr>
        <w:t>prieš pradedant darbus, Užsakovo ir Tiekėjo atstovai sudaro, detalizuoja ir prioretizuoja pradinį sąrašą užduočių (</w:t>
      </w:r>
      <w:proofErr w:type="spellStart"/>
      <w:r>
        <w:rPr>
          <w:rStyle w:val="normaltextrun"/>
          <w:rFonts w:eastAsiaTheme="majorEastAsia"/>
          <w:color w:val="000000" w:themeColor="text1"/>
        </w:rPr>
        <w:t>Product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ajorEastAsia"/>
          <w:color w:val="000000" w:themeColor="text1"/>
        </w:rPr>
        <w:t>backlog</w:t>
      </w:r>
      <w:proofErr w:type="spellEnd"/>
      <w:r>
        <w:rPr>
          <w:rStyle w:val="normaltextrun"/>
          <w:rFonts w:eastAsiaTheme="majorEastAsia"/>
          <w:color w:val="000000" w:themeColor="text1"/>
        </w:rPr>
        <w:t>). VMVT užduočių sąrašą užregistruoja VMVT užduočių valdymo sistemoje. Techninės užduotys (</w:t>
      </w:r>
      <w:proofErr w:type="spellStart"/>
      <w:r>
        <w:rPr>
          <w:rStyle w:val="normaltextrun"/>
          <w:rFonts w:eastAsiaTheme="majorEastAsia"/>
          <w:color w:val="000000" w:themeColor="text1"/>
        </w:rPr>
        <w:t>Code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ajorEastAsia"/>
          <w:color w:val="000000" w:themeColor="text1"/>
        </w:rPr>
        <w:t>refactoring</w:t>
      </w:r>
      <w:proofErr w:type="spellEnd"/>
      <w:r>
        <w:rPr>
          <w:rStyle w:val="normaltextrun"/>
          <w:rFonts w:eastAsiaTheme="majorEastAsia"/>
          <w:color w:val="000000" w:themeColor="text1"/>
        </w:rPr>
        <w:t>) arba su platforma susijusios užduotys formuluojamos bendrai sutartu formatu, naudojant SMART formatą;</w:t>
      </w:r>
    </w:p>
    <w:p w14:paraId="0CEBDF47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 w:themeColor="text1"/>
        </w:rPr>
        <w:t>VMVT kiekvienam „sprintui“ VMVT užduočių valdymo sistemoje nurodo, kurios užduotys yra aukščiausio prioriteto. Tiekėjas pagal šią informaciją turi 5 - 10 darbo dienų iki programavimo darbų pradžios interaktyvų vartotojo sąsajos eskizų (</w:t>
      </w:r>
      <w:proofErr w:type="spellStart"/>
      <w:r>
        <w:rPr>
          <w:rStyle w:val="normaltextrun"/>
          <w:rFonts w:eastAsiaTheme="majorEastAsia"/>
          <w:color w:val="000000" w:themeColor="text1"/>
        </w:rPr>
        <w:t>interactive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ajorEastAsia"/>
          <w:color w:val="000000" w:themeColor="text1"/>
        </w:rPr>
        <w:t>wireframe</w:t>
      </w:r>
      <w:proofErr w:type="spellEnd"/>
      <w:r>
        <w:rPr>
          <w:rStyle w:val="normaltextrun"/>
          <w:rFonts w:eastAsiaTheme="majorEastAsia"/>
          <w:color w:val="000000" w:themeColor="text1"/>
        </w:rPr>
        <w:t>) paruošimui; </w:t>
      </w:r>
      <w:r>
        <w:rPr>
          <w:rStyle w:val="eop"/>
          <w:rFonts w:eastAsiaTheme="majorEastAsia"/>
          <w:color w:val="000000" w:themeColor="text1"/>
        </w:rPr>
        <w:t> </w:t>
      </w:r>
    </w:p>
    <w:p w14:paraId="4FE14C55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 w:themeColor="text1"/>
        </w:rPr>
        <w:t>kiekvieno „sprinto“ pradžioje Tiekėjas organizuoja darbų planavimo sesiją (</w:t>
      </w:r>
      <w:proofErr w:type="spellStart"/>
      <w:r>
        <w:rPr>
          <w:rStyle w:val="normaltextrun"/>
          <w:rFonts w:eastAsiaTheme="majorEastAsia"/>
          <w:color w:val="000000" w:themeColor="text1"/>
        </w:rPr>
        <w:t>Sprint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ajorEastAsia"/>
          <w:color w:val="000000" w:themeColor="text1"/>
        </w:rPr>
        <w:t>planning</w:t>
      </w:r>
      <w:proofErr w:type="spellEnd"/>
      <w:r>
        <w:rPr>
          <w:rStyle w:val="normaltextrun"/>
          <w:rFonts w:eastAsiaTheme="majorEastAsia"/>
          <w:color w:val="000000" w:themeColor="text1"/>
        </w:rPr>
        <w:t>), kurioje dalyvauja VMVT atstovai</w:t>
      </w:r>
      <w:r>
        <w:rPr>
          <w:rStyle w:val="eop"/>
          <w:rFonts w:eastAsiaTheme="majorEastAsia"/>
          <w:color w:val="000000" w:themeColor="text1"/>
        </w:rPr>
        <w:t>;</w:t>
      </w:r>
    </w:p>
    <w:p w14:paraId="113A32CC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 w:themeColor="text1"/>
        </w:rPr>
        <w:t>VMVT atstovai, Tiekėjui pageidaujant, bent kartą per sprintą dalyvauja sekančio sprinto reikalavimų detalizavime (</w:t>
      </w:r>
      <w:proofErr w:type="spellStart"/>
      <w:r>
        <w:rPr>
          <w:rStyle w:val="normaltextrun"/>
          <w:rFonts w:eastAsiaTheme="majorEastAsia"/>
          <w:color w:val="000000" w:themeColor="text1"/>
        </w:rPr>
        <w:t>Refinement</w:t>
      </w:r>
      <w:proofErr w:type="spellEnd"/>
      <w:r>
        <w:rPr>
          <w:rStyle w:val="normaltextrun"/>
          <w:rFonts w:eastAsiaTheme="majorEastAsia"/>
          <w:color w:val="000000" w:themeColor="text1"/>
        </w:rPr>
        <w:t>)</w:t>
      </w:r>
      <w:r>
        <w:rPr>
          <w:rStyle w:val="eop"/>
          <w:rFonts w:eastAsiaTheme="majorEastAsia"/>
          <w:color w:val="000000" w:themeColor="text1"/>
        </w:rPr>
        <w:t>;</w:t>
      </w:r>
    </w:p>
    <w:p w14:paraId="00BB6E64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 w:themeColor="text1"/>
        </w:rPr>
        <w:t>Tiekėjo programuotojai, kiekvienos darbo? dienos pradžioje raštu arba susitikime (</w:t>
      </w:r>
      <w:proofErr w:type="spellStart"/>
      <w:r>
        <w:rPr>
          <w:rStyle w:val="normaltextrun"/>
          <w:rFonts w:eastAsiaTheme="majorEastAsia"/>
          <w:color w:val="000000" w:themeColor="text1"/>
        </w:rPr>
        <w:t>Daily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ajorEastAsia"/>
          <w:color w:val="000000" w:themeColor="text1"/>
        </w:rPr>
        <w:t>standup</w:t>
      </w:r>
      <w:proofErr w:type="spellEnd"/>
      <w:r>
        <w:rPr>
          <w:rStyle w:val="normaltextrun"/>
          <w:rFonts w:eastAsiaTheme="majorEastAsia"/>
          <w:color w:val="000000" w:themeColor="text1"/>
        </w:rPr>
        <w:t>) su VMVT atstovais pasidalina dienos planu, pasiekimais, rizikomis ir pagalbos poreikiais</w:t>
      </w:r>
      <w:r>
        <w:rPr>
          <w:rStyle w:val="eop"/>
          <w:rFonts w:eastAsiaTheme="majorEastAsia"/>
          <w:color w:val="000000" w:themeColor="text1"/>
        </w:rPr>
        <w:t>;</w:t>
      </w:r>
    </w:p>
    <w:p w14:paraId="3186A13C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„Sprinto“ pabaigoje Tiekėjas organizuoja sprinto rezultatų pristatymą VMVT.</w:t>
      </w:r>
      <w:r>
        <w:rPr>
          <w:rStyle w:val="eop"/>
          <w:rFonts w:eastAsiaTheme="majorEastAsia"/>
          <w:color w:val="000000"/>
        </w:rPr>
        <w:t> </w:t>
      </w:r>
      <w:r>
        <w:rPr>
          <w:rStyle w:val="eop"/>
          <w:rFonts w:eastAsiaTheme="majorEastAsia"/>
        </w:rPr>
        <w:t> </w:t>
      </w:r>
    </w:p>
    <w:p w14:paraId="14E44967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Style w:val="normaltextrun"/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/>
          <w:color w:val="000000" w:themeColor="text1"/>
          <w:sz w:val="24"/>
          <w:szCs w:val="24"/>
        </w:rPr>
        <w:t xml:space="preserve">Diegimai į gamybinę aplinką turi būti vykdomi ne rečiau nei kas 5 savaites. </w:t>
      </w:r>
    </w:p>
    <w:p w14:paraId="14E0A1CA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5256" w:hanging="5256"/>
        <w:rPr>
          <w:rStyle w:val="normaltextrun"/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3.2. Tiekėjas paslaugas teikia remdamasis tokia schema:</w:t>
      </w:r>
    </w:p>
    <w:p w14:paraId="08AB8868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</w:pPr>
      <w:r>
        <w:rPr>
          <w:rFonts w:ascii="Times New Roman" w:hAnsi="Times New Roman"/>
          <w:sz w:val="24"/>
          <w:szCs w:val="24"/>
        </w:rPr>
        <w:t xml:space="preserve">3.2.1. Gavęs rašytinį patvirtinimą paslaugų teikimui, Tiekėjas išima išeities kodą iš sutartos </w:t>
      </w:r>
      <w:proofErr w:type="spellStart"/>
      <w:r>
        <w:rPr>
          <w:rFonts w:ascii="Times New Roman" w:hAnsi="Times New Roman"/>
          <w:sz w:val="24"/>
          <w:szCs w:val="24"/>
        </w:rPr>
        <w:t>repozitorijos</w:t>
      </w:r>
      <w:proofErr w:type="spellEnd"/>
      <w:r>
        <w:rPr>
          <w:rFonts w:ascii="Times New Roman" w:hAnsi="Times New Roman"/>
          <w:sz w:val="24"/>
          <w:szCs w:val="24"/>
        </w:rPr>
        <w:t xml:space="preserve"> (išeities kodo saugyklos), jį atnaujina ir patalpina atgal, įsitikinęs, kad visų automatinių testų, kodo analizės įrankių patikros praeina ir kodas kompiliuojasi. Pagrindiniai reikalavimai įkeliamam išeities kodui: </w:t>
      </w:r>
    </w:p>
    <w:p w14:paraId="379CBA96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>išeities kodo pakeitimų istorija yra nuosekli ir informatyvi, galima suprasti, kokie pakeitimai ir kodėl atlikti;</w:t>
      </w:r>
    </w:p>
    <w:p w14:paraId="12AEE28D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spellStart"/>
      <w:r>
        <w:rPr>
          <w:rStyle w:val="normaltextrun"/>
          <w:rFonts w:eastAsiaTheme="majorEastAsia"/>
          <w:color w:val="000000" w:themeColor="text1"/>
        </w:rPr>
        <w:t>Unit</w:t>
      </w:r>
      <w:proofErr w:type="spellEnd"/>
      <w:r>
        <w:rPr>
          <w:rStyle w:val="normaltextrun"/>
          <w:rFonts w:eastAsiaTheme="majorEastAsia"/>
          <w:color w:val="000000" w:themeColor="text1"/>
        </w:rPr>
        <w:t xml:space="preserve"> testai (automatizuoti programų testai, tikrinantys kodo vienetus atskirai vieną nuo kito) parašyti, praeina ir apima svarbiausias funkcijas;</w:t>
      </w:r>
    </w:p>
    <w:p w14:paraId="5A35F31E" w14:textId="77777777" w:rsidR="00762276" w:rsidRDefault="00762276" w:rsidP="0076227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>kodas yra dokumentuotas: aprašyta kiekviena sukurta funkcija kode, įskaitant komentarus, techninę, API (aplikacijų programavimo sąsaja), architektūros dokumentaciją.</w:t>
      </w:r>
    </w:p>
    <w:p w14:paraId="62BCB311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3.2.2.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Repozitorijoje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numatytas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taisykles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išeities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pagrindu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suformuojamas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sistemos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diegimo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paketas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ir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jis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įkeliamas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į VMVT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bandomąją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aplinką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</w:p>
    <w:p w14:paraId="7C2E85F6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3.2.3. VMVT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atlikus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sprendimo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UAT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vartotojo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priėmimo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testą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testavimą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bandomojoje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aplinkoje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ir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nenustačius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trūkumų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minėtas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repozitorijos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suformuotas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diegimo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paketas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yra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įkeliamas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į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gamybinę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aplinką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FD63910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3.2.4. Laikoma, kad paslauga suteikta tinkamai, kai tenkinamos visos šios sąlygos:</w:t>
      </w:r>
    </w:p>
    <w:p w14:paraId="7857D6AD" w14:textId="77777777" w:rsidR="00762276" w:rsidRDefault="00762276" w:rsidP="00762276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išeities kodas yra be žinomų kritinių klaidų, patalpintas į užsakovo nurodytą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repozitoriją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14:paraId="5CD3B012" w14:textId="77777777" w:rsidR="00762276" w:rsidRDefault="00762276" w:rsidP="00762276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atnaujinta (aktualizuota) dokumentacija (techninė, naudotojo ir administratoriaus vadovai) pagal diegiamų funkcionalumų pakeitimus arba naujai sukurtus funkcionalumus; </w:t>
      </w:r>
    </w:p>
    <w:p w14:paraId="40167AE1" w14:textId="77777777" w:rsidR="00762276" w:rsidRDefault="00762276" w:rsidP="00762276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bookmarkEnd w:id="6"/>
    <w:p w14:paraId="3974E97F" w14:textId="77777777" w:rsidR="00762276" w:rsidRDefault="00762276" w:rsidP="00762276">
      <w:pPr>
        <w:numPr>
          <w:ilvl w:val="0"/>
          <w:numId w:val="1"/>
        </w:num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0" w:firstLine="540"/>
        <w:contextualSpacing/>
        <w:jc w:val="left"/>
        <w:rPr>
          <w:rFonts w:ascii="Times New Roman" w:eastAsia="Calibri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REIKALAVIMAI KLAIDŲ TAISYMUI</w:t>
      </w:r>
    </w:p>
    <w:p w14:paraId="552E8C38" w14:textId="77777777" w:rsidR="00762276" w:rsidRDefault="00762276" w:rsidP="00762276">
      <w:pPr>
        <w:tabs>
          <w:tab w:val="left" w:pos="851"/>
          <w:tab w:val="left" w:pos="993"/>
          <w:tab w:val="left" w:pos="1418"/>
          <w:tab w:val="left" w:pos="1560"/>
        </w:tabs>
        <w:spacing w:line="240" w:lineRule="auto"/>
        <w:ind w:left="540"/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14:paraId="75C62D70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5256" w:hanging="5256"/>
        <w:rPr>
          <w:rStyle w:val="normaltextrun"/>
          <w:color w:val="000000" w:themeColor="text1"/>
        </w:rPr>
      </w:pPr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4.1. Identifikuotos klaidos turi būti ištaisytos: </w:t>
      </w:r>
    </w:p>
    <w:p w14:paraId="4ECA0D82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Fonts w:eastAsia="Times New Roman"/>
        </w:rPr>
      </w:pPr>
      <w:r>
        <w:rPr>
          <w:rFonts w:ascii="Times New Roman" w:eastAsia="Times New Roman" w:hAnsi="Times New Roman"/>
          <w:sz w:val="24"/>
          <w:szCs w:val="24"/>
        </w:rPr>
        <w:t>Kritinių klaidų šalinimas. Kritinė klaida - tai techninė, loginė ir pan. klaida, kuri stabdo tolimesnį sukurto sprendimo naudojimą;  </w:t>
      </w:r>
    </w:p>
    <w:p w14:paraId="38751CC1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Klaidų šalinimas. Klaida - tai situacija, kai sukurtame sprendime gaunamas klaidos pranešimas arba jo funkcionalumas neatitinka nustatytų reikalavimų;  </w:t>
      </w:r>
    </w:p>
    <w:p w14:paraId="7FDCDA7F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Sukurto sprendimo programinės įrangos klaidų ir netikslumų, kurie susiję su atliktais pakeitimais, neatitinkančiais jo funkcinių reikalavimų pagal suderintus techninius reikalavimus, taisymas;   </w:t>
      </w:r>
    </w:p>
    <w:p w14:paraId="56B737CA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Klaidų, susijusių su sukurto sprendimo ir jo pakeitimais, kuriems galioja garantinis laikotarpis, taisymas;  </w:t>
      </w:r>
    </w:p>
    <w:p w14:paraId="4DE431C0" w14:textId="77777777" w:rsidR="00762276" w:rsidRDefault="00762276" w:rsidP="00762276">
      <w:pPr>
        <w:pStyle w:val="ListParagraph"/>
        <w:numPr>
          <w:ilvl w:val="2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Times New Roman" w:hAnsi="Times New Roman"/>
          <w:sz w:val="24"/>
          <w:szCs w:val="24"/>
        </w:rPr>
        <w:t xml:space="preserve">Klaidų šalinimo veiksmų seka fiksuojama TIEKĖJO ir Užsakovo susitarimu el. paštu. </w:t>
      </w:r>
      <w:r>
        <w:rPr>
          <w:rFonts w:ascii="Times New Roman" w:hAnsi="Times New Roman"/>
        </w:rPr>
        <w:t>  </w:t>
      </w:r>
    </w:p>
    <w:p w14:paraId="465565C5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5256" w:hanging="5256"/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4.2. Reakcijos į technines problemas terminai:  </w:t>
      </w:r>
    </w:p>
    <w:p w14:paraId="552E1A4C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eastAsia="Times New Roman"/>
        </w:rPr>
      </w:pPr>
      <w:r>
        <w:rPr>
          <w:rFonts w:ascii="Times New Roman" w:eastAsia="Times New Roman" w:hAnsi="Times New Roman"/>
          <w:sz w:val="24"/>
          <w:szCs w:val="24"/>
        </w:rPr>
        <w:t>4.2.1. Reakcijos laikas – ne ilgiau kaip 2 (dvi) Užsakovo darbo val. nuo pranešimo iš Užsakovo gavimo produkcinei aplinkai. Reakcijos laikas į informacinės sistemos darbo sutrikimus terminas suprantamas kaip laiko tarpsnis nuo pranešimo Tiekėjui išsiuntimo el. paštu iki jo sprendimo pradžios.  </w:t>
      </w:r>
    </w:p>
    <w:p w14:paraId="64B3A661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4.2.2. Išsprendimo laikas Kritinių klaidų atveju– ne ilgiau kaip 4 (keturios) Užsakovo darbo valandos; - Išsprendimo laikas Kitų klaidų atveju - ne ilgiau kaip 2 (dvi) Užsakovo darbo dienos.  </w:t>
      </w:r>
    </w:p>
    <w:p w14:paraId="5B02D019" w14:textId="77777777" w:rsidR="00762276" w:rsidRDefault="00762276" w:rsidP="00762276">
      <w:pPr>
        <w:pStyle w:val="ListParagraph"/>
        <w:tabs>
          <w:tab w:val="left" w:pos="709"/>
        </w:tabs>
        <w:spacing w:before="100" w:beforeAutospacing="1" w:after="100" w:afterAutospacing="1"/>
        <w:ind w:left="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Times New Roman" w:hAnsi="Times New Roman"/>
          <w:sz w:val="24"/>
          <w:szCs w:val="24"/>
        </w:rPr>
        <w:t>4.2.3. Išspręstas incidentas laikomas uždarytu, jeigu per 2 (dvi) darbo dienas Užsakovas nepateikia Tiekėjui pretenzijos ar pastabų dėl klaidų ir sutrikimų šalinimo.   </w:t>
      </w:r>
    </w:p>
    <w:p w14:paraId="453DFDE3" w14:textId="77777777" w:rsidR="001D710C" w:rsidRDefault="001D710C" w:rsidP="00762276">
      <w:pPr>
        <w:jc w:val="center"/>
      </w:pPr>
    </w:p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79FF"/>
    <w:multiLevelType w:val="hybridMultilevel"/>
    <w:tmpl w:val="DD50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4245"/>
    <w:multiLevelType w:val="multilevel"/>
    <w:tmpl w:val="8E501464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decimal"/>
      <w:isLgl/>
      <w:lvlText w:val="%1.%2."/>
      <w:lvlJc w:val="left"/>
      <w:pPr>
        <w:ind w:left="5256" w:hanging="360"/>
      </w:p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5616" w:hanging="720"/>
      </w:pPr>
    </w:lvl>
    <w:lvl w:ilvl="4">
      <w:start w:val="1"/>
      <w:numFmt w:val="decimal"/>
      <w:isLgl/>
      <w:lvlText w:val="%1.%2.%3.%4.%5."/>
      <w:lvlJc w:val="left"/>
      <w:pPr>
        <w:ind w:left="5976" w:hanging="1080"/>
      </w:pPr>
    </w:lvl>
    <w:lvl w:ilvl="5">
      <w:start w:val="1"/>
      <w:numFmt w:val="decimal"/>
      <w:isLgl/>
      <w:lvlText w:val="%1.%2.%3.%4.%5.%6."/>
      <w:lvlJc w:val="left"/>
      <w:pPr>
        <w:ind w:left="5976" w:hanging="1080"/>
      </w:pPr>
    </w:lvl>
    <w:lvl w:ilvl="6">
      <w:start w:val="1"/>
      <w:numFmt w:val="decimal"/>
      <w:isLgl/>
      <w:lvlText w:val="%1.%2.%3.%4.%5.%6.%7."/>
      <w:lvlJc w:val="left"/>
      <w:pPr>
        <w:ind w:left="6336" w:hanging="1440"/>
      </w:p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</w:lvl>
  </w:abstractNum>
  <w:abstractNum w:abstractNumId="2" w15:restartNumberingAfterBreak="0">
    <w:nsid w:val="6F9918DD"/>
    <w:multiLevelType w:val="hybridMultilevel"/>
    <w:tmpl w:val="6464D3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74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87390">
    <w:abstractNumId w:val="2"/>
  </w:num>
  <w:num w:numId="3" w16cid:durableId="21379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6"/>
    <w:rsid w:val="0010721C"/>
    <w:rsid w:val="001D710C"/>
    <w:rsid w:val="003D560A"/>
    <w:rsid w:val="00762276"/>
    <w:rsid w:val="00A33704"/>
    <w:rsid w:val="00B62C06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6FB7"/>
  <w15:chartTrackingRefBased/>
  <w15:docId w15:val="{A56A0742-FC04-4AC8-9C8A-0A9B83E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06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C06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C0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Normal"/>
    <w:link w:val="ListParagraphChar"/>
    <w:uiPriority w:val="34"/>
    <w:qFormat/>
    <w:rsid w:val="00B6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C0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762276"/>
  </w:style>
  <w:style w:type="paragraph" w:customStyle="1" w:styleId="paragraph">
    <w:name w:val="paragraph"/>
    <w:basedOn w:val="Normal"/>
    <w:rsid w:val="0076227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62276"/>
  </w:style>
  <w:style w:type="character" w:customStyle="1" w:styleId="eop">
    <w:name w:val="eop"/>
    <w:basedOn w:val="DefaultParagraphFont"/>
    <w:rsid w:val="0076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5173</Words>
  <Characters>2950</Characters>
  <Application>Microsoft Office Word</Application>
  <DocSecurity>0</DocSecurity>
  <Lines>24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3</cp:revision>
  <dcterms:created xsi:type="dcterms:W3CDTF">2025-03-12T15:13:00Z</dcterms:created>
  <dcterms:modified xsi:type="dcterms:W3CDTF">2025-03-12T15:17:00Z</dcterms:modified>
</cp:coreProperties>
</file>