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FCFA" w14:textId="77777777" w:rsidR="00043A2F" w:rsidRDefault="00A67474" w:rsidP="00180D08">
      <w:pPr>
        <w:pStyle w:val="NoSpacing"/>
        <w:rPr>
          <w:sz w:val="24"/>
          <w:szCs w:val="24"/>
        </w:rPr>
      </w:pPr>
      <w:r w:rsidRPr="00180D08">
        <w:rPr>
          <w:sz w:val="24"/>
          <w:szCs w:val="24"/>
        </w:rPr>
        <w:t xml:space="preserve">            </w:t>
      </w:r>
      <w:r w:rsidR="00A17866" w:rsidRPr="00A17866">
        <w:rPr>
          <w:sz w:val="24"/>
          <w:szCs w:val="24"/>
        </w:rPr>
        <w:t>Santechnikos įrengimo darbai kavinėje (F korpusas)</w:t>
      </w:r>
      <w:r w:rsidR="00A17866">
        <w:rPr>
          <w:sz w:val="24"/>
          <w:szCs w:val="24"/>
        </w:rPr>
        <w:t xml:space="preserve"> 10196</w:t>
      </w:r>
      <w:r w:rsidR="002E55BE">
        <w:rPr>
          <w:sz w:val="24"/>
          <w:szCs w:val="24"/>
        </w:rPr>
        <w:t xml:space="preserve"> </w:t>
      </w:r>
    </w:p>
    <w:p w14:paraId="0010569B" w14:textId="6F9C7C2F" w:rsidR="00180D08" w:rsidRPr="00043A2F" w:rsidRDefault="002E55BE" w:rsidP="00180D08">
      <w:pPr>
        <w:pStyle w:val="NoSpacing"/>
      </w:pPr>
      <w:r>
        <w:rPr>
          <w:sz w:val="24"/>
          <w:szCs w:val="24"/>
        </w:rPr>
        <w:t>(</w:t>
      </w:r>
      <w:r w:rsidR="00A67474" w:rsidRPr="00043A2F">
        <w:rPr>
          <w:sz w:val="24"/>
          <w:szCs w:val="24"/>
        </w:rPr>
        <w:t>V</w:t>
      </w:r>
      <w:r w:rsidR="00C144B8" w:rsidRPr="00043A2F">
        <w:rPr>
          <w:sz w:val="24"/>
          <w:szCs w:val="24"/>
        </w:rPr>
        <w:t>algyklos</w:t>
      </w:r>
      <w:r w:rsidR="00A67474" w:rsidRPr="00043A2F">
        <w:rPr>
          <w:sz w:val="24"/>
          <w:szCs w:val="24"/>
        </w:rPr>
        <w:t xml:space="preserve"> F korpuse </w:t>
      </w:r>
      <w:r w:rsidR="00C144B8" w:rsidRPr="00043A2F">
        <w:rPr>
          <w:sz w:val="24"/>
          <w:szCs w:val="24"/>
        </w:rPr>
        <w:t>vandentiekio ir nuotekų privedimo darbų aprašymas</w:t>
      </w:r>
      <w:r w:rsidRPr="00043A2F">
        <w:rPr>
          <w:sz w:val="24"/>
          <w:szCs w:val="24"/>
        </w:rPr>
        <w:t>)</w:t>
      </w:r>
    </w:p>
    <w:p w14:paraId="5B7359A5" w14:textId="77777777" w:rsidR="00180D08" w:rsidRDefault="00180D08" w:rsidP="00180D08">
      <w:pPr>
        <w:pStyle w:val="NoSpacing"/>
      </w:pPr>
    </w:p>
    <w:p w14:paraId="797E54A8" w14:textId="77777777" w:rsidR="00180D08" w:rsidRDefault="00C144B8" w:rsidP="00180D08">
      <w:pPr>
        <w:ind w:firstLine="1296"/>
        <w:jc w:val="both"/>
      </w:pPr>
      <w:r w:rsidRPr="003C1ECD">
        <w:rPr>
          <w:sz w:val="24"/>
          <w:szCs w:val="24"/>
        </w:rPr>
        <w:t xml:space="preserve">Pagal pridedamą valgyklos virtuvės gamybinių ir pagalbinių patalpų vandentiekio ir nuotekų privedimų planą  numatyti nauji vandentiekio ir nuotekų privedimo taškai prie planuojamos sumontuoti virtuvės įrangos. Vandentiekio </w:t>
      </w:r>
      <w:r w:rsidR="00CF3440" w:rsidRPr="003C1ECD">
        <w:rPr>
          <w:sz w:val="24"/>
          <w:szCs w:val="24"/>
        </w:rPr>
        <w:t>karšto ir šalto vandens paskirstymo sistemų vamzdynai įrengiami iš daugiasluoksnių</w:t>
      </w:r>
      <w:r w:rsidR="002C49E6" w:rsidRPr="003C1ECD">
        <w:rPr>
          <w:sz w:val="24"/>
          <w:szCs w:val="24"/>
        </w:rPr>
        <w:t xml:space="preserve"> PE-X/AL/PE presuojamų vamzdžių</w:t>
      </w:r>
      <w:r w:rsidR="00CF3440" w:rsidRPr="003C1ECD">
        <w:rPr>
          <w:sz w:val="24"/>
          <w:szCs w:val="24"/>
        </w:rPr>
        <w:t xml:space="preserve">, montuojamų paslėptai. </w:t>
      </w:r>
      <w:r w:rsidR="00B50C12" w:rsidRPr="003C1ECD">
        <w:rPr>
          <w:sz w:val="24"/>
          <w:szCs w:val="24"/>
        </w:rPr>
        <w:t>Karštas ir šaltas vanduo jungiamas nuo veikiančių magistralinių vamzdynų ar atšakų į stovus</w:t>
      </w:r>
      <w:r w:rsidR="00F56D40" w:rsidRPr="003C1ECD">
        <w:rPr>
          <w:sz w:val="24"/>
          <w:szCs w:val="24"/>
        </w:rPr>
        <w:t xml:space="preserve"> įrengiant uždaromąją armatūrą naujoms linijoms</w:t>
      </w:r>
      <w:r w:rsidR="00B50C12" w:rsidRPr="003C1ECD">
        <w:rPr>
          <w:sz w:val="24"/>
          <w:szCs w:val="24"/>
        </w:rPr>
        <w:t>.</w:t>
      </w:r>
      <w:r w:rsidR="00DE42FD" w:rsidRPr="003C1ECD">
        <w:rPr>
          <w:sz w:val="24"/>
          <w:szCs w:val="24"/>
        </w:rPr>
        <w:t xml:space="preserve"> Pastaba-F korpuse karšto ir šalto vandentiekio vamzdynai nuo stovų iki galinių taškų sumontuoti naudojant gamintojo REHAU vamzdžius ir fasonines jungtis.</w:t>
      </w:r>
      <w:r w:rsidR="002C49E6" w:rsidRPr="003C1ECD">
        <w:rPr>
          <w:sz w:val="24"/>
          <w:szCs w:val="24"/>
        </w:rPr>
        <w:t xml:space="preserve"> </w:t>
      </w:r>
      <w:r w:rsidR="00B50C12" w:rsidRPr="003C1ECD">
        <w:rPr>
          <w:sz w:val="24"/>
          <w:szCs w:val="24"/>
        </w:rPr>
        <w:t xml:space="preserve">Buitinės kanalizacijos vamzdynai jungiami prie veikiančių sistemų ir į artimiausiai esantį stovą prisilaikant normatyvinių dokumentų reikalavimų. </w:t>
      </w:r>
      <w:r w:rsidR="004B7EF9" w:rsidRPr="003C1ECD">
        <w:rPr>
          <w:sz w:val="24"/>
          <w:szCs w:val="24"/>
        </w:rPr>
        <w:t>Visi vandentiekio</w:t>
      </w:r>
      <w:r w:rsidR="002C49E6" w:rsidRPr="003C1ECD">
        <w:rPr>
          <w:sz w:val="24"/>
          <w:szCs w:val="24"/>
        </w:rPr>
        <w:t xml:space="preserve"> ir </w:t>
      </w:r>
      <w:r w:rsidR="004B7EF9" w:rsidRPr="003C1ECD">
        <w:rPr>
          <w:sz w:val="24"/>
          <w:szCs w:val="24"/>
        </w:rPr>
        <w:t>nuotekų privedimai turi būti tikslinami pagal įrenginių išsidėstymą ir montuojami brėžinyje nurodytame aukštyje.</w:t>
      </w:r>
      <w:r w:rsidR="00DB6EFB" w:rsidRPr="003C1ECD">
        <w:rPr>
          <w:sz w:val="24"/>
          <w:szCs w:val="24"/>
        </w:rPr>
        <w:t xml:space="preserve"> </w:t>
      </w:r>
      <w:r w:rsidR="004B7EF9" w:rsidRPr="003C1ECD">
        <w:rPr>
          <w:sz w:val="24"/>
          <w:szCs w:val="24"/>
        </w:rPr>
        <w:t xml:space="preserve">Naujai </w:t>
      </w:r>
      <w:r w:rsidR="00DB6EFB" w:rsidRPr="003C1ECD">
        <w:rPr>
          <w:sz w:val="24"/>
          <w:szCs w:val="24"/>
        </w:rPr>
        <w:t>numatyti nuotekų tinklai patiekalų išdavimo patalpoje montuojami grindyse prisilaikant reikalavimų nuolydžiams,</w:t>
      </w:r>
      <w:r w:rsidR="0071474B" w:rsidRPr="003C1ECD">
        <w:rPr>
          <w:sz w:val="24"/>
          <w:szCs w:val="24"/>
        </w:rPr>
        <w:t xml:space="preserve"> virtuvėje </w:t>
      </w:r>
      <w:r w:rsidR="00DB6EFB" w:rsidRPr="003C1ECD">
        <w:rPr>
          <w:sz w:val="24"/>
          <w:szCs w:val="24"/>
        </w:rPr>
        <w:t xml:space="preserve"> įrengiama</w:t>
      </w:r>
      <w:r w:rsidR="0071474B" w:rsidRPr="003C1ECD">
        <w:rPr>
          <w:sz w:val="24"/>
          <w:szCs w:val="24"/>
        </w:rPr>
        <w:t xml:space="preserve">s nerūdijančio plieno 400x600 latakas </w:t>
      </w:r>
      <w:r w:rsidR="00DB6EFB" w:rsidRPr="003C1ECD">
        <w:rPr>
          <w:sz w:val="24"/>
          <w:szCs w:val="24"/>
        </w:rPr>
        <w:t xml:space="preserve"> . </w:t>
      </w:r>
      <w:r w:rsidR="004B7EF9" w:rsidRPr="003C1ECD">
        <w:rPr>
          <w:sz w:val="24"/>
          <w:szCs w:val="24"/>
        </w:rPr>
        <w:t xml:space="preserve">Visi kampiniai rutuliniai ventiliai turi būti nukreipti į viršų. </w:t>
      </w:r>
      <w:r w:rsidR="00CF3440" w:rsidRPr="003C1ECD">
        <w:rPr>
          <w:sz w:val="24"/>
          <w:szCs w:val="24"/>
        </w:rPr>
        <w:t>Vamzdžiai ir fasoninės dalys tiekiami su kokybę liudijančiais dokumentais, atitikties sertifikatais. Visų santechninių sistemų montavimo bei kitų darbų paskirtis-įdiegti ir sumontuoti ,išbandyti ir perduoti eksploatacijai tinkamas sistemas. Visi darbai, kurie gali būti pagrįstai laikomi būtinais tinkamam sistemų eksploatavimui, turi būti privalomi atlikti nepriklausomai nuo to, ar jie yra parodyti brėžiniuose, apibūdinti šiame apraše ar ne.</w:t>
      </w:r>
      <w:r w:rsidR="00770C83" w:rsidRPr="003C1ECD">
        <w:rPr>
          <w:sz w:val="24"/>
          <w:szCs w:val="24"/>
        </w:rPr>
        <w:t xml:space="preserve"> </w:t>
      </w:r>
      <w:r w:rsidR="00F56D40" w:rsidRPr="003C1ECD">
        <w:rPr>
          <w:sz w:val="24"/>
          <w:szCs w:val="24"/>
        </w:rPr>
        <w:t>Darbai bus atliekami veikiančioje ligoninėje</w:t>
      </w:r>
      <w:r w:rsidR="00770C83" w:rsidRPr="003C1ECD">
        <w:rPr>
          <w:sz w:val="24"/>
          <w:szCs w:val="24"/>
        </w:rPr>
        <w:t>, vandens atjungimo laikas naujų vamzdynų pajungimui , bei  visi kiti darbai derinami su ligoninės atsakingais darbuotojais. Sumontuoti vamzdynai turi būti nustatyta tvarka išbandyti ir priduoti atsakingam ligoninės atstovui.</w:t>
      </w:r>
      <w:r w:rsidR="00180D08" w:rsidRPr="003C1ECD">
        <w:rPr>
          <w:b/>
          <w:sz w:val="24"/>
          <w:szCs w:val="24"/>
        </w:rPr>
        <w:t xml:space="preserve"> </w:t>
      </w:r>
      <w:r w:rsidR="00180D08" w:rsidRPr="003C1ECD">
        <w:rPr>
          <w:sz w:val="24"/>
          <w:szCs w:val="24"/>
        </w:rPr>
        <w:t>Vamzdynų bandymai vykdomi prieš apdailos atstatymo pradžią. Vamzdynų izoliavimas, tiesimo vagų, nišų ir angų užtaisymas atliekamas jau išbandžius sumontuotus vamzdynus. Pastatų šaltojo ir karštojo vandentiekio sistemos išbandomos hidrauliškai hidrostatiniu metodu iki vandens ėmimo armatūros sumontavimo. Slėgio matavimo prietaisas jungiamas sistemos žemiausiame taške. Hidraulinis slėgis matuojamas pagal veikiančius normatyvus atestuotu, spyruokliniu manometru, kurio tikslumo klasė ne žemesnė kaip 1,5; korpuso skersmuo &lt; 160 mm. Hidraulinis bandymas vykdomas esant patalpose teigiamai temperatūrai. Bandomasis slėgis turi viršyti ribinį darbinį slėgį  1,5 karto. Užpildžius vamzdyną vandeniu, bandomuoju slėgiu bandoma ne mažiau kaip 30 min., apžiūrint vamzdyną bei sujungimus</w:t>
      </w:r>
      <w:r w:rsidR="00180D08" w:rsidRPr="00E03383">
        <w:t>. Jei vamzdynuose nepastebėta nutekėjimų ar kitų defektų, jis</w:t>
      </w:r>
      <w:r w:rsidR="00180D08">
        <w:t xml:space="preserve"> laikomas tinkamu eksploatuoti.</w:t>
      </w:r>
    </w:p>
    <w:p w14:paraId="4927EB12" w14:textId="66A24001" w:rsidR="00180D08" w:rsidRPr="00180D08" w:rsidRDefault="00801ACF" w:rsidP="00180D08">
      <w:pPr>
        <w:ind w:firstLine="1296"/>
        <w:jc w:val="both"/>
        <w:rPr>
          <w:sz w:val="24"/>
          <w:szCs w:val="24"/>
        </w:rPr>
      </w:pPr>
      <w:r w:rsidRPr="00180D08">
        <w:rPr>
          <w:b/>
          <w:bCs/>
          <w:sz w:val="24"/>
          <w:szCs w:val="24"/>
        </w:rPr>
        <w:t>Aplinkos apsauga</w:t>
      </w:r>
      <w:r w:rsidRPr="00180D08">
        <w:rPr>
          <w:sz w:val="24"/>
          <w:szCs w:val="24"/>
        </w:rPr>
        <w:t xml:space="preserve">. Darbų sauga - organizuojant statybos darbus, reikia numatyti aplinkos apsaugos priemones, kad statybos metu  neužteršti grunto, vandenų ir atmosferos. Atliekant statybos darbus, veikiančioje ligoninėje reikia laikytis aplinkosauginių ir “Saugos ir sveikatos taisyklių statyboje” (DT 5-00) reikalavimų. 1) Visi statyboje dirbantys darbuotojai turi būti supažindinti su darbo saugos reikalavimais. 2) Ypatingas dėmesys turi būti skirtas dirbančiųjų saugioms darbo sąlygoms. Vykdant montavimo darbus, techniškai tvarkingomis takelažo priemonėmis, teisingai stropuoti konstrukcijų elementus; 5) Saugiam montavimo darbų vykdymui naudoti reikalingas aptvėrimo priemones, bei įrengimus; 6) Teisingai ir saugiai naudotis lipynėmis ir aikštelėmis. 7) Dirbti tik apsirūpinus individualiomis darbų saugos priemonėmis (šalmais, skydeliais, apsauginiais diržais, spec. rūbais). Teritorijoje, kur yra ligoninės personalo darbo vietos ar lankytojų susibūrimo vietos, rangovas turi imtis visų saugumo priemonių atitveriant darbo zonas. Tose vietose, kur yra pavojus pažeisti </w:t>
      </w:r>
      <w:r w:rsidRPr="00180D08">
        <w:rPr>
          <w:sz w:val="24"/>
          <w:szCs w:val="24"/>
        </w:rPr>
        <w:lastRenderedPageBreak/>
        <w:t>esamas komunikacijas, darbus reikia atlikti ypač atidžiai. Darbai tokiose zonose, kur yra veikiančios komunikacijos, galimi tik su tas komunikacijas eksploatuojančių atsakingų ligoninės asmenų leidimu. Visos darbų vykdymo zonos turi būti aptvertos ir įrengti įspėjimo ženklai, informuojantys apie tai, jog netoliese yra pavojaus zona. Baigus statybos - montavimo darbus, statybos teritorija turi būti sutvarkyta, pašalintos statybos atliekos ir šiukšlės iš objekto.</w:t>
      </w:r>
    </w:p>
    <w:p w14:paraId="22CABD87" w14:textId="3F053033" w:rsidR="00180D08" w:rsidRPr="003C1ECD" w:rsidRDefault="00180D08" w:rsidP="00180D08">
      <w:pPr>
        <w:pStyle w:val="NoSpacing"/>
        <w:rPr>
          <w:sz w:val="24"/>
          <w:szCs w:val="24"/>
        </w:rPr>
      </w:pPr>
      <w:r>
        <w:rPr>
          <w:b/>
          <w:bCs/>
          <w:sz w:val="24"/>
          <w:szCs w:val="24"/>
        </w:rPr>
        <w:t xml:space="preserve">                </w:t>
      </w:r>
      <w:r w:rsidRPr="00180D08">
        <w:rPr>
          <w:b/>
          <w:bCs/>
          <w:sz w:val="24"/>
          <w:szCs w:val="24"/>
        </w:rPr>
        <w:t>Gaisrinė sauga</w:t>
      </w:r>
      <w:r w:rsidRPr="00180D08">
        <w:rPr>
          <w:sz w:val="24"/>
          <w:szCs w:val="24"/>
        </w:rPr>
        <w:t xml:space="preserve">. </w:t>
      </w:r>
      <w:r w:rsidRPr="003C1ECD">
        <w:rPr>
          <w:sz w:val="24"/>
          <w:szCs w:val="24"/>
        </w:rPr>
        <w:t>Vykdant statybos-remonto darbus būtina laikytis bendrųjų gaisrinės saugos taisyklių reikalavimų. Be šių taisyklių būtina vykdyti galiojančių standartų, statybos techninių reglamentų ir normų, technologinių sąlygų, elektros įrenginių įrengimo ir eksploatacijos taisyklių, taip pat kitų gaisrinę saugą reglamentuojančių norminių aktų reikalavimus. Asmenys, pažeidę gaisrinės saugos taisykles, atsako Lietuvos respublikos įstatymu nustatyta tvarka. Darbo zonose turi būti numatyta vieta pirminėms gaisro gesinimo priemonėms. Už statomo ar remontuojamo statinio, statybininkų buitinių ir pagalbinių patalpų bei teritorijos gaisrinę saugą atsako statybos vadovas (rangovas).</w:t>
      </w:r>
    </w:p>
    <w:tbl>
      <w:tblPr>
        <w:tblpPr w:leftFromText="180" w:rightFromText="180" w:vertAnchor="text" w:tblpX="-716" w:tblpY="18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6699"/>
        <w:gridCol w:w="901"/>
        <w:gridCol w:w="1678"/>
      </w:tblGrid>
      <w:tr w:rsidR="00331D79" w14:paraId="3329CB2E" w14:textId="42DD6513" w:rsidTr="004A1FB5">
        <w:trPr>
          <w:trHeight w:val="1155"/>
        </w:trPr>
        <w:tc>
          <w:tcPr>
            <w:tcW w:w="516" w:type="dxa"/>
          </w:tcPr>
          <w:p w14:paraId="15C5EEF5" w14:textId="77777777" w:rsidR="0047000E" w:rsidRDefault="0047000E" w:rsidP="004A1FB5">
            <w:pPr>
              <w:spacing w:after="0" w:line="320" w:lineRule="exact"/>
              <w:jc w:val="both"/>
              <w:rPr>
                <w:sz w:val="24"/>
                <w:szCs w:val="24"/>
              </w:rPr>
            </w:pPr>
            <w:r>
              <w:rPr>
                <w:sz w:val="24"/>
                <w:szCs w:val="24"/>
              </w:rPr>
              <w:t xml:space="preserve">Eil. </w:t>
            </w:r>
          </w:p>
          <w:p w14:paraId="5B464DF6" w14:textId="26CCC9C9" w:rsidR="0047000E" w:rsidRDefault="0047000E" w:rsidP="004A1FB5">
            <w:pPr>
              <w:spacing w:after="0" w:line="320" w:lineRule="exact"/>
              <w:jc w:val="both"/>
              <w:rPr>
                <w:sz w:val="24"/>
                <w:szCs w:val="24"/>
              </w:rPr>
            </w:pPr>
            <w:r>
              <w:rPr>
                <w:sz w:val="24"/>
                <w:szCs w:val="24"/>
              </w:rPr>
              <w:t>Nr.</w:t>
            </w:r>
          </w:p>
        </w:tc>
        <w:tc>
          <w:tcPr>
            <w:tcW w:w="7052" w:type="dxa"/>
          </w:tcPr>
          <w:p w14:paraId="428FE493" w14:textId="77777777" w:rsidR="0047000E" w:rsidRDefault="0047000E" w:rsidP="004A1FB5">
            <w:pPr>
              <w:spacing w:after="0" w:line="320" w:lineRule="exact"/>
              <w:jc w:val="both"/>
              <w:rPr>
                <w:sz w:val="24"/>
                <w:szCs w:val="24"/>
              </w:rPr>
            </w:pPr>
          </w:p>
          <w:p w14:paraId="0F472913" w14:textId="4598B56D" w:rsidR="0047000E" w:rsidRDefault="0047000E" w:rsidP="004A1FB5">
            <w:pPr>
              <w:spacing w:after="0" w:line="320" w:lineRule="exact"/>
              <w:jc w:val="both"/>
              <w:rPr>
                <w:sz w:val="24"/>
                <w:szCs w:val="24"/>
              </w:rPr>
            </w:pPr>
            <w:r>
              <w:rPr>
                <w:sz w:val="24"/>
                <w:szCs w:val="24"/>
              </w:rPr>
              <w:t xml:space="preserve">                                           Darbų aprašymas</w:t>
            </w:r>
          </w:p>
        </w:tc>
        <w:tc>
          <w:tcPr>
            <w:tcW w:w="600" w:type="dxa"/>
          </w:tcPr>
          <w:p w14:paraId="08BA292F" w14:textId="5E00AD7F" w:rsidR="0047000E" w:rsidRDefault="0047000E" w:rsidP="004A1FB5">
            <w:pPr>
              <w:spacing w:after="0" w:line="320" w:lineRule="exact"/>
              <w:jc w:val="both"/>
              <w:rPr>
                <w:sz w:val="24"/>
                <w:szCs w:val="24"/>
              </w:rPr>
            </w:pPr>
            <w:r>
              <w:rPr>
                <w:sz w:val="24"/>
                <w:szCs w:val="24"/>
              </w:rPr>
              <w:t>Mato</w:t>
            </w:r>
          </w:p>
          <w:p w14:paraId="7AB798AC" w14:textId="155C18BE" w:rsidR="0047000E" w:rsidRDefault="0047000E" w:rsidP="004A1FB5">
            <w:pPr>
              <w:spacing w:after="0" w:line="320" w:lineRule="exact"/>
              <w:jc w:val="both"/>
              <w:rPr>
                <w:sz w:val="24"/>
                <w:szCs w:val="24"/>
              </w:rPr>
            </w:pPr>
            <w:r>
              <w:rPr>
                <w:sz w:val="24"/>
                <w:szCs w:val="24"/>
              </w:rPr>
              <w:t>vnt.</w:t>
            </w:r>
          </w:p>
        </w:tc>
        <w:tc>
          <w:tcPr>
            <w:tcW w:w="1743" w:type="dxa"/>
          </w:tcPr>
          <w:p w14:paraId="405BF768" w14:textId="77777777" w:rsidR="0047000E" w:rsidRDefault="0047000E" w:rsidP="004A1FB5">
            <w:pPr>
              <w:spacing w:after="0" w:line="320" w:lineRule="exact"/>
              <w:jc w:val="both"/>
              <w:rPr>
                <w:sz w:val="24"/>
                <w:szCs w:val="24"/>
              </w:rPr>
            </w:pPr>
          </w:p>
          <w:p w14:paraId="427B64F1" w14:textId="61A2DD07" w:rsidR="0047000E" w:rsidRDefault="0047000E" w:rsidP="004A1FB5">
            <w:pPr>
              <w:spacing w:after="0" w:line="320" w:lineRule="exact"/>
              <w:jc w:val="both"/>
              <w:rPr>
                <w:sz w:val="24"/>
                <w:szCs w:val="24"/>
              </w:rPr>
            </w:pPr>
            <w:r>
              <w:rPr>
                <w:sz w:val="24"/>
                <w:szCs w:val="24"/>
              </w:rPr>
              <w:t>Kiekis</w:t>
            </w:r>
          </w:p>
        </w:tc>
      </w:tr>
      <w:tr w:rsidR="004A1FB5" w14:paraId="5146479A" w14:textId="55EC2845" w:rsidTr="004A1FB5">
        <w:trPr>
          <w:trHeight w:val="630"/>
        </w:trPr>
        <w:tc>
          <w:tcPr>
            <w:tcW w:w="516" w:type="dxa"/>
          </w:tcPr>
          <w:p w14:paraId="0DAC09CA" w14:textId="6257D12E" w:rsidR="0047000E" w:rsidRDefault="0047000E" w:rsidP="004A1FB5">
            <w:pPr>
              <w:spacing w:after="0" w:line="320" w:lineRule="exact"/>
              <w:jc w:val="both"/>
              <w:rPr>
                <w:sz w:val="24"/>
                <w:szCs w:val="24"/>
              </w:rPr>
            </w:pPr>
            <w:r>
              <w:rPr>
                <w:sz w:val="24"/>
                <w:szCs w:val="24"/>
              </w:rPr>
              <w:t>1.</w:t>
            </w:r>
          </w:p>
        </w:tc>
        <w:tc>
          <w:tcPr>
            <w:tcW w:w="7052" w:type="dxa"/>
          </w:tcPr>
          <w:p w14:paraId="1C00443B" w14:textId="1273F883" w:rsidR="0047000E" w:rsidRDefault="0047000E" w:rsidP="004A1FB5">
            <w:pPr>
              <w:spacing w:after="0" w:line="320" w:lineRule="exact"/>
              <w:jc w:val="both"/>
              <w:rPr>
                <w:sz w:val="24"/>
                <w:szCs w:val="24"/>
              </w:rPr>
            </w:pPr>
            <w:r>
              <w:rPr>
                <w:sz w:val="24"/>
                <w:szCs w:val="24"/>
              </w:rPr>
              <w:t>Vidaus kanalizacijos 100mm skersmens vamzdynų ardymas</w:t>
            </w:r>
          </w:p>
        </w:tc>
        <w:tc>
          <w:tcPr>
            <w:tcW w:w="600" w:type="dxa"/>
          </w:tcPr>
          <w:p w14:paraId="7D5A5B1E" w14:textId="06116979" w:rsidR="0047000E" w:rsidRDefault="0047000E" w:rsidP="004A1FB5">
            <w:pPr>
              <w:spacing w:after="0" w:line="320" w:lineRule="exact"/>
              <w:jc w:val="both"/>
              <w:rPr>
                <w:sz w:val="24"/>
                <w:szCs w:val="24"/>
              </w:rPr>
            </w:pPr>
            <w:r>
              <w:rPr>
                <w:sz w:val="24"/>
                <w:szCs w:val="24"/>
              </w:rPr>
              <w:t>m</w:t>
            </w:r>
          </w:p>
        </w:tc>
        <w:tc>
          <w:tcPr>
            <w:tcW w:w="1743" w:type="dxa"/>
          </w:tcPr>
          <w:p w14:paraId="5FD1CCC3" w14:textId="246D9B34" w:rsidR="0047000E" w:rsidRDefault="0047000E" w:rsidP="004A1FB5">
            <w:pPr>
              <w:spacing w:after="0" w:line="320" w:lineRule="exact"/>
              <w:jc w:val="both"/>
              <w:rPr>
                <w:sz w:val="24"/>
                <w:szCs w:val="24"/>
              </w:rPr>
            </w:pPr>
            <w:r>
              <w:rPr>
                <w:sz w:val="24"/>
                <w:szCs w:val="24"/>
              </w:rPr>
              <w:t>4,0</w:t>
            </w:r>
          </w:p>
        </w:tc>
      </w:tr>
      <w:tr w:rsidR="004A1FB5" w14:paraId="00DCB619" w14:textId="468D7FD5" w:rsidTr="004A1FB5">
        <w:trPr>
          <w:trHeight w:val="810"/>
        </w:trPr>
        <w:tc>
          <w:tcPr>
            <w:tcW w:w="516" w:type="dxa"/>
          </w:tcPr>
          <w:p w14:paraId="36A66D1D" w14:textId="49D5E0F1" w:rsidR="0047000E" w:rsidRDefault="0047000E" w:rsidP="004A1FB5">
            <w:pPr>
              <w:spacing w:after="0" w:line="320" w:lineRule="exact"/>
              <w:jc w:val="both"/>
              <w:rPr>
                <w:sz w:val="24"/>
                <w:szCs w:val="24"/>
              </w:rPr>
            </w:pPr>
            <w:r>
              <w:rPr>
                <w:sz w:val="24"/>
                <w:szCs w:val="24"/>
              </w:rPr>
              <w:t xml:space="preserve">2. </w:t>
            </w:r>
          </w:p>
        </w:tc>
        <w:tc>
          <w:tcPr>
            <w:tcW w:w="7052" w:type="dxa"/>
          </w:tcPr>
          <w:p w14:paraId="29B4B220" w14:textId="461CDA3B" w:rsidR="0047000E" w:rsidRDefault="00331D79" w:rsidP="004A1FB5">
            <w:pPr>
              <w:spacing w:after="0" w:line="320" w:lineRule="exact"/>
              <w:jc w:val="both"/>
              <w:rPr>
                <w:sz w:val="24"/>
                <w:szCs w:val="24"/>
              </w:rPr>
            </w:pPr>
            <w:r>
              <w:rPr>
                <w:sz w:val="24"/>
                <w:szCs w:val="24"/>
              </w:rPr>
              <w:t>Vidaus vamzdynų iki 32mm skersmens vamzdžių ardymas</w:t>
            </w:r>
          </w:p>
        </w:tc>
        <w:tc>
          <w:tcPr>
            <w:tcW w:w="600" w:type="dxa"/>
          </w:tcPr>
          <w:p w14:paraId="14223F22" w14:textId="5BECD928" w:rsidR="0047000E" w:rsidRDefault="00331D79" w:rsidP="004A1FB5">
            <w:pPr>
              <w:spacing w:after="0" w:line="320" w:lineRule="exact"/>
              <w:jc w:val="both"/>
              <w:rPr>
                <w:sz w:val="24"/>
                <w:szCs w:val="24"/>
              </w:rPr>
            </w:pPr>
            <w:r>
              <w:rPr>
                <w:sz w:val="24"/>
                <w:szCs w:val="24"/>
              </w:rPr>
              <w:t>m</w:t>
            </w:r>
          </w:p>
        </w:tc>
        <w:tc>
          <w:tcPr>
            <w:tcW w:w="1743" w:type="dxa"/>
          </w:tcPr>
          <w:p w14:paraId="3D6DF10F" w14:textId="19197209" w:rsidR="0047000E" w:rsidRDefault="00331D79" w:rsidP="004A1FB5">
            <w:pPr>
              <w:spacing w:after="0" w:line="320" w:lineRule="exact"/>
              <w:jc w:val="both"/>
              <w:rPr>
                <w:sz w:val="24"/>
                <w:szCs w:val="24"/>
              </w:rPr>
            </w:pPr>
            <w:r>
              <w:rPr>
                <w:sz w:val="24"/>
                <w:szCs w:val="24"/>
              </w:rPr>
              <w:t>12,0</w:t>
            </w:r>
          </w:p>
        </w:tc>
      </w:tr>
      <w:tr w:rsidR="004A1FB5" w14:paraId="1005C1BC" w14:textId="78E7A7E2" w:rsidTr="004A1FB5">
        <w:trPr>
          <w:trHeight w:val="675"/>
        </w:trPr>
        <w:tc>
          <w:tcPr>
            <w:tcW w:w="516" w:type="dxa"/>
          </w:tcPr>
          <w:p w14:paraId="48012CC1" w14:textId="3C75E3CC" w:rsidR="0047000E" w:rsidRDefault="00331D79" w:rsidP="004A1FB5">
            <w:pPr>
              <w:spacing w:after="0" w:line="320" w:lineRule="exact"/>
              <w:jc w:val="both"/>
              <w:rPr>
                <w:sz w:val="24"/>
                <w:szCs w:val="24"/>
              </w:rPr>
            </w:pPr>
            <w:r>
              <w:rPr>
                <w:sz w:val="24"/>
                <w:szCs w:val="24"/>
              </w:rPr>
              <w:t xml:space="preserve">3. </w:t>
            </w:r>
          </w:p>
        </w:tc>
        <w:tc>
          <w:tcPr>
            <w:tcW w:w="7052" w:type="dxa"/>
          </w:tcPr>
          <w:p w14:paraId="701EC758" w14:textId="2B4E3A8C" w:rsidR="0047000E" w:rsidRDefault="00331D79" w:rsidP="004A1FB5">
            <w:pPr>
              <w:spacing w:after="0" w:line="320" w:lineRule="exact"/>
              <w:jc w:val="both"/>
              <w:rPr>
                <w:sz w:val="24"/>
                <w:szCs w:val="24"/>
              </w:rPr>
            </w:pPr>
            <w:r>
              <w:rPr>
                <w:sz w:val="24"/>
                <w:szCs w:val="24"/>
              </w:rPr>
              <w:t>Vagų pramušimas ir atstatymas betoninėse grindyse ir sienose</w:t>
            </w:r>
            <w:r w:rsidR="004A1FB5">
              <w:rPr>
                <w:sz w:val="24"/>
                <w:szCs w:val="24"/>
              </w:rPr>
              <w:t xml:space="preserve"> pramušant rankiniu būdu</w:t>
            </w:r>
          </w:p>
        </w:tc>
        <w:tc>
          <w:tcPr>
            <w:tcW w:w="600" w:type="dxa"/>
          </w:tcPr>
          <w:p w14:paraId="67D27600" w14:textId="1E16EA87" w:rsidR="0047000E" w:rsidRDefault="004A1FB5" w:rsidP="004A1FB5">
            <w:pPr>
              <w:spacing w:after="0" w:line="320" w:lineRule="exact"/>
              <w:jc w:val="both"/>
              <w:rPr>
                <w:sz w:val="24"/>
                <w:szCs w:val="24"/>
              </w:rPr>
            </w:pPr>
            <w:r>
              <w:rPr>
                <w:sz w:val="24"/>
                <w:szCs w:val="24"/>
              </w:rPr>
              <w:t>m</w:t>
            </w:r>
          </w:p>
        </w:tc>
        <w:tc>
          <w:tcPr>
            <w:tcW w:w="1743" w:type="dxa"/>
          </w:tcPr>
          <w:p w14:paraId="6A2080AF" w14:textId="667ECC19" w:rsidR="0047000E" w:rsidRDefault="004A1FB5" w:rsidP="004A1FB5">
            <w:pPr>
              <w:spacing w:after="0" w:line="320" w:lineRule="exact"/>
              <w:jc w:val="both"/>
              <w:rPr>
                <w:sz w:val="24"/>
                <w:szCs w:val="24"/>
              </w:rPr>
            </w:pPr>
            <w:r>
              <w:rPr>
                <w:sz w:val="24"/>
                <w:szCs w:val="24"/>
              </w:rPr>
              <w:t>21,0</w:t>
            </w:r>
          </w:p>
        </w:tc>
      </w:tr>
      <w:tr w:rsidR="004A1FB5" w14:paraId="6B020EA7" w14:textId="325C1F82" w:rsidTr="004A1FB5">
        <w:trPr>
          <w:trHeight w:val="720"/>
        </w:trPr>
        <w:tc>
          <w:tcPr>
            <w:tcW w:w="516" w:type="dxa"/>
          </w:tcPr>
          <w:p w14:paraId="7B45F2EE" w14:textId="312B10D2" w:rsidR="0047000E" w:rsidRDefault="004A1FB5" w:rsidP="004A1FB5">
            <w:pPr>
              <w:spacing w:after="0" w:line="320" w:lineRule="exact"/>
              <w:jc w:val="both"/>
              <w:rPr>
                <w:sz w:val="24"/>
                <w:szCs w:val="24"/>
              </w:rPr>
            </w:pPr>
            <w:r>
              <w:rPr>
                <w:sz w:val="24"/>
                <w:szCs w:val="24"/>
              </w:rPr>
              <w:t>4.</w:t>
            </w:r>
          </w:p>
        </w:tc>
        <w:tc>
          <w:tcPr>
            <w:tcW w:w="7052" w:type="dxa"/>
          </w:tcPr>
          <w:p w14:paraId="45858AC6" w14:textId="25E9AB8E" w:rsidR="0047000E" w:rsidRDefault="004A1FB5" w:rsidP="004A1FB5">
            <w:pPr>
              <w:spacing w:after="0" w:line="320" w:lineRule="exact"/>
              <w:jc w:val="both"/>
              <w:rPr>
                <w:sz w:val="24"/>
                <w:szCs w:val="24"/>
              </w:rPr>
            </w:pPr>
            <w:r>
              <w:rPr>
                <w:sz w:val="24"/>
                <w:szCs w:val="24"/>
              </w:rPr>
              <w:t>Vamzdžių ,kurių diametras iki 50mm prijungimas prie veikiančios vandens sistemos</w:t>
            </w:r>
          </w:p>
        </w:tc>
        <w:tc>
          <w:tcPr>
            <w:tcW w:w="600" w:type="dxa"/>
          </w:tcPr>
          <w:p w14:paraId="2F29A094" w14:textId="46D3CB2F" w:rsidR="0047000E" w:rsidRDefault="004A1FB5" w:rsidP="004A1FB5">
            <w:pPr>
              <w:spacing w:after="0" w:line="320" w:lineRule="exact"/>
              <w:jc w:val="both"/>
              <w:rPr>
                <w:sz w:val="24"/>
                <w:szCs w:val="24"/>
              </w:rPr>
            </w:pPr>
            <w:r>
              <w:rPr>
                <w:sz w:val="24"/>
                <w:szCs w:val="24"/>
              </w:rPr>
              <w:t>vnt.</w:t>
            </w:r>
          </w:p>
        </w:tc>
        <w:tc>
          <w:tcPr>
            <w:tcW w:w="1743" w:type="dxa"/>
          </w:tcPr>
          <w:p w14:paraId="13319A77" w14:textId="45628C21" w:rsidR="0047000E" w:rsidRDefault="004A1FB5" w:rsidP="004A1FB5">
            <w:pPr>
              <w:spacing w:after="0" w:line="320" w:lineRule="exact"/>
              <w:jc w:val="both"/>
              <w:rPr>
                <w:sz w:val="24"/>
                <w:szCs w:val="24"/>
              </w:rPr>
            </w:pPr>
            <w:r>
              <w:rPr>
                <w:sz w:val="24"/>
                <w:szCs w:val="24"/>
              </w:rPr>
              <w:t>12,0</w:t>
            </w:r>
          </w:p>
        </w:tc>
      </w:tr>
      <w:tr w:rsidR="004A1FB5" w14:paraId="10DE5561" w14:textId="49F21284" w:rsidTr="004A1FB5">
        <w:trPr>
          <w:trHeight w:val="690"/>
        </w:trPr>
        <w:tc>
          <w:tcPr>
            <w:tcW w:w="516" w:type="dxa"/>
          </w:tcPr>
          <w:p w14:paraId="72F44541" w14:textId="448FA10A" w:rsidR="0047000E" w:rsidRDefault="004A1FB5" w:rsidP="004A1FB5">
            <w:pPr>
              <w:spacing w:after="0" w:line="320" w:lineRule="exact"/>
              <w:jc w:val="both"/>
              <w:rPr>
                <w:sz w:val="24"/>
                <w:szCs w:val="24"/>
              </w:rPr>
            </w:pPr>
            <w:r>
              <w:rPr>
                <w:sz w:val="24"/>
                <w:szCs w:val="24"/>
              </w:rPr>
              <w:t>5.</w:t>
            </w:r>
          </w:p>
        </w:tc>
        <w:tc>
          <w:tcPr>
            <w:tcW w:w="7052" w:type="dxa"/>
          </w:tcPr>
          <w:p w14:paraId="2011BBDC" w14:textId="76DF2A16" w:rsidR="0047000E" w:rsidRDefault="004A1FB5" w:rsidP="004A1FB5">
            <w:pPr>
              <w:spacing w:after="0" w:line="320" w:lineRule="exact"/>
              <w:jc w:val="both"/>
              <w:rPr>
                <w:sz w:val="24"/>
                <w:szCs w:val="24"/>
              </w:rPr>
            </w:pPr>
            <w:r>
              <w:rPr>
                <w:sz w:val="24"/>
                <w:szCs w:val="24"/>
              </w:rPr>
              <w:t>Vamzdžių, kurių diametras 100mm  prijungimas prie veikiančių kanalizacijos tinklų</w:t>
            </w:r>
          </w:p>
        </w:tc>
        <w:tc>
          <w:tcPr>
            <w:tcW w:w="600" w:type="dxa"/>
          </w:tcPr>
          <w:p w14:paraId="6360BA77" w14:textId="6A5E72EB" w:rsidR="0047000E" w:rsidRDefault="004A1FB5" w:rsidP="004A1FB5">
            <w:pPr>
              <w:spacing w:after="0" w:line="320" w:lineRule="exact"/>
              <w:jc w:val="both"/>
              <w:rPr>
                <w:sz w:val="24"/>
                <w:szCs w:val="24"/>
              </w:rPr>
            </w:pPr>
            <w:r>
              <w:rPr>
                <w:sz w:val="24"/>
                <w:szCs w:val="24"/>
              </w:rPr>
              <w:t>m</w:t>
            </w:r>
          </w:p>
        </w:tc>
        <w:tc>
          <w:tcPr>
            <w:tcW w:w="1743" w:type="dxa"/>
          </w:tcPr>
          <w:p w14:paraId="66BD26EB" w14:textId="121772AA" w:rsidR="0047000E" w:rsidRDefault="004A1FB5" w:rsidP="004A1FB5">
            <w:pPr>
              <w:spacing w:after="0" w:line="320" w:lineRule="exact"/>
              <w:jc w:val="both"/>
              <w:rPr>
                <w:sz w:val="24"/>
                <w:szCs w:val="24"/>
              </w:rPr>
            </w:pPr>
            <w:r>
              <w:rPr>
                <w:sz w:val="24"/>
                <w:szCs w:val="24"/>
              </w:rPr>
              <w:t>4,0</w:t>
            </w:r>
          </w:p>
        </w:tc>
      </w:tr>
      <w:tr w:rsidR="004A1FB5" w14:paraId="32D8200B" w14:textId="1428BE4E" w:rsidTr="004A1FB5">
        <w:trPr>
          <w:trHeight w:val="720"/>
        </w:trPr>
        <w:tc>
          <w:tcPr>
            <w:tcW w:w="516" w:type="dxa"/>
          </w:tcPr>
          <w:p w14:paraId="3179A964" w14:textId="4C302BD1" w:rsidR="0047000E" w:rsidRDefault="004A1FB5" w:rsidP="004A1FB5">
            <w:pPr>
              <w:spacing w:after="0" w:line="320" w:lineRule="exact"/>
              <w:jc w:val="both"/>
              <w:rPr>
                <w:sz w:val="24"/>
                <w:szCs w:val="24"/>
              </w:rPr>
            </w:pPr>
            <w:r>
              <w:rPr>
                <w:sz w:val="24"/>
                <w:szCs w:val="24"/>
              </w:rPr>
              <w:t>6.</w:t>
            </w:r>
          </w:p>
        </w:tc>
        <w:tc>
          <w:tcPr>
            <w:tcW w:w="7052" w:type="dxa"/>
          </w:tcPr>
          <w:p w14:paraId="23643E51" w14:textId="6B8E14CD" w:rsidR="0047000E" w:rsidRDefault="004A1FB5" w:rsidP="004A1FB5">
            <w:pPr>
              <w:spacing w:after="0" w:line="320" w:lineRule="exact"/>
              <w:jc w:val="both"/>
              <w:rPr>
                <w:sz w:val="24"/>
                <w:szCs w:val="24"/>
              </w:rPr>
            </w:pPr>
            <w:r>
              <w:rPr>
                <w:sz w:val="24"/>
                <w:szCs w:val="24"/>
              </w:rPr>
              <w:t>Plastikinių kanalizacijos vamzdžių ,kurių D 50-100mmtiesimas</w:t>
            </w:r>
          </w:p>
        </w:tc>
        <w:tc>
          <w:tcPr>
            <w:tcW w:w="600" w:type="dxa"/>
          </w:tcPr>
          <w:p w14:paraId="57B76CDC" w14:textId="44C0F748" w:rsidR="0047000E" w:rsidRDefault="004A1FB5" w:rsidP="004A1FB5">
            <w:pPr>
              <w:spacing w:after="0" w:line="320" w:lineRule="exact"/>
              <w:jc w:val="both"/>
              <w:rPr>
                <w:sz w:val="24"/>
                <w:szCs w:val="24"/>
              </w:rPr>
            </w:pPr>
            <w:r>
              <w:rPr>
                <w:sz w:val="24"/>
                <w:szCs w:val="24"/>
              </w:rPr>
              <w:t>m</w:t>
            </w:r>
          </w:p>
        </w:tc>
        <w:tc>
          <w:tcPr>
            <w:tcW w:w="1743" w:type="dxa"/>
          </w:tcPr>
          <w:p w14:paraId="7A197114" w14:textId="31BBF093" w:rsidR="0047000E" w:rsidRDefault="004A1FB5" w:rsidP="004A1FB5">
            <w:pPr>
              <w:spacing w:after="0" w:line="320" w:lineRule="exact"/>
              <w:jc w:val="both"/>
              <w:rPr>
                <w:sz w:val="24"/>
                <w:szCs w:val="24"/>
              </w:rPr>
            </w:pPr>
            <w:r>
              <w:rPr>
                <w:sz w:val="24"/>
                <w:szCs w:val="24"/>
              </w:rPr>
              <w:t>18,0</w:t>
            </w:r>
          </w:p>
        </w:tc>
      </w:tr>
      <w:tr w:rsidR="004A1FB5" w14:paraId="59594CB6" w14:textId="20D503E9" w:rsidTr="004A1FB5">
        <w:trPr>
          <w:trHeight w:val="735"/>
        </w:trPr>
        <w:tc>
          <w:tcPr>
            <w:tcW w:w="516" w:type="dxa"/>
          </w:tcPr>
          <w:p w14:paraId="436E45EF" w14:textId="7C697CEC" w:rsidR="0047000E" w:rsidRDefault="004A1FB5" w:rsidP="004A1FB5">
            <w:pPr>
              <w:spacing w:after="0" w:line="320" w:lineRule="exact"/>
              <w:jc w:val="both"/>
              <w:rPr>
                <w:sz w:val="24"/>
                <w:szCs w:val="24"/>
              </w:rPr>
            </w:pPr>
            <w:r>
              <w:rPr>
                <w:sz w:val="24"/>
                <w:szCs w:val="24"/>
              </w:rPr>
              <w:t>7.</w:t>
            </w:r>
          </w:p>
        </w:tc>
        <w:tc>
          <w:tcPr>
            <w:tcW w:w="7052" w:type="dxa"/>
          </w:tcPr>
          <w:p w14:paraId="787DABB3" w14:textId="5D7B8998" w:rsidR="0047000E" w:rsidRDefault="004A1FB5" w:rsidP="004A1FB5">
            <w:pPr>
              <w:spacing w:after="0" w:line="320" w:lineRule="exact"/>
              <w:jc w:val="both"/>
              <w:rPr>
                <w:sz w:val="24"/>
                <w:szCs w:val="24"/>
              </w:rPr>
            </w:pPr>
            <w:r>
              <w:rPr>
                <w:sz w:val="24"/>
                <w:szCs w:val="24"/>
              </w:rPr>
              <w:t>Vidaus vandentiekio vamzdynų tiesimas iš polietileninių vamzdžių, kurių skersmuo iki 50mm</w:t>
            </w:r>
          </w:p>
        </w:tc>
        <w:tc>
          <w:tcPr>
            <w:tcW w:w="600" w:type="dxa"/>
          </w:tcPr>
          <w:p w14:paraId="0830F5FB" w14:textId="675A75A4" w:rsidR="0047000E" w:rsidRDefault="004A1FB5" w:rsidP="004A1FB5">
            <w:pPr>
              <w:spacing w:after="0" w:line="320" w:lineRule="exact"/>
              <w:jc w:val="both"/>
              <w:rPr>
                <w:sz w:val="24"/>
                <w:szCs w:val="24"/>
              </w:rPr>
            </w:pPr>
            <w:r>
              <w:rPr>
                <w:sz w:val="24"/>
                <w:szCs w:val="24"/>
              </w:rPr>
              <w:t>m</w:t>
            </w:r>
          </w:p>
        </w:tc>
        <w:tc>
          <w:tcPr>
            <w:tcW w:w="1743" w:type="dxa"/>
          </w:tcPr>
          <w:p w14:paraId="2703D3EB" w14:textId="7440A6B1" w:rsidR="0047000E" w:rsidRDefault="004A1FB5" w:rsidP="004A1FB5">
            <w:pPr>
              <w:spacing w:after="0" w:line="320" w:lineRule="exact"/>
              <w:jc w:val="both"/>
              <w:rPr>
                <w:sz w:val="24"/>
                <w:szCs w:val="24"/>
              </w:rPr>
            </w:pPr>
            <w:r>
              <w:rPr>
                <w:sz w:val="24"/>
                <w:szCs w:val="24"/>
              </w:rPr>
              <w:t>78,0</w:t>
            </w:r>
          </w:p>
        </w:tc>
      </w:tr>
      <w:tr w:rsidR="004A1FB5" w14:paraId="49EC726B" w14:textId="540AD1A5" w:rsidTr="004A1FB5">
        <w:trPr>
          <w:trHeight w:val="375"/>
        </w:trPr>
        <w:tc>
          <w:tcPr>
            <w:tcW w:w="516" w:type="dxa"/>
          </w:tcPr>
          <w:p w14:paraId="2E437251" w14:textId="313D2FC9" w:rsidR="0047000E" w:rsidRDefault="004A1FB5" w:rsidP="004A1FB5">
            <w:pPr>
              <w:spacing w:after="0" w:line="320" w:lineRule="exact"/>
              <w:jc w:val="both"/>
              <w:rPr>
                <w:sz w:val="24"/>
                <w:szCs w:val="24"/>
              </w:rPr>
            </w:pPr>
            <w:r>
              <w:rPr>
                <w:sz w:val="24"/>
                <w:szCs w:val="24"/>
              </w:rPr>
              <w:t>8.</w:t>
            </w:r>
          </w:p>
        </w:tc>
        <w:tc>
          <w:tcPr>
            <w:tcW w:w="7052" w:type="dxa"/>
          </w:tcPr>
          <w:p w14:paraId="6C856AA2" w14:textId="04B576D5" w:rsidR="0047000E" w:rsidRDefault="004A1FB5" w:rsidP="004A1FB5">
            <w:pPr>
              <w:spacing w:after="0" w:line="320" w:lineRule="exact"/>
              <w:jc w:val="both"/>
              <w:rPr>
                <w:sz w:val="24"/>
                <w:szCs w:val="24"/>
              </w:rPr>
            </w:pPr>
            <w:r>
              <w:rPr>
                <w:sz w:val="24"/>
                <w:szCs w:val="24"/>
              </w:rPr>
              <w:t>Latakas iš nerūdijančio plieno 400x600 mm</w:t>
            </w:r>
          </w:p>
        </w:tc>
        <w:tc>
          <w:tcPr>
            <w:tcW w:w="600" w:type="dxa"/>
          </w:tcPr>
          <w:p w14:paraId="5558C78E" w14:textId="6A3DC63C" w:rsidR="0047000E" w:rsidRDefault="00583444" w:rsidP="004A1FB5">
            <w:pPr>
              <w:spacing w:after="0" w:line="320" w:lineRule="exact"/>
              <w:jc w:val="both"/>
              <w:rPr>
                <w:sz w:val="24"/>
                <w:szCs w:val="24"/>
              </w:rPr>
            </w:pPr>
            <w:r>
              <w:rPr>
                <w:sz w:val="24"/>
                <w:szCs w:val="24"/>
              </w:rPr>
              <w:t>Kompl.</w:t>
            </w:r>
          </w:p>
        </w:tc>
        <w:tc>
          <w:tcPr>
            <w:tcW w:w="1743" w:type="dxa"/>
          </w:tcPr>
          <w:p w14:paraId="3E19899F" w14:textId="560EEB05" w:rsidR="0047000E" w:rsidRDefault="004A1FB5" w:rsidP="004A1FB5">
            <w:pPr>
              <w:spacing w:after="0" w:line="320" w:lineRule="exact"/>
              <w:jc w:val="both"/>
              <w:rPr>
                <w:sz w:val="24"/>
                <w:szCs w:val="24"/>
              </w:rPr>
            </w:pPr>
            <w:r>
              <w:rPr>
                <w:sz w:val="24"/>
                <w:szCs w:val="24"/>
              </w:rPr>
              <w:t>1</w:t>
            </w:r>
          </w:p>
        </w:tc>
      </w:tr>
      <w:tr w:rsidR="004A1FB5" w14:paraId="0532BAE3" w14:textId="77777777" w:rsidTr="004A1FB5">
        <w:trPr>
          <w:trHeight w:val="270"/>
        </w:trPr>
        <w:tc>
          <w:tcPr>
            <w:tcW w:w="516" w:type="dxa"/>
          </w:tcPr>
          <w:p w14:paraId="019F8BDD" w14:textId="394E8A23" w:rsidR="004A1FB5" w:rsidRDefault="004A1FB5" w:rsidP="004A1FB5">
            <w:pPr>
              <w:spacing w:after="0" w:line="320" w:lineRule="exact"/>
              <w:jc w:val="both"/>
              <w:rPr>
                <w:sz w:val="24"/>
                <w:szCs w:val="24"/>
              </w:rPr>
            </w:pPr>
            <w:r>
              <w:rPr>
                <w:sz w:val="24"/>
                <w:szCs w:val="24"/>
              </w:rPr>
              <w:t xml:space="preserve">9. </w:t>
            </w:r>
          </w:p>
        </w:tc>
        <w:tc>
          <w:tcPr>
            <w:tcW w:w="7052" w:type="dxa"/>
          </w:tcPr>
          <w:p w14:paraId="60C5479E" w14:textId="10B70D79" w:rsidR="004A1FB5" w:rsidRDefault="004A1FB5" w:rsidP="004A1FB5">
            <w:pPr>
              <w:spacing w:after="0" w:line="320" w:lineRule="exact"/>
              <w:jc w:val="both"/>
              <w:rPr>
                <w:sz w:val="24"/>
                <w:szCs w:val="24"/>
              </w:rPr>
            </w:pPr>
            <w:r>
              <w:rPr>
                <w:sz w:val="24"/>
                <w:szCs w:val="24"/>
              </w:rPr>
              <w:t>Latako iš nerūdijančio plieno 400x600mm montavimas</w:t>
            </w:r>
          </w:p>
        </w:tc>
        <w:tc>
          <w:tcPr>
            <w:tcW w:w="600" w:type="dxa"/>
          </w:tcPr>
          <w:p w14:paraId="0B596A4B" w14:textId="40800D3A" w:rsidR="004A1FB5" w:rsidRDefault="00583444" w:rsidP="004A1FB5">
            <w:pPr>
              <w:spacing w:after="0" w:line="320" w:lineRule="exact"/>
              <w:jc w:val="both"/>
              <w:rPr>
                <w:sz w:val="24"/>
                <w:szCs w:val="24"/>
              </w:rPr>
            </w:pPr>
            <w:r>
              <w:rPr>
                <w:sz w:val="24"/>
                <w:szCs w:val="24"/>
              </w:rPr>
              <w:t>Kompl.</w:t>
            </w:r>
          </w:p>
        </w:tc>
        <w:tc>
          <w:tcPr>
            <w:tcW w:w="1743" w:type="dxa"/>
          </w:tcPr>
          <w:p w14:paraId="004F81C9" w14:textId="4BCD95A3" w:rsidR="004A1FB5" w:rsidRDefault="00583444" w:rsidP="004A1FB5">
            <w:pPr>
              <w:spacing w:after="0" w:line="320" w:lineRule="exact"/>
              <w:jc w:val="both"/>
              <w:rPr>
                <w:sz w:val="24"/>
                <w:szCs w:val="24"/>
              </w:rPr>
            </w:pPr>
            <w:r>
              <w:rPr>
                <w:sz w:val="24"/>
                <w:szCs w:val="24"/>
              </w:rPr>
              <w:t>1</w:t>
            </w:r>
          </w:p>
        </w:tc>
      </w:tr>
      <w:tr w:rsidR="004A1FB5" w14:paraId="6E77293C" w14:textId="7BB81535" w:rsidTr="004A1FB5">
        <w:trPr>
          <w:trHeight w:val="720"/>
        </w:trPr>
        <w:tc>
          <w:tcPr>
            <w:tcW w:w="516" w:type="dxa"/>
          </w:tcPr>
          <w:p w14:paraId="285BFC35" w14:textId="3A975EA5" w:rsidR="0047000E" w:rsidRDefault="00583444" w:rsidP="004A1FB5">
            <w:pPr>
              <w:spacing w:after="0" w:line="320" w:lineRule="exact"/>
              <w:jc w:val="both"/>
              <w:rPr>
                <w:sz w:val="24"/>
                <w:szCs w:val="24"/>
              </w:rPr>
            </w:pPr>
            <w:r>
              <w:rPr>
                <w:sz w:val="24"/>
                <w:szCs w:val="24"/>
              </w:rPr>
              <w:t>10.</w:t>
            </w:r>
          </w:p>
        </w:tc>
        <w:tc>
          <w:tcPr>
            <w:tcW w:w="7052" w:type="dxa"/>
          </w:tcPr>
          <w:p w14:paraId="6BE74A81" w14:textId="1B169573" w:rsidR="0047000E" w:rsidRDefault="00583444" w:rsidP="004A1FB5">
            <w:pPr>
              <w:spacing w:after="0" w:line="320" w:lineRule="exact"/>
              <w:jc w:val="both"/>
              <w:rPr>
                <w:sz w:val="24"/>
                <w:szCs w:val="24"/>
              </w:rPr>
            </w:pPr>
            <w:r>
              <w:rPr>
                <w:sz w:val="24"/>
                <w:szCs w:val="24"/>
              </w:rPr>
              <w:t>Movinių prietaisinių ventilių montavimas</w:t>
            </w:r>
          </w:p>
        </w:tc>
        <w:tc>
          <w:tcPr>
            <w:tcW w:w="600" w:type="dxa"/>
          </w:tcPr>
          <w:p w14:paraId="23221B1F" w14:textId="59A36D77" w:rsidR="0047000E" w:rsidRDefault="00583444" w:rsidP="004A1FB5">
            <w:pPr>
              <w:spacing w:after="0" w:line="320" w:lineRule="exact"/>
              <w:jc w:val="both"/>
              <w:rPr>
                <w:sz w:val="24"/>
                <w:szCs w:val="24"/>
              </w:rPr>
            </w:pPr>
            <w:r>
              <w:rPr>
                <w:sz w:val="24"/>
                <w:szCs w:val="24"/>
              </w:rPr>
              <w:t>Vnt.</w:t>
            </w:r>
          </w:p>
        </w:tc>
        <w:tc>
          <w:tcPr>
            <w:tcW w:w="1743" w:type="dxa"/>
          </w:tcPr>
          <w:p w14:paraId="60127A67" w14:textId="55FFA79A" w:rsidR="0047000E" w:rsidRDefault="00583444" w:rsidP="004A1FB5">
            <w:pPr>
              <w:spacing w:after="0" w:line="320" w:lineRule="exact"/>
              <w:jc w:val="both"/>
              <w:rPr>
                <w:sz w:val="24"/>
                <w:szCs w:val="24"/>
              </w:rPr>
            </w:pPr>
            <w:r>
              <w:rPr>
                <w:sz w:val="24"/>
                <w:szCs w:val="24"/>
              </w:rPr>
              <w:t>24,0</w:t>
            </w:r>
          </w:p>
        </w:tc>
      </w:tr>
    </w:tbl>
    <w:p w14:paraId="1B6835CB" w14:textId="6CE45372" w:rsidR="007151A5" w:rsidRDefault="00180D08" w:rsidP="00180D08">
      <w:pPr>
        <w:spacing w:after="0" w:line="320" w:lineRule="exact"/>
        <w:ind w:firstLine="851"/>
        <w:jc w:val="both"/>
        <w:rPr>
          <w:sz w:val="24"/>
          <w:szCs w:val="24"/>
        </w:rPr>
      </w:pPr>
      <w:r w:rsidRPr="003C1ECD">
        <w:rPr>
          <w:sz w:val="24"/>
          <w:szCs w:val="24"/>
        </w:rPr>
        <w:tab/>
      </w:r>
    </w:p>
    <w:p w14:paraId="1168D61F" w14:textId="77777777" w:rsidR="0047000E" w:rsidRDefault="0047000E" w:rsidP="0047000E">
      <w:pPr>
        <w:rPr>
          <w:sz w:val="24"/>
          <w:szCs w:val="24"/>
        </w:rPr>
      </w:pPr>
    </w:p>
    <w:p w14:paraId="3F893A2F" w14:textId="0090C73B" w:rsidR="0047000E" w:rsidRPr="00B261F1" w:rsidRDefault="0047000E" w:rsidP="0047000E">
      <w:pPr>
        <w:rPr>
          <w:rFonts w:ascii="Trebuchet MS" w:hAnsi="Trebuchet MS"/>
          <w:b/>
          <w:bCs/>
          <w:sz w:val="24"/>
          <w:szCs w:val="24"/>
        </w:rPr>
      </w:pPr>
      <w:r w:rsidRPr="00B261F1">
        <w:rPr>
          <w:rFonts w:ascii="Trebuchet MS" w:hAnsi="Trebuchet MS"/>
          <w:b/>
          <w:bCs/>
          <w:sz w:val="24"/>
          <w:szCs w:val="24"/>
        </w:rPr>
        <w:t>Kiekių žiniaraštis</w:t>
      </w:r>
    </w:p>
    <w:sectPr w:rsidR="0047000E" w:rsidRPr="00B261F1" w:rsidSect="003F52A4">
      <w:pgSz w:w="11906" w:h="16838"/>
      <w:pgMar w:top="1134" w:right="680"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2245"/>
    <w:multiLevelType w:val="hybridMultilevel"/>
    <w:tmpl w:val="31B43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19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B8"/>
    <w:rsid w:val="00003430"/>
    <w:rsid w:val="000172D3"/>
    <w:rsid w:val="00043A2F"/>
    <w:rsid w:val="000E42AF"/>
    <w:rsid w:val="00180D08"/>
    <w:rsid w:val="002A02C4"/>
    <w:rsid w:val="002B42B5"/>
    <w:rsid w:val="002C49E6"/>
    <w:rsid w:val="002E55BE"/>
    <w:rsid w:val="00331D79"/>
    <w:rsid w:val="003C1ECD"/>
    <w:rsid w:val="003F52A4"/>
    <w:rsid w:val="0047000E"/>
    <w:rsid w:val="004A1FB5"/>
    <w:rsid w:val="004B0101"/>
    <w:rsid w:val="004B79A6"/>
    <w:rsid w:val="004B7EF9"/>
    <w:rsid w:val="004F3C44"/>
    <w:rsid w:val="00583444"/>
    <w:rsid w:val="006601EE"/>
    <w:rsid w:val="0071474B"/>
    <w:rsid w:val="007151A5"/>
    <w:rsid w:val="00720BF8"/>
    <w:rsid w:val="0073607B"/>
    <w:rsid w:val="0074733F"/>
    <w:rsid w:val="00770C83"/>
    <w:rsid w:val="00801ACF"/>
    <w:rsid w:val="009847A3"/>
    <w:rsid w:val="009B4F7F"/>
    <w:rsid w:val="00A17866"/>
    <w:rsid w:val="00A67474"/>
    <w:rsid w:val="00B261F1"/>
    <w:rsid w:val="00B50C12"/>
    <w:rsid w:val="00C144B8"/>
    <w:rsid w:val="00C21546"/>
    <w:rsid w:val="00C974D6"/>
    <w:rsid w:val="00CF3440"/>
    <w:rsid w:val="00DB6EFB"/>
    <w:rsid w:val="00DD0899"/>
    <w:rsid w:val="00DD5ADC"/>
    <w:rsid w:val="00DE42FD"/>
    <w:rsid w:val="00DF3E8A"/>
    <w:rsid w:val="00F56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5C52"/>
  <w15:docId w15:val="{652AD3AA-601D-46A2-8474-191D9F0B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01"/>
    <w:pPr>
      <w:ind w:left="720"/>
      <w:contextualSpacing/>
    </w:pPr>
  </w:style>
  <w:style w:type="paragraph" w:styleId="NoSpacing">
    <w:name w:val="No Spacing"/>
    <w:uiPriority w:val="1"/>
    <w:qFormat/>
    <w:rsid w:val="00180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3838</Words>
  <Characters>2189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birzelis</dc:creator>
  <cp:lastModifiedBy>Egidijus Taliejūnas</cp:lastModifiedBy>
  <cp:revision>5</cp:revision>
  <dcterms:created xsi:type="dcterms:W3CDTF">2025-03-20T11:21:00Z</dcterms:created>
  <dcterms:modified xsi:type="dcterms:W3CDTF">2025-03-20T11:23:00Z</dcterms:modified>
</cp:coreProperties>
</file>