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678D" w14:textId="7088BB53" w:rsidR="00677178" w:rsidRPr="005074A2" w:rsidRDefault="00677178" w:rsidP="005074A2">
      <w:pPr>
        <w:tabs>
          <w:tab w:val="left" w:pos="993"/>
        </w:tabs>
        <w:spacing w:before="40" w:after="40"/>
        <w:ind w:right="96"/>
        <w:jc w:val="both"/>
        <w:rPr>
          <w:b/>
          <w:bCs/>
        </w:rPr>
      </w:pPr>
      <w:r w:rsidRPr="005074A2">
        <w:rPr>
          <w:b/>
          <w:bCs/>
        </w:rPr>
        <w:t>Tiekėjams</w:t>
      </w:r>
      <w:r w:rsidRPr="005074A2">
        <w:tab/>
      </w:r>
      <w:r w:rsidRPr="005074A2">
        <w:tab/>
      </w:r>
      <w:r w:rsidRPr="005074A2">
        <w:tab/>
      </w:r>
      <w:r w:rsidRPr="005074A2">
        <w:tab/>
      </w:r>
      <w:r w:rsidR="00671671" w:rsidRPr="005074A2">
        <w:tab/>
      </w:r>
      <w:r w:rsidR="00671671" w:rsidRPr="005074A2">
        <w:tab/>
      </w:r>
      <w:r w:rsidRPr="005074A2">
        <w:tab/>
      </w:r>
      <w:r w:rsidRPr="005074A2">
        <w:tab/>
      </w:r>
      <w:r w:rsidRPr="005074A2">
        <w:tab/>
      </w:r>
      <w:r w:rsidRPr="005074A2">
        <w:rPr>
          <w:b/>
          <w:bCs/>
        </w:rPr>
        <w:t>202</w:t>
      </w:r>
      <w:r w:rsidR="00F348B3">
        <w:rPr>
          <w:b/>
          <w:bCs/>
        </w:rPr>
        <w:t>5</w:t>
      </w:r>
      <w:r w:rsidRPr="005074A2">
        <w:rPr>
          <w:b/>
          <w:bCs/>
        </w:rPr>
        <w:t>-0</w:t>
      </w:r>
      <w:r w:rsidR="00F348B3">
        <w:rPr>
          <w:b/>
          <w:bCs/>
        </w:rPr>
        <w:t>3</w:t>
      </w:r>
      <w:r w:rsidRPr="005074A2">
        <w:rPr>
          <w:b/>
          <w:bCs/>
        </w:rPr>
        <w:t>-</w:t>
      </w:r>
      <w:r w:rsidR="00F348B3">
        <w:rPr>
          <w:b/>
          <w:bCs/>
        </w:rPr>
        <w:t>2</w:t>
      </w:r>
      <w:r w:rsidR="008F48D2">
        <w:rPr>
          <w:b/>
          <w:bCs/>
        </w:rPr>
        <w:t>4</w:t>
      </w:r>
    </w:p>
    <w:p w14:paraId="065841F3" w14:textId="77777777" w:rsidR="00677178" w:rsidRPr="005074A2" w:rsidRDefault="00677178" w:rsidP="005074A2">
      <w:pPr>
        <w:tabs>
          <w:tab w:val="left" w:pos="993"/>
        </w:tabs>
        <w:spacing w:before="40" w:after="40"/>
        <w:ind w:right="99"/>
        <w:jc w:val="both"/>
      </w:pPr>
    </w:p>
    <w:p w14:paraId="02E6C3D3" w14:textId="77777777" w:rsidR="00677178" w:rsidRPr="005074A2" w:rsidRDefault="00677178" w:rsidP="005074A2">
      <w:pPr>
        <w:tabs>
          <w:tab w:val="left" w:pos="993"/>
        </w:tabs>
        <w:spacing w:before="40" w:after="40"/>
        <w:ind w:right="99"/>
        <w:jc w:val="both"/>
      </w:pPr>
    </w:p>
    <w:p w14:paraId="69F32022" w14:textId="77777777" w:rsidR="00677178" w:rsidRPr="005074A2" w:rsidRDefault="00677178" w:rsidP="005074A2">
      <w:pPr>
        <w:tabs>
          <w:tab w:val="left" w:pos="993"/>
        </w:tabs>
        <w:spacing w:before="40" w:after="40"/>
        <w:ind w:right="99"/>
        <w:jc w:val="both"/>
        <w:rPr>
          <w:b/>
          <w:bCs/>
        </w:rPr>
      </w:pPr>
      <w:r w:rsidRPr="005074A2">
        <w:rPr>
          <w:b/>
          <w:bCs/>
        </w:rPr>
        <w:t>ATSAKYMAI Į KLAUSIMUS</w:t>
      </w:r>
    </w:p>
    <w:p w14:paraId="2F24B82F" w14:textId="77777777" w:rsidR="00677178" w:rsidRPr="005074A2" w:rsidRDefault="00677178" w:rsidP="005074A2">
      <w:pPr>
        <w:tabs>
          <w:tab w:val="left" w:pos="993"/>
        </w:tabs>
        <w:spacing w:before="40" w:after="40"/>
        <w:ind w:right="99"/>
        <w:jc w:val="both"/>
      </w:pPr>
    </w:p>
    <w:p w14:paraId="2EBAA8E9" w14:textId="027BF043" w:rsidR="00677178" w:rsidRPr="005074A2" w:rsidRDefault="00023036" w:rsidP="005074A2">
      <w:pPr>
        <w:tabs>
          <w:tab w:val="left" w:pos="993"/>
        </w:tabs>
        <w:spacing w:before="40" w:after="40"/>
        <w:ind w:right="99"/>
        <w:jc w:val="both"/>
        <w:rPr>
          <w:lang w:eastAsia="en-US"/>
        </w:rPr>
      </w:pPr>
      <w:r>
        <w:t>Akcinė Bendrovė</w:t>
      </w:r>
      <w:r w:rsidR="00677178" w:rsidRPr="005074A2">
        <w:t xml:space="preserve"> „Regitra“ (toliau – perkančioji organizacija) vykdo pirkimą „</w:t>
      </w:r>
      <w:proofErr w:type="spellStart"/>
      <w:r w:rsidR="00F348B3" w:rsidRPr="00F348B3">
        <w:rPr>
          <w:rFonts w:eastAsia="Calibri"/>
          <w:lang w:eastAsia="en-US"/>
        </w:rPr>
        <w:t>eKetris</w:t>
      </w:r>
      <w:proofErr w:type="spellEnd"/>
      <w:r w:rsidR="00F348B3" w:rsidRPr="00F348B3">
        <w:rPr>
          <w:rFonts w:eastAsia="Calibri"/>
          <w:lang w:eastAsia="en-US"/>
        </w:rPr>
        <w:t xml:space="preserve"> programinės įrangos plėtros paslaugos</w:t>
      </w:r>
      <w:r w:rsidR="00677178" w:rsidRPr="005074A2">
        <w:rPr>
          <w:rFonts w:eastAsia="Calibri"/>
          <w:lang w:eastAsia="en-US"/>
        </w:rPr>
        <w:t xml:space="preserve">“ </w:t>
      </w:r>
      <w:r w:rsidR="00677178" w:rsidRPr="005074A2">
        <w:rPr>
          <w:lang w:eastAsia="en-US"/>
        </w:rPr>
        <w:t>(pirkimo Nr.</w:t>
      </w:r>
      <w:r w:rsidR="00677178" w:rsidRPr="005074A2">
        <w:rPr>
          <w:rFonts w:eastAsiaTheme="minorHAnsi"/>
          <w:kern w:val="2"/>
          <w:lang w:eastAsia="en-US"/>
          <w14:ligatures w14:val="standardContextual"/>
        </w:rPr>
        <w:t xml:space="preserve"> </w:t>
      </w:r>
      <w:r w:rsidR="00F348B3" w:rsidRPr="00F348B3">
        <w:rPr>
          <w:rFonts w:eastAsia="Calibri"/>
          <w:lang w:eastAsia="en-US"/>
        </w:rPr>
        <w:t>1401937</w:t>
      </w:r>
      <w:r w:rsidR="00677178" w:rsidRPr="005074A2">
        <w:rPr>
          <w:rFonts w:eastAsiaTheme="minorHAnsi"/>
          <w:kern w:val="36"/>
          <w:lang w:eastAsia="en-US"/>
        </w:rPr>
        <w:t>)</w:t>
      </w:r>
      <w:r w:rsidR="00677178" w:rsidRPr="005074A2">
        <w:rPr>
          <w:lang w:eastAsia="en-US"/>
        </w:rPr>
        <w:t xml:space="preserve">. </w:t>
      </w:r>
    </w:p>
    <w:p w14:paraId="49EEB136" w14:textId="4D961D4E" w:rsidR="00677178" w:rsidRPr="005074A2" w:rsidRDefault="00677178" w:rsidP="005074A2">
      <w:pPr>
        <w:spacing w:before="40" w:after="40"/>
        <w:jc w:val="both"/>
        <w:rPr>
          <w:rFonts w:eastAsia="Calibri"/>
          <w:lang w:eastAsia="en-US"/>
        </w:rPr>
      </w:pPr>
      <w:r w:rsidRPr="005074A2">
        <w:rPr>
          <w:rFonts w:eastAsia="Calibri"/>
          <w:lang w:eastAsia="en-US"/>
        </w:rPr>
        <w:t>Perkančioji organizacija teikia atsakym</w:t>
      </w:r>
      <w:r w:rsidR="00DD0C0B">
        <w:rPr>
          <w:rFonts w:eastAsia="Calibri"/>
          <w:lang w:eastAsia="en-US"/>
        </w:rPr>
        <w:t>ą</w:t>
      </w:r>
      <w:r w:rsidRPr="005074A2">
        <w:rPr>
          <w:rFonts w:eastAsia="Calibri"/>
          <w:lang w:eastAsia="en-US"/>
        </w:rPr>
        <w:t xml:space="preserve"> į gaut</w:t>
      </w:r>
      <w:r w:rsidR="00DD0C0B">
        <w:rPr>
          <w:rFonts w:eastAsia="Calibri"/>
          <w:lang w:eastAsia="en-US"/>
        </w:rPr>
        <w:t>ą</w:t>
      </w:r>
      <w:r w:rsidRPr="005074A2">
        <w:rPr>
          <w:rFonts w:eastAsia="Calibri"/>
          <w:lang w:eastAsia="en-US"/>
        </w:rPr>
        <w:t xml:space="preserve"> klausim</w:t>
      </w:r>
      <w:r w:rsidR="00DD0C0B">
        <w:rPr>
          <w:rFonts w:eastAsia="Calibri"/>
          <w:lang w:eastAsia="en-US"/>
        </w:rPr>
        <w:t>ą</w:t>
      </w:r>
      <w:r w:rsidRPr="005074A2">
        <w:rPr>
          <w:rFonts w:eastAsia="Calibri"/>
          <w:lang w:eastAsia="en-US"/>
        </w:rPr>
        <w:t>.</w:t>
      </w:r>
    </w:p>
    <w:p w14:paraId="651131CB" w14:textId="77777777" w:rsidR="00677178" w:rsidRPr="005074A2" w:rsidRDefault="00677178" w:rsidP="005074A2">
      <w:pPr>
        <w:spacing w:before="40" w:after="40"/>
        <w:jc w:val="both"/>
        <w:rPr>
          <w:rFonts w:eastAsia="Calibri"/>
          <w:lang w:eastAsia="en-US"/>
        </w:rPr>
      </w:pPr>
    </w:p>
    <w:p w14:paraId="5FB01608" w14:textId="77777777" w:rsidR="00677178" w:rsidRPr="003C2161" w:rsidRDefault="00677178" w:rsidP="005074A2">
      <w:pPr>
        <w:shd w:val="clear" w:color="auto" w:fill="FFFFFF" w:themeFill="background1"/>
        <w:spacing w:before="40" w:after="40"/>
        <w:jc w:val="both"/>
        <w:rPr>
          <w:color w:val="333333"/>
          <w:lang w:eastAsia="en-US"/>
        </w:rPr>
      </w:pPr>
      <w:bookmarkStart w:id="0" w:name="_Hlk66687220"/>
      <w:r w:rsidRPr="003C2161">
        <w:rPr>
          <w:b/>
          <w:bCs/>
          <w:lang w:eastAsia="en-US"/>
        </w:rPr>
        <w:t xml:space="preserve">1 klausimas </w:t>
      </w:r>
      <w:r w:rsidRPr="003C2161">
        <w:rPr>
          <w:b/>
          <w:bCs/>
          <w:i/>
          <w:iCs/>
          <w:lang w:eastAsia="en-US"/>
        </w:rPr>
        <w:t>(tekstas netaisytas):</w:t>
      </w:r>
      <w:r w:rsidRPr="003C2161">
        <w:rPr>
          <w:color w:val="333333"/>
          <w:lang w:eastAsia="en-US"/>
        </w:rPr>
        <w:t xml:space="preserve"> </w:t>
      </w:r>
    </w:p>
    <w:bookmarkEnd w:id="0"/>
    <w:p w14:paraId="30C07291" w14:textId="77777777" w:rsidR="00C914BA" w:rsidRPr="00C914BA" w:rsidRDefault="00023036" w:rsidP="00C914BA">
      <w:pPr>
        <w:shd w:val="clear" w:color="auto" w:fill="FFFFFF" w:themeFill="background1"/>
        <w:spacing w:before="40" w:after="40"/>
        <w:jc w:val="both"/>
        <w:rPr>
          <w:color w:val="333333"/>
          <w:shd w:val="clear" w:color="auto" w:fill="FFFFFF"/>
        </w:rPr>
      </w:pPr>
      <w:r>
        <w:rPr>
          <w:color w:val="333333"/>
          <w:shd w:val="clear" w:color="auto" w:fill="FFFFFF"/>
        </w:rPr>
        <w:t>„</w:t>
      </w:r>
      <w:r w:rsidR="00C914BA" w:rsidRPr="00C914BA">
        <w:rPr>
          <w:color w:val="333333"/>
          <w:shd w:val="clear" w:color="auto" w:fill="FFFFFF"/>
        </w:rPr>
        <w:t>1. Asmens duomenų tvarkymo sutartis: XIII skyrius ATSAKOMYBĖ IR GINČŲ SPRENDIMAS</w:t>
      </w:r>
    </w:p>
    <w:p w14:paraId="006D90D4" w14:textId="1DB607FA" w:rsidR="00C914BA" w:rsidRPr="00C914BA" w:rsidRDefault="00C914BA" w:rsidP="00C914BA">
      <w:pPr>
        <w:shd w:val="clear" w:color="auto" w:fill="FFFFFF" w:themeFill="background1"/>
        <w:spacing w:before="40" w:after="40"/>
        <w:jc w:val="both"/>
        <w:rPr>
          <w:color w:val="333333"/>
          <w:shd w:val="clear" w:color="auto" w:fill="FFFFFF"/>
        </w:rPr>
      </w:pPr>
      <w:r w:rsidRPr="00C914BA">
        <w:rPr>
          <w:color w:val="333333"/>
          <w:shd w:val="clear" w:color="auto" w:fill="FFFFFF"/>
        </w:rPr>
        <w:t xml:space="preserve">Perkančioji organizacija Pagrindinėje sutartyje (7.11 punktas) pagal geriausią rinkos praktiką pagrįstai numato sutartinį Šalių civilinės atsakomybės apribojimą </w:t>
      </w:r>
      <w:r w:rsidR="00E1481D" w:rsidRPr="00C914BA">
        <w:rPr>
          <w:color w:val="333333"/>
          <w:shd w:val="clear" w:color="auto" w:fill="FFFFFF"/>
        </w:rPr>
        <w:t>tiesioginiais</w:t>
      </w:r>
      <w:r w:rsidRPr="00C914BA">
        <w:rPr>
          <w:color w:val="333333"/>
          <w:shd w:val="clear" w:color="auto" w:fill="FFFFFF"/>
        </w:rPr>
        <w:t xml:space="preserve"> nuostoliais ir Sutarties kaina.</w:t>
      </w:r>
    </w:p>
    <w:p w14:paraId="3F02A936" w14:textId="77777777" w:rsidR="00C914BA" w:rsidRPr="00C914BA" w:rsidRDefault="00C914BA" w:rsidP="00C914BA">
      <w:pPr>
        <w:shd w:val="clear" w:color="auto" w:fill="FFFFFF" w:themeFill="background1"/>
        <w:spacing w:before="40" w:after="40"/>
        <w:jc w:val="both"/>
        <w:rPr>
          <w:color w:val="333333"/>
          <w:shd w:val="clear" w:color="auto" w:fill="FFFFFF"/>
        </w:rPr>
      </w:pPr>
      <w:r w:rsidRPr="00C914BA">
        <w:rPr>
          <w:color w:val="333333"/>
          <w:shd w:val="clear" w:color="auto" w:fill="FFFFFF"/>
        </w:rPr>
        <w:t>Tačiau atitinkamas Duomenų tvarkytojo atsakomybės apribojimas maksimalia verte nėra numatytas Asmens duomenų tvarkymo sutartyje.</w:t>
      </w:r>
    </w:p>
    <w:p w14:paraId="152BD0D6" w14:textId="77777777" w:rsidR="00C914BA" w:rsidRPr="00C914BA" w:rsidRDefault="00C914BA" w:rsidP="00C914BA">
      <w:pPr>
        <w:shd w:val="clear" w:color="auto" w:fill="FFFFFF" w:themeFill="background1"/>
        <w:spacing w:before="40" w:after="40"/>
        <w:jc w:val="both"/>
        <w:rPr>
          <w:color w:val="333333"/>
          <w:shd w:val="clear" w:color="auto" w:fill="FFFFFF"/>
        </w:rPr>
      </w:pPr>
      <w:r w:rsidRPr="00C914BA">
        <w:rPr>
          <w:color w:val="333333"/>
          <w:shd w:val="clear" w:color="auto" w:fill="FFFFFF"/>
        </w:rPr>
        <w:t>Pažymime, kad atsakomybės apribojimas maksimalia verte turi būti taikomi ir duomenų tvarkymo santykiui (sutarčiai), nes duomenų tvarkymo santykis yra bendro sandorio dalis, jis nėra papildomai atlyginamas Teikėjui ir tokia asmens duomenų tvarkymo sutartis yra tik akcesorinė pagrindinės Sutarties atžvilgiu, ir todėl duomenų tvarkymo santykiui ir rizikoms turi būti taikomos bendros sutartinės teisinės rizikų valdymo priemonės.</w:t>
      </w:r>
    </w:p>
    <w:p w14:paraId="463146AA" w14:textId="77777777" w:rsidR="00C914BA" w:rsidRPr="00C914BA" w:rsidRDefault="00C914BA" w:rsidP="00C914BA">
      <w:pPr>
        <w:shd w:val="clear" w:color="auto" w:fill="FFFFFF" w:themeFill="background1"/>
        <w:spacing w:before="40" w:after="40"/>
        <w:jc w:val="both"/>
        <w:rPr>
          <w:color w:val="333333"/>
          <w:shd w:val="clear" w:color="auto" w:fill="FFFFFF"/>
        </w:rPr>
      </w:pPr>
      <w:r w:rsidRPr="00C914BA">
        <w:rPr>
          <w:color w:val="333333"/>
          <w:shd w:val="clear" w:color="auto" w:fill="FFFFFF"/>
        </w:rPr>
        <w:t>Atsižvelgdami į nurodytus argumentus, siūlome patikslinti komentuojamą Asmens duomenų tvarkymo sutarties 42 punktą taip (naujas tekstas paryškintas):</w:t>
      </w:r>
    </w:p>
    <w:p w14:paraId="0D5C30CB" w14:textId="60473F2B" w:rsidR="00023036" w:rsidRDefault="00C914BA" w:rsidP="00C914BA">
      <w:pPr>
        <w:shd w:val="clear" w:color="auto" w:fill="FFFFFF" w:themeFill="background1"/>
        <w:spacing w:before="40" w:after="40"/>
        <w:jc w:val="both"/>
        <w:rPr>
          <w:color w:val="333333"/>
          <w:shd w:val="clear" w:color="auto" w:fill="FFFFFF"/>
        </w:rPr>
      </w:pPr>
      <w:r w:rsidRPr="00C914BA">
        <w:rPr>
          <w:color w:val="333333"/>
          <w:shd w:val="clear" w:color="auto" w:fill="FFFFFF"/>
        </w:rPr>
        <w:t>42. Šalys įsipareigoja atlyginti viena kitai patirtus faktinius tiesioginius nuostolius, įskaitant, bet neapsiribojant tiesioginiais nuostoliais, susijusiais su valstybės institucijų paskirtomis baudomis. Šalių atsakomybė pagal šią Sutartį taip pat yra apribota maksimalia suma ir negali viršyti maksimalios Pagrindinės sutarties kainos, išskyrus atvejus, kai atsakomybės ribojimas negali būti taikomas vadovaujantis Lietuvos Respublikos civilinio kodekso 6.252 str. nuostatomis.</w:t>
      </w:r>
      <w:r w:rsidR="00CD2D8E">
        <w:rPr>
          <w:color w:val="333333"/>
          <w:shd w:val="clear" w:color="auto" w:fill="FFFFFF"/>
        </w:rPr>
        <w:t>“</w:t>
      </w:r>
    </w:p>
    <w:p w14:paraId="75DC3510" w14:textId="77777777" w:rsidR="00CD2D8E" w:rsidRDefault="00CD2D8E" w:rsidP="00C914BA">
      <w:pPr>
        <w:shd w:val="clear" w:color="auto" w:fill="FFFFFF" w:themeFill="background1"/>
        <w:spacing w:before="40" w:after="40"/>
        <w:jc w:val="both"/>
        <w:rPr>
          <w:color w:val="333333"/>
          <w:shd w:val="clear" w:color="auto" w:fill="FFFFFF"/>
        </w:rPr>
      </w:pPr>
    </w:p>
    <w:p w14:paraId="70B7752D" w14:textId="6877167F" w:rsidR="00CD2D8E" w:rsidRDefault="00085C6E" w:rsidP="00C914BA">
      <w:pPr>
        <w:shd w:val="clear" w:color="auto" w:fill="FFFFFF" w:themeFill="background1"/>
        <w:spacing w:before="40" w:after="40"/>
        <w:jc w:val="both"/>
        <w:rPr>
          <w:color w:val="333333"/>
          <w:shd w:val="clear" w:color="auto" w:fill="FFFFFF"/>
        </w:rPr>
      </w:pPr>
      <w:r>
        <w:rPr>
          <w:b/>
          <w:bCs/>
          <w:color w:val="333333"/>
          <w:shd w:val="clear" w:color="auto" w:fill="FFFFFF"/>
        </w:rPr>
        <w:t>A</w:t>
      </w:r>
      <w:r w:rsidR="00CD2D8E" w:rsidRPr="00CD2D8E">
        <w:rPr>
          <w:b/>
          <w:bCs/>
          <w:color w:val="333333"/>
          <w:shd w:val="clear" w:color="auto" w:fill="FFFFFF"/>
        </w:rPr>
        <w:t>tsakymas:</w:t>
      </w:r>
    </w:p>
    <w:p w14:paraId="3DA772C3" w14:textId="6AF4D34C" w:rsidR="00C914BA" w:rsidRDefault="00271948" w:rsidP="00C914BA">
      <w:pPr>
        <w:shd w:val="clear" w:color="auto" w:fill="FFFFFF" w:themeFill="background1"/>
        <w:spacing w:before="40" w:after="40"/>
        <w:jc w:val="both"/>
        <w:rPr>
          <w:color w:val="333333"/>
          <w:shd w:val="clear" w:color="auto" w:fill="FFFFFF"/>
        </w:rPr>
      </w:pPr>
      <w:r w:rsidRPr="00271948">
        <w:rPr>
          <w:color w:val="333333"/>
          <w:shd w:val="clear" w:color="auto" w:fill="FFFFFF"/>
        </w:rPr>
        <w:t>Perkančioji organizacija neatsižvelgia į tiekėjo pateiktą prašymą. Atkreiptinas dėmesys, kad Pagrindinės sutarties projekto 7.11 punkte yra numatyta išlyga dėl atsakomybės ribojimo netaikymo esant asmens duomenų apsaugą reglamentuojančių teisės aktų pažeidimui. Tai grindžiama poreikiu užtikrinti, kad duomenų tvarkytojas laikytųsi sutartyje su duomenų valdytoju jam nustatytų asmens duomenų tvarkymo pareigų, duomenų valdytojo nurodymų ir Bendrajame duomenų apsaugos reglamente tiesiogiai duomenų tvarkytojui taikomų reikalavimų, o duomenų valdytojas, pasitelkdamas duomenų tvarkytoją ir suteikdamas prieigą prie didelės apimties duomenų subjektų asmens duomenų, galėtų užtikrinti tinkamą šių asmens duomenų apsaugą. Taip pat atkreiptinas dėmesys, kad tam tikros su šalių atsakomybe susijusios nuostatos išplaukia iš Bendrojo duomenų apsaugos reglamento. Pavyzdžiui, Bendrojo duomenų apsaugos reglamento 82 straipsnyje numatyta, kad tame pačiame duomenų tvarkymo procese dalyvaujant duomenų valdytojui ir duomenų tvarkytojui ir kai jie pagal 2 ir 3 dalis yra atsakingi už bet kokią dėl tokio tvarkymo sukeltą žalą, laikoma, kad kiekvienas duomenų valdytojas arba duomenų tvarkytojas yra atsakingi už visą žalą, kad būtų užtikrinta veiksminga kompensacija duomenų subjektui. Kai duomenų valdytojas arba duomenų tvarkytojas pagal 4 dalį sumokėjo visą kompensaciją už patirtą žalą, tas duomenų valdytojas arba duomenų tvarkytojas turi teisę reikalauti iš kitų tame pačiame duomenų tvarkymo procese dalyvavusių duomenų valdytojų arba duomenų tvarkytojų, kad jie sugrąžintų jam kompensacijos dalį, atitinkančią jų atsakomybės dalį, laikantis 2 dalyje išdėstytų sąlygų.</w:t>
      </w:r>
    </w:p>
    <w:p w14:paraId="5DD098A7" w14:textId="77777777" w:rsidR="00CD2D8E" w:rsidRDefault="00CD2D8E" w:rsidP="00C914BA">
      <w:pPr>
        <w:shd w:val="clear" w:color="auto" w:fill="FFFFFF" w:themeFill="background1"/>
        <w:spacing w:before="40" w:after="40"/>
        <w:jc w:val="both"/>
        <w:rPr>
          <w:color w:val="333333"/>
          <w:shd w:val="clear" w:color="auto" w:fill="FFFFFF"/>
        </w:rPr>
      </w:pPr>
    </w:p>
    <w:p w14:paraId="2C86393A" w14:textId="3F2C69B6" w:rsidR="00C914BA" w:rsidRPr="003C2161" w:rsidRDefault="00C914BA" w:rsidP="00C914BA">
      <w:pPr>
        <w:shd w:val="clear" w:color="auto" w:fill="FFFFFF" w:themeFill="background1"/>
        <w:spacing w:before="40" w:after="40"/>
        <w:jc w:val="both"/>
        <w:rPr>
          <w:color w:val="333333"/>
          <w:lang w:eastAsia="en-US"/>
        </w:rPr>
      </w:pPr>
      <w:r>
        <w:rPr>
          <w:b/>
          <w:bCs/>
          <w:lang w:eastAsia="en-US"/>
        </w:rPr>
        <w:t>2</w:t>
      </w:r>
      <w:r w:rsidRPr="003C2161">
        <w:rPr>
          <w:b/>
          <w:bCs/>
          <w:lang w:eastAsia="en-US"/>
        </w:rPr>
        <w:t xml:space="preserve"> klausimas </w:t>
      </w:r>
      <w:r w:rsidRPr="003C2161">
        <w:rPr>
          <w:b/>
          <w:bCs/>
          <w:i/>
          <w:iCs/>
          <w:lang w:eastAsia="en-US"/>
        </w:rPr>
        <w:t>(tekstas netaisytas):</w:t>
      </w:r>
      <w:r w:rsidRPr="003C2161">
        <w:rPr>
          <w:color w:val="333333"/>
          <w:lang w:eastAsia="en-US"/>
        </w:rPr>
        <w:t xml:space="preserve"> </w:t>
      </w:r>
    </w:p>
    <w:p w14:paraId="2841BA36" w14:textId="2FA7BCFE" w:rsidR="00DA3921" w:rsidRPr="00DA3921" w:rsidRDefault="00CD2D8E" w:rsidP="00DA3921">
      <w:pPr>
        <w:shd w:val="clear" w:color="auto" w:fill="FFFFFF" w:themeFill="background1"/>
        <w:spacing w:before="40" w:after="40"/>
        <w:jc w:val="both"/>
        <w:rPr>
          <w:color w:val="333333"/>
          <w:shd w:val="clear" w:color="auto" w:fill="FFFFFF"/>
        </w:rPr>
      </w:pPr>
      <w:r>
        <w:rPr>
          <w:color w:val="333333"/>
          <w:shd w:val="clear" w:color="auto" w:fill="FFFFFF"/>
        </w:rPr>
        <w:t>„</w:t>
      </w:r>
      <w:r w:rsidR="00DA3921" w:rsidRPr="00DA3921">
        <w:rPr>
          <w:color w:val="333333"/>
          <w:shd w:val="clear" w:color="auto" w:fill="FFFFFF"/>
        </w:rPr>
        <w:t>Techninė specifikacija: 4.4.1.2 punktas</w:t>
      </w:r>
    </w:p>
    <w:p w14:paraId="70680AFB" w14:textId="77777777" w:rsidR="00DA3921" w:rsidRPr="00DA3921" w:rsidRDefault="00DA3921" w:rsidP="00DA3921">
      <w:pPr>
        <w:shd w:val="clear" w:color="auto" w:fill="FFFFFF" w:themeFill="background1"/>
        <w:spacing w:before="40" w:after="40"/>
        <w:jc w:val="both"/>
        <w:rPr>
          <w:color w:val="333333"/>
          <w:shd w:val="clear" w:color="auto" w:fill="FFFFFF"/>
        </w:rPr>
      </w:pPr>
      <w:r w:rsidRPr="00DA3921">
        <w:rPr>
          <w:color w:val="333333"/>
          <w:shd w:val="clear" w:color="auto" w:fill="FFFFFF"/>
        </w:rPr>
        <w:t>Komentuojama TS sąlyga numato, kad Užsakymo įvertinimas bus atliekamas Tiekėjo sąskaita.</w:t>
      </w:r>
    </w:p>
    <w:p w14:paraId="06EA0A33" w14:textId="77777777" w:rsidR="00DA3921" w:rsidRPr="00DA3921" w:rsidRDefault="00DA3921" w:rsidP="00DA3921">
      <w:pPr>
        <w:shd w:val="clear" w:color="auto" w:fill="FFFFFF" w:themeFill="background1"/>
        <w:spacing w:before="40" w:after="40"/>
        <w:jc w:val="both"/>
        <w:rPr>
          <w:color w:val="333333"/>
          <w:shd w:val="clear" w:color="auto" w:fill="FFFFFF"/>
        </w:rPr>
      </w:pPr>
      <w:r w:rsidRPr="00DA3921">
        <w:rPr>
          <w:color w:val="333333"/>
          <w:shd w:val="clear" w:color="auto" w:fill="FFFFFF"/>
        </w:rPr>
        <w:t>Pažymime, kad kliento pateiktos užduoties įvertinimas yra intelektinė veikla, reikalaujanti atitinkamų profesionalų laiko ir pastangų (analitikų, IT architektų, programuotojų). Tokiais atvejais paslaugų teikėjas veiks kaip kliento patarėjas ir tiesiogiai dalyvaus būsimo Užsakymo pagal Sutartį sukūrime. Pagal komentuojamą TS sąlygą Tiekėjas prisiima visą ekonominę tokios veiklos riziką, t. y. tuo atveju, jei Užsakovas savo nuožiūra nuspręs neteikti atitinkamo Užsakymo, Tiekėjo skirtas laikas ir pastangos bus nuostolis jam.</w:t>
      </w:r>
    </w:p>
    <w:p w14:paraId="22267B3D" w14:textId="77777777" w:rsidR="00DA3921" w:rsidRPr="00DA3921" w:rsidRDefault="00DA3921" w:rsidP="00DA3921">
      <w:pPr>
        <w:shd w:val="clear" w:color="auto" w:fill="FFFFFF" w:themeFill="background1"/>
        <w:spacing w:before="40" w:after="40"/>
        <w:jc w:val="both"/>
        <w:rPr>
          <w:color w:val="333333"/>
          <w:shd w:val="clear" w:color="auto" w:fill="FFFFFF"/>
        </w:rPr>
      </w:pPr>
      <w:r w:rsidRPr="00DA3921">
        <w:rPr>
          <w:color w:val="333333"/>
          <w:shd w:val="clear" w:color="auto" w:fill="FFFFFF"/>
        </w:rPr>
        <w:t>Pagal mums žinomą viešųjų pirkimų rinkos praktiką analogiškais atvejais Tiekėjo atliekamas įvertinimas yra atlyginama veikla pagal Sutartį, numatant tam tikrus saugiklius, užtikrinančius abiejų Šalių interesų apsaugą.</w:t>
      </w:r>
    </w:p>
    <w:p w14:paraId="6F51982B" w14:textId="094A3C48" w:rsidR="00C914BA" w:rsidRDefault="00DA3921" w:rsidP="00DA3921">
      <w:pPr>
        <w:shd w:val="clear" w:color="auto" w:fill="FFFFFF" w:themeFill="background1"/>
        <w:spacing w:before="40" w:after="40"/>
        <w:jc w:val="both"/>
        <w:rPr>
          <w:color w:val="333333"/>
          <w:shd w:val="clear" w:color="auto" w:fill="FFFFFF"/>
        </w:rPr>
      </w:pPr>
      <w:r w:rsidRPr="00DA3921">
        <w:rPr>
          <w:color w:val="333333"/>
          <w:shd w:val="clear" w:color="auto" w:fill="FFFFFF"/>
        </w:rPr>
        <w:t>Atsižvelgdami į nurodytus argumentus, siūlome numatyti, kad Tiekėjo atliekamas Užsakymo įvertinimas yra apmokama pagal Sutarties įkainį veikla, su sąlyga, kad įvertinimo dalis parengto Užsakymo sąmatoje neviršija 30 proc. bendros Užsakymo sąmatos (kainos).</w:t>
      </w:r>
      <w:r w:rsidR="00CD2D8E">
        <w:rPr>
          <w:color w:val="333333"/>
          <w:shd w:val="clear" w:color="auto" w:fill="FFFFFF"/>
        </w:rPr>
        <w:t>“</w:t>
      </w:r>
    </w:p>
    <w:p w14:paraId="63D9B7D3" w14:textId="77777777" w:rsidR="00C914BA" w:rsidRPr="00023036" w:rsidRDefault="00C914BA" w:rsidP="00C914BA">
      <w:pPr>
        <w:shd w:val="clear" w:color="auto" w:fill="FFFFFF" w:themeFill="background1"/>
        <w:spacing w:before="40" w:after="40"/>
        <w:jc w:val="both"/>
        <w:rPr>
          <w:color w:val="333333"/>
          <w:shd w:val="clear" w:color="auto" w:fill="FFFFFF"/>
        </w:rPr>
      </w:pPr>
    </w:p>
    <w:p w14:paraId="115CE99F" w14:textId="54B549C3" w:rsidR="00677178" w:rsidRPr="003C2161" w:rsidRDefault="00A06862" w:rsidP="00023036">
      <w:pPr>
        <w:shd w:val="clear" w:color="auto" w:fill="FFFFFF" w:themeFill="background1"/>
        <w:spacing w:before="40" w:after="40"/>
        <w:jc w:val="both"/>
        <w:rPr>
          <w:color w:val="333333"/>
        </w:rPr>
      </w:pPr>
      <w:r>
        <w:rPr>
          <w:b/>
          <w:bCs/>
          <w:color w:val="333333"/>
          <w:shd w:val="clear" w:color="auto" w:fill="FFFFFF"/>
        </w:rPr>
        <w:t>A</w:t>
      </w:r>
      <w:r w:rsidR="00677178" w:rsidRPr="003C2161">
        <w:rPr>
          <w:b/>
          <w:bCs/>
          <w:color w:val="333333"/>
        </w:rPr>
        <w:t>tsakymas</w:t>
      </w:r>
      <w:r w:rsidR="00677178" w:rsidRPr="003C2161">
        <w:rPr>
          <w:b/>
          <w:bCs/>
          <w:color w:val="333333"/>
          <w:kern w:val="2"/>
          <w14:ligatures w14:val="standardContextual"/>
        </w:rPr>
        <w:t>:</w:t>
      </w:r>
      <w:r w:rsidR="00677178" w:rsidRPr="003C2161">
        <w:rPr>
          <w:color w:val="333333"/>
        </w:rPr>
        <w:t xml:space="preserve"> </w:t>
      </w:r>
    </w:p>
    <w:p w14:paraId="005871B0" w14:textId="530BD70E" w:rsidR="003A0871" w:rsidRDefault="321C0340" w:rsidP="005074A2">
      <w:pPr>
        <w:shd w:val="clear" w:color="auto" w:fill="FFFFFF" w:themeFill="background1"/>
        <w:spacing w:before="40" w:after="40"/>
        <w:jc w:val="both"/>
      </w:pPr>
      <w:r>
        <w:t>Perkančioji organizacija neatsižvelgia į Tiekėjo prašymą. Tiekėjo siūloma užsakymų įvertinimo apmokėjimo tvarka sudaro prielaidas piktnaudžiauti, pateikiant plėtros darbų pasiūlymus su pernelyg didele kaina. Perkančioji organizacija nesutikus su pasiūlymu, ji turėtų sumokėti iki 30 proc. pateikto pasiūlymo vertės.</w:t>
      </w:r>
    </w:p>
    <w:p w14:paraId="0635D4C5" w14:textId="77777777" w:rsidR="00FD12AC" w:rsidRDefault="00FD12AC" w:rsidP="005074A2">
      <w:pPr>
        <w:shd w:val="clear" w:color="auto" w:fill="FFFFFF" w:themeFill="background1"/>
        <w:spacing w:before="40" w:after="40"/>
        <w:jc w:val="both"/>
      </w:pPr>
    </w:p>
    <w:p w14:paraId="7EF7F489" w14:textId="0A943B03" w:rsidR="003A0871" w:rsidRPr="003C2161" w:rsidRDefault="003A0871" w:rsidP="003A0871">
      <w:pPr>
        <w:shd w:val="clear" w:color="auto" w:fill="FFFFFF" w:themeFill="background1"/>
        <w:spacing w:before="40" w:after="40"/>
        <w:jc w:val="both"/>
        <w:rPr>
          <w:color w:val="333333"/>
          <w:lang w:eastAsia="en-US"/>
        </w:rPr>
      </w:pPr>
      <w:r>
        <w:rPr>
          <w:b/>
          <w:bCs/>
          <w:lang w:eastAsia="en-US"/>
        </w:rPr>
        <w:t>3</w:t>
      </w:r>
      <w:r w:rsidRPr="003C2161">
        <w:rPr>
          <w:b/>
          <w:bCs/>
          <w:lang w:eastAsia="en-US"/>
        </w:rPr>
        <w:t xml:space="preserve"> klausimas </w:t>
      </w:r>
      <w:r w:rsidRPr="003C2161">
        <w:rPr>
          <w:b/>
          <w:bCs/>
          <w:i/>
          <w:iCs/>
          <w:lang w:eastAsia="en-US"/>
        </w:rPr>
        <w:t>(tekstas netaisytas):</w:t>
      </w:r>
      <w:r w:rsidRPr="003C2161">
        <w:rPr>
          <w:color w:val="333333"/>
          <w:lang w:eastAsia="en-US"/>
        </w:rPr>
        <w:t xml:space="preserve"> </w:t>
      </w:r>
    </w:p>
    <w:p w14:paraId="1DE29E6E" w14:textId="3DC22CED" w:rsidR="003A0871" w:rsidRPr="00023036" w:rsidRDefault="007F7F50" w:rsidP="003A0871">
      <w:pPr>
        <w:shd w:val="clear" w:color="auto" w:fill="FFFFFF" w:themeFill="background1"/>
        <w:spacing w:before="40" w:after="40"/>
        <w:jc w:val="both"/>
        <w:rPr>
          <w:color w:val="333333"/>
          <w:shd w:val="clear" w:color="auto" w:fill="FFFFFF"/>
        </w:rPr>
      </w:pPr>
      <w:r>
        <w:rPr>
          <w:color w:val="333333"/>
          <w:shd w:val="clear" w:color="auto" w:fill="FFFFFF"/>
        </w:rPr>
        <w:t>„&lt;..&gt;</w:t>
      </w:r>
      <w:r w:rsidR="003A0871" w:rsidRPr="00023036">
        <w:rPr>
          <w:color w:val="333333"/>
          <w:shd w:val="clear" w:color="auto" w:fill="FFFFFF"/>
        </w:rPr>
        <w:t xml:space="preserve"> dėl kvalifikacinių reikalavimų 3.17.4. punkto.</w:t>
      </w:r>
    </w:p>
    <w:p w14:paraId="70AA8257" w14:textId="77777777" w:rsidR="003A0871" w:rsidRDefault="003A0871" w:rsidP="003A0871">
      <w:pPr>
        <w:shd w:val="clear" w:color="auto" w:fill="FFFFFF" w:themeFill="background1"/>
        <w:spacing w:before="40" w:after="40"/>
        <w:jc w:val="both"/>
        <w:rPr>
          <w:color w:val="333333"/>
          <w:shd w:val="clear" w:color="auto" w:fill="FFFFFF"/>
        </w:rPr>
      </w:pPr>
      <w:r w:rsidRPr="00023036">
        <w:rPr>
          <w:color w:val="333333"/>
          <w:shd w:val="clear" w:color="auto" w:fill="FFFFFF"/>
        </w:rPr>
        <w:t xml:space="preserve">Ar dalyvavimui pirkime būtų tinkamas ir lygiavertis Microsoft </w:t>
      </w:r>
      <w:proofErr w:type="spellStart"/>
      <w:r w:rsidRPr="00023036">
        <w:rPr>
          <w:color w:val="333333"/>
          <w:shd w:val="clear" w:color="auto" w:fill="FFFFFF"/>
        </w:rPr>
        <w:t>Azure</w:t>
      </w:r>
      <w:proofErr w:type="spellEnd"/>
      <w:r w:rsidRPr="00023036">
        <w:rPr>
          <w:color w:val="333333"/>
          <w:shd w:val="clear" w:color="auto" w:fill="FFFFFF"/>
        </w:rPr>
        <w:t xml:space="preserve"> Data Fundamentals duomenų bazių programuotojo sertifikatas?</w:t>
      </w:r>
      <w:r>
        <w:rPr>
          <w:color w:val="333333"/>
          <w:shd w:val="clear" w:color="auto" w:fill="FFFFFF"/>
        </w:rPr>
        <w:t>“</w:t>
      </w:r>
    </w:p>
    <w:p w14:paraId="58573BB7" w14:textId="77777777" w:rsidR="003A0871" w:rsidRPr="00023036" w:rsidRDefault="003A0871" w:rsidP="003A0871">
      <w:pPr>
        <w:shd w:val="clear" w:color="auto" w:fill="FFFFFF" w:themeFill="background1"/>
        <w:spacing w:before="40" w:after="40"/>
        <w:jc w:val="both"/>
        <w:rPr>
          <w:color w:val="333333"/>
          <w:shd w:val="clear" w:color="auto" w:fill="FFFFFF"/>
        </w:rPr>
      </w:pPr>
    </w:p>
    <w:p w14:paraId="259ABBEA" w14:textId="3F21787F" w:rsidR="003A0871" w:rsidRPr="003C2161" w:rsidRDefault="00674741" w:rsidP="003A0871">
      <w:pPr>
        <w:shd w:val="clear" w:color="auto" w:fill="FFFFFF" w:themeFill="background1"/>
        <w:spacing w:before="40" w:after="40"/>
        <w:jc w:val="both"/>
        <w:rPr>
          <w:color w:val="333333"/>
        </w:rPr>
      </w:pPr>
      <w:r>
        <w:rPr>
          <w:b/>
          <w:bCs/>
          <w:color w:val="333333"/>
          <w:shd w:val="clear" w:color="auto" w:fill="FFFFFF"/>
        </w:rPr>
        <w:t>A</w:t>
      </w:r>
      <w:r w:rsidR="003A0871" w:rsidRPr="003C2161">
        <w:rPr>
          <w:b/>
          <w:bCs/>
          <w:color w:val="333333"/>
        </w:rPr>
        <w:t>tsakymas</w:t>
      </w:r>
      <w:r w:rsidR="003A0871" w:rsidRPr="003C2161">
        <w:rPr>
          <w:b/>
          <w:bCs/>
          <w:color w:val="333333"/>
          <w:kern w:val="2"/>
          <w14:ligatures w14:val="standardContextual"/>
        </w:rPr>
        <w:t>:</w:t>
      </w:r>
      <w:r w:rsidR="003A0871" w:rsidRPr="003C2161">
        <w:rPr>
          <w:color w:val="333333"/>
        </w:rPr>
        <w:t xml:space="preserve"> </w:t>
      </w:r>
    </w:p>
    <w:p w14:paraId="3C27D115" w14:textId="02187A34" w:rsidR="003A0871" w:rsidRPr="00A62698" w:rsidRDefault="003A0871" w:rsidP="003A0871">
      <w:pPr>
        <w:shd w:val="clear" w:color="auto" w:fill="FFFFFF" w:themeFill="background1"/>
        <w:spacing w:before="40" w:after="40"/>
        <w:jc w:val="both"/>
      </w:pPr>
      <w:r w:rsidRPr="00A62698">
        <w:t xml:space="preserve">Microsoft </w:t>
      </w:r>
      <w:proofErr w:type="spellStart"/>
      <w:r w:rsidRPr="00A62698">
        <w:t>Azure</w:t>
      </w:r>
      <w:proofErr w:type="spellEnd"/>
      <w:r w:rsidRPr="00A62698">
        <w:t xml:space="preserve"> Data Fundamentals sertifikatas nėra lygiavertis </w:t>
      </w:r>
      <w:proofErr w:type="spellStart"/>
      <w:r w:rsidRPr="00A62698">
        <w:t>Oracle</w:t>
      </w:r>
      <w:proofErr w:type="spellEnd"/>
      <w:r w:rsidRPr="00A62698">
        <w:t xml:space="preserve"> </w:t>
      </w:r>
      <w:proofErr w:type="spellStart"/>
      <w:r w:rsidRPr="00A62698">
        <w:t>Advanced</w:t>
      </w:r>
      <w:proofErr w:type="spellEnd"/>
      <w:r w:rsidRPr="00A62698">
        <w:t xml:space="preserve"> PL/SQL </w:t>
      </w:r>
      <w:proofErr w:type="spellStart"/>
      <w:r w:rsidRPr="00A62698">
        <w:t>Developer</w:t>
      </w:r>
      <w:proofErr w:type="spellEnd"/>
      <w:r w:rsidRPr="00A62698">
        <w:t xml:space="preserve"> </w:t>
      </w:r>
      <w:proofErr w:type="spellStart"/>
      <w:r w:rsidRPr="00A62698">
        <w:t>Certified</w:t>
      </w:r>
      <w:proofErr w:type="spellEnd"/>
      <w:r w:rsidRPr="00A62698">
        <w:t xml:space="preserve"> Professional ar </w:t>
      </w:r>
      <w:proofErr w:type="spellStart"/>
      <w:r w:rsidRPr="00A62698">
        <w:t>Oracle</w:t>
      </w:r>
      <w:proofErr w:type="spellEnd"/>
      <w:r w:rsidRPr="00A62698">
        <w:t xml:space="preserve"> </w:t>
      </w:r>
      <w:proofErr w:type="spellStart"/>
      <w:r w:rsidRPr="00A62698">
        <w:t>Application</w:t>
      </w:r>
      <w:proofErr w:type="spellEnd"/>
      <w:r w:rsidRPr="00A62698">
        <w:t xml:space="preserve"> Express </w:t>
      </w:r>
      <w:proofErr w:type="spellStart"/>
      <w:r w:rsidRPr="00A62698">
        <w:t>Developer</w:t>
      </w:r>
      <w:proofErr w:type="spellEnd"/>
      <w:r w:rsidRPr="00A62698">
        <w:t xml:space="preserve"> </w:t>
      </w:r>
      <w:proofErr w:type="spellStart"/>
      <w:r w:rsidRPr="00A62698">
        <w:t>Certified</w:t>
      </w:r>
      <w:proofErr w:type="spellEnd"/>
      <w:r w:rsidRPr="00A62698">
        <w:t xml:space="preserve"> </w:t>
      </w:r>
      <w:proofErr w:type="spellStart"/>
      <w:r w:rsidRPr="00A62698">
        <w:t>Expert</w:t>
      </w:r>
      <w:proofErr w:type="spellEnd"/>
      <w:r w:rsidRPr="00A62698">
        <w:t xml:space="preserve"> sertifikatams.</w:t>
      </w:r>
      <w:r>
        <w:t xml:space="preserve"> </w:t>
      </w:r>
      <w:proofErr w:type="spellStart"/>
      <w:r w:rsidRPr="00A62698">
        <w:t>Oracle</w:t>
      </w:r>
      <w:proofErr w:type="spellEnd"/>
      <w:r w:rsidRPr="00A62698">
        <w:t xml:space="preserve"> sertifikatai yra aukštesnio lygio, reikalauja aukštesnio lygio kompetencijų ir praktinės patirties su </w:t>
      </w:r>
      <w:proofErr w:type="spellStart"/>
      <w:r w:rsidRPr="00A62698">
        <w:t>Oracle</w:t>
      </w:r>
      <w:proofErr w:type="spellEnd"/>
      <w:r w:rsidRPr="00A62698">
        <w:t xml:space="preserve"> technologijomis, kurios ir naudojamos kuriant mūsų Sistemą.</w:t>
      </w:r>
      <w:r>
        <w:t xml:space="preserve"> </w:t>
      </w:r>
      <w:r w:rsidRPr="00A62698">
        <w:t xml:space="preserve">Microsoft </w:t>
      </w:r>
      <w:proofErr w:type="spellStart"/>
      <w:r w:rsidRPr="00A62698">
        <w:t>Azure</w:t>
      </w:r>
      <w:proofErr w:type="spellEnd"/>
      <w:r w:rsidRPr="00A62698">
        <w:t xml:space="preserve"> Data Fundamentals sertifikatas užtikrina, kad specialistas turi pagrindines žinias tik Microsoft </w:t>
      </w:r>
      <w:proofErr w:type="spellStart"/>
      <w:r w:rsidRPr="00A62698">
        <w:t>Azure</w:t>
      </w:r>
      <w:proofErr w:type="spellEnd"/>
      <w:r w:rsidRPr="00A62698">
        <w:t xml:space="preserve"> platformoje.</w:t>
      </w:r>
      <w:r>
        <w:t xml:space="preserve"> </w:t>
      </w:r>
      <w:proofErr w:type="spellStart"/>
      <w:r w:rsidRPr="00A62698">
        <w:t>Oracle</w:t>
      </w:r>
      <w:proofErr w:type="spellEnd"/>
      <w:r w:rsidRPr="00A62698">
        <w:t xml:space="preserve"> </w:t>
      </w:r>
      <w:proofErr w:type="spellStart"/>
      <w:r w:rsidRPr="00A62698">
        <w:t>Advanced</w:t>
      </w:r>
      <w:proofErr w:type="spellEnd"/>
      <w:r w:rsidRPr="00A62698">
        <w:t xml:space="preserve"> PL/SQL </w:t>
      </w:r>
      <w:proofErr w:type="spellStart"/>
      <w:r w:rsidRPr="00A62698">
        <w:t>Developer</w:t>
      </w:r>
      <w:proofErr w:type="spellEnd"/>
      <w:r w:rsidRPr="00A62698">
        <w:t xml:space="preserve"> </w:t>
      </w:r>
      <w:proofErr w:type="spellStart"/>
      <w:r w:rsidRPr="00A62698">
        <w:t>Certified</w:t>
      </w:r>
      <w:proofErr w:type="spellEnd"/>
      <w:r w:rsidRPr="00A62698">
        <w:t xml:space="preserve"> Professional sertifikatas orientuotas į pažangius PL/SQL programavimo aspektus.</w:t>
      </w:r>
      <w:r>
        <w:t xml:space="preserve"> </w:t>
      </w:r>
      <w:proofErr w:type="spellStart"/>
      <w:r w:rsidRPr="00A62698">
        <w:t>Oracle</w:t>
      </w:r>
      <w:proofErr w:type="spellEnd"/>
      <w:r w:rsidRPr="00A62698">
        <w:t xml:space="preserve"> </w:t>
      </w:r>
      <w:proofErr w:type="spellStart"/>
      <w:r w:rsidRPr="00A62698">
        <w:t>Application</w:t>
      </w:r>
      <w:proofErr w:type="spellEnd"/>
      <w:r w:rsidRPr="00A62698">
        <w:t xml:space="preserve"> Express </w:t>
      </w:r>
      <w:proofErr w:type="spellStart"/>
      <w:r w:rsidRPr="00A62698">
        <w:t>Developer</w:t>
      </w:r>
      <w:proofErr w:type="spellEnd"/>
      <w:r w:rsidRPr="00A62698">
        <w:t xml:space="preserve"> </w:t>
      </w:r>
      <w:proofErr w:type="spellStart"/>
      <w:r w:rsidRPr="00A62698">
        <w:t>Certified</w:t>
      </w:r>
      <w:proofErr w:type="spellEnd"/>
      <w:r w:rsidRPr="00A62698">
        <w:t xml:space="preserve"> </w:t>
      </w:r>
      <w:proofErr w:type="spellStart"/>
      <w:r w:rsidRPr="00A62698">
        <w:t>Expert</w:t>
      </w:r>
      <w:proofErr w:type="spellEnd"/>
      <w:r w:rsidRPr="00A62698">
        <w:t xml:space="preserve"> sertifikatas apima </w:t>
      </w:r>
      <w:proofErr w:type="spellStart"/>
      <w:r w:rsidRPr="00A62698">
        <w:t>Oracle</w:t>
      </w:r>
      <w:proofErr w:type="spellEnd"/>
      <w:r w:rsidRPr="00A62698">
        <w:t xml:space="preserve"> </w:t>
      </w:r>
      <w:proofErr w:type="spellStart"/>
      <w:r w:rsidRPr="00A62698">
        <w:t>Application</w:t>
      </w:r>
      <w:proofErr w:type="spellEnd"/>
      <w:r w:rsidRPr="00A62698">
        <w:t xml:space="preserve"> Express (APEX) platformos naudojimą aplikacijoms kurti.</w:t>
      </w:r>
    </w:p>
    <w:p w14:paraId="5E8CDAA2" w14:textId="77777777" w:rsidR="003A0871" w:rsidRPr="00F65CEF" w:rsidRDefault="003A0871" w:rsidP="003A0871">
      <w:pPr>
        <w:shd w:val="clear" w:color="auto" w:fill="FFFFFF" w:themeFill="background1"/>
        <w:spacing w:before="40" w:after="40"/>
        <w:jc w:val="both"/>
      </w:pPr>
    </w:p>
    <w:p w14:paraId="5CAC680B" w14:textId="77777777" w:rsidR="003A0871" w:rsidRPr="00F65CEF" w:rsidRDefault="003A0871" w:rsidP="00F86CAD">
      <w:pPr>
        <w:shd w:val="clear" w:color="auto" w:fill="FFFFFF" w:themeFill="background1"/>
        <w:spacing w:before="40" w:after="40"/>
        <w:ind w:firstLine="567"/>
        <w:jc w:val="both"/>
      </w:pPr>
      <w:r w:rsidRPr="00F348B3">
        <w:t xml:space="preserve">Taip pat atkreipiame dėmesį, kad terminas klausimams teikti yra ribotas. Pirkimo sąlygų 7.1 p. numatyta, kad „Prašymai paaiškinti pirkimo dokumentus gali būti teikiami perkančiajai organizacijai ne vėliau kaip likus </w:t>
      </w:r>
      <w:r w:rsidRPr="00F348B3">
        <w:rPr>
          <w:lang w:val="en-US"/>
        </w:rPr>
        <w:t>10</w:t>
      </w:r>
      <w:r w:rsidRPr="00F348B3">
        <w:t xml:space="preserve"> dienoms iki pasiūlymų pateikimo termino pabaigos“.</w:t>
      </w:r>
    </w:p>
    <w:p w14:paraId="2603E86A" w14:textId="77777777" w:rsidR="003A0871" w:rsidRDefault="003A0871" w:rsidP="005074A2">
      <w:pPr>
        <w:shd w:val="clear" w:color="auto" w:fill="FFFFFF" w:themeFill="background1"/>
        <w:spacing w:before="40" w:after="40"/>
        <w:jc w:val="both"/>
      </w:pPr>
    </w:p>
    <w:sectPr w:rsidR="003A0871" w:rsidSect="00C12993">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BD35D"/>
    <w:multiLevelType w:val="hybridMultilevel"/>
    <w:tmpl w:val="FFFFFFFF"/>
    <w:lvl w:ilvl="0" w:tplc="EB70D708">
      <w:start w:val="1"/>
      <w:numFmt w:val="decimal"/>
      <w:lvlText w:val="%1."/>
      <w:lvlJc w:val="left"/>
      <w:pPr>
        <w:ind w:left="720" w:hanging="360"/>
      </w:pPr>
    </w:lvl>
    <w:lvl w:ilvl="1" w:tplc="E6A607FE">
      <w:start w:val="1"/>
      <w:numFmt w:val="lowerLetter"/>
      <w:lvlText w:val="%2."/>
      <w:lvlJc w:val="left"/>
      <w:pPr>
        <w:ind w:left="1440" w:hanging="360"/>
      </w:pPr>
    </w:lvl>
    <w:lvl w:ilvl="2" w:tplc="F45ACEC6">
      <w:start w:val="1"/>
      <w:numFmt w:val="decimal"/>
      <w:lvlText w:val="%3.1.1."/>
      <w:lvlJc w:val="left"/>
      <w:pPr>
        <w:ind w:left="2160" w:hanging="180"/>
      </w:pPr>
    </w:lvl>
    <w:lvl w:ilvl="3" w:tplc="0EF076F2">
      <w:start w:val="1"/>
      <w:numFmt w:val="decimal"/>
      <w:lvlText w:val="%4."/>
      <w:lvlJc w:val="left"/>
      <w:pPr>
        <w:ind w:left="2880" w:hanging="360"/>
      </w:pPr>
    </w:lvl>
    <w:lvl w:ilvl="4" w:tplc="7CC05E92">
      <w:start w:val="1"/>
      <w:numFmt w:val="lowerLetter"/>
      <w:lvlText w:val="%5."/>
      <w:lvlJc w:val="left"/>
      <w:pPr>
        <w:ind w:left="3600" w:hanging="360"/>
      </w:pPr>
    </w:lvl>
    <w:lvl w:ilvl="5" w:tplc="79229716">
      <w:start w:val="1"/>
      <w:numFmt w:val="lowerRoman"/>
      <w:lvlText w:val="%6."/>
      <w:lvlJc w:val="right"/>
      <w:pPr>
        <w:ind w:left="4320" w:hanging="180"/>
      </w:pPr>
    </w:lvl>
    <w:lvl w:ilvl="6" w:tplc="C1D83356">
      <w:start w:val="1"/>
      <w:numFmt w:val="decimal"/>
      <w:lvlText w:val="%7."/>
      <w:lvlJc w:val="left"/>
      <w:pPr>
        <w:ind w:left="5040" w:hanging="360"/>
      </w:pPr>
    </w:lvl>
    <w:lvl w:ilvl="7" w:tplc="C7520A7A">
      <w:start w:val="1"/>
      <w:numFmt w:val="lowerLetter"/>
      <w:lvlText w:val="%8."/>
      <w:lvlJc w:val="left"/>
      <w:pPr>
        <w:ind w:left="5760" w:hanging="360"/>
      </w:pPr>
    </w:lvl>
    <w:lvl w:ilvl="8" w:tplc="2F22B08A">
      <w:start w:val="1"/>
      <w:numFmt w:val="lowerRoman"/>
      <w:lvlText w:val="%9."/>
      <w:lvlJc w:val="right"/>
      <w:pPr>
        <w:ind w:left="6480" w:hanging="180"/>
      </w:pPr>
    </w:lvl>
  </w:abstractNum>
  <w:num w:numId="1" w16cid:durableId="73636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8"/>
    <w:rsid w:val="00010981"/>
    <w:rsid w:val="00013837"/>
    <w:rsid w:val="00023036"/>
    <w:rsid w:val="00025013"/>
    <w:rsid w:val="00046ADF"/>
    <w:rsid w:val="0004723A"/>
    <w:rsid w:val="00055FF4"/>
    <w:rsid w:val="000718BD"/>
    <w:rsid w:val="00085C6E"/>
    <w:rsid w:val="000E171C"/>
    <w:rsid w:val="00134129"/>
    <w:rsid w:val="001361DD"/>
    <w:rsid w:val="001533D9"/>
    <w:rsid w:val="00165F2C"/>
    <w:rsid w:val="0017093A"/>
    <w:rsid w:val="00197EDA"/>
    <w:rsid w:val="001B16EB"/>
    <w:rsid w:val="001F2864"/>
    <w:rsid w:val="00247A21"/>
    <w:rsid w:val="00250E3E"/>
    <w:rsid w:val="00254D03"/>
    <w:rsid w:val="00255823"/>
    <w:rsid w:val="002656D4"/>
    <w:rsid w:val="00271948"/>
    <w:rsid w:val="00290957"/>
    <w:rsid w:val="002A6F12"/>
    <w:rsid w:val="002A70A8"/>
    <w:rsid w:val="002B1F3B"/>
    <w:rsid w:val="002B6364"/>
    <w:rsid w:val="002C5031"/>
    <w:rsid w:val="002D1363"/>
    <w:rsid w:val="002D4738"/>
    <w:rsid w:val="002F5102"/>
    <w:rsid w:val="00303C24"/>
    <w:rsid w:val="00325ADA"/>
    <w:rsid w:val="00325DDE"/>
    <w:rsid w:val="003265CA"/>
    <w:rsid w:val="003266AC"/>
    <w:rsid w:val="00341CED"/>
    <w:rsid w:val="003523BB"/>
    <w:rsid w:val="00352BA7"/>
    <w:rsid w:val="003801C3"/>
    <w:rsid w:val="00394844"/>
    <w:rsid w:val="003A0871"/>
    <w:rsid w:val="003A4CE0"/>
    <w:rsid w:val="003B03FD"/>
    <w:rsid w:val="003B5310"/>
    <w:rsid w:val="003C2161"/>
    <w:rsid w:val="003C7090"/>
    <w:rsid w:val="003D27A7"/>
    <w:rsid w:val="003E0DEF"/>
    <w:rsid w:val="0042489F"/>
    <w:rsid w:val="00444F76"/>
    <w:rsid w:val="004466EC"/>
    <w:rsid w:val="004662E8"/>
    <w:rsid w:val="004779F9"/>
    <w:rsid w:val="004B5906"/>
    <w:rsid w:val="004B667C"/>
    <w:rsid w:val="004D28CF"/>
    <w:rsid w:val="004F0A08"/>
    <w:rsid w:val="004F2D2C"/>
    <w:rsid w:val="004F6E9F"/>
    <w:rsid w:val="00502A9D"/>
    <w:rsid w:val="005074A2"/>
    <w:rsid w:val="005432C2"/>
    <w:rsid w:val="00544E0A"/>
    <w:rsid w:val="005753E5"/>
    <w:rsid w:val="00587A6A"/>
    <w:rsid w:val="005A7F5C"/>
    <w:rsid w:val="005C5FE8"/>
    <w:rsid w:val="00612A63"/>
    <w:rsid w:val="00613FA7"/>
    <w:rsid w:val="0061509E"/>
    <w:rsid w:val="00631795"/>
    <w:rsid w:val="00640492"/>
    <w:rsid w:val="00643D17"/>
    <w:rsid w:val="00650194"/>
    <w:rsid w:val="00665983"/>
    <w:rsid w:val="00665FE1"/>
    <w:rsid w:val="00671671"/>
    <w:rsid w:val="00674741"/>
    <w:rsid w:val="00677178"/>
    <w:rsid w:val="0068019B"/>
    <w:rsid w:val="00681270"/>
    <w:rsid w:val="00681318"/>
    <w:rsid w:val="00682B3F"/>
    <w:rsid w:val="006A4F55"/>
    <w:rsid w:val="006A56AB"/>
    <w:rsid w:val="006B4E0E"/>
    <w:rsid w:val="006E0258"/>
    <w:rsid w:val="006E6223"/>
    <w:rsid w:val="006F5FA0"/>
    <w:rsid w:val="007032FE"/>
    <w:rsid w:val="00760C30"/>
    <w:rsid w:val="00762246"/>
    <w:rsid w:val="00762EDF"/>
    <w:rsid w:val="007723BB"/>
    <w:rsid w:val="007B1EC5"/>
    <w:rsid w:val="007B3CA6"/>
    <w:rsid w:val="007C0933"/>
    <w:rsid w:val="007C2C66"/>
    <w:rsid w:val="007C6EE5"/>
    <w:rsid w:val="007D2E21"/>
    <w:rsid w:val="007E0169"/>
    <w:rsid w:val="007F3EFA"/>
    <w:rsid w:val="007F7F50"/>
    <w:rsid w:val="00814A33"/>
    <w:rsid w:val="008243E4"/>
    <w:rsid w:val="008271B4"/>
    <w:rsid w:val="0082779E"/>
    <w:rsid w:val="008719C8"/>
    <w:rsid w:val="00884076"/>
    <w:rsid w:val="008A1BB5"/>
    <w:rsid w:val="008F48D2"/>
    <w:rsid w:val="008F722E"/>
    <w:rsid w:val="00902373"/>
    <w:rsid w:val="0090499C"/>
    <w:rsid w:val="009264A0"/>
    <w:rsid w:val="009352ED"/>
    <w:rsid w:val="00982937"/>
    <w:rsid w:val="0098569E"/>
    <w:rsid w:val="009B7136"/>
    <w:rsid w:val="009D6A08"/>
    <w:rsid w:val="00A02116"/>
    <w:rsid w:val="00A06862"/>
    <w:rsid w:val="00A17E0D"/>
    <w:rsid w:val="00A23F37"/>
    <w:rsid w:val="00A26AF2"/>
    <w:rsid w:val="00A31F79"/>
    <w:rsid w:val="00A44D24"/>
    <w:rsid w:val="00A51A07"/>
    <w:rsid w:val="00A83387"/>
    <w:rsid w:val="00AA52F2"/>
    <w:rsid w:val="00AC1287"/>
    <w:rsid w:val="00AD18E1"/>
    <w:rsid w:val="00B014FF"/>
    <w:rsid w:val="00B04A83"/>
    <w:rsid w:val="00B26976"/>
    <w:rsid w:val="00B35D65"/>
    <w:rsid w:val="00BA0261"/>
    <w:rsid w:val="00BA5DBF"/>
    <w:rsid w:val="00BB16E3"/>
    <w:rsid w:val="00BE7442"/>
    <w:rsid w:val="00C12993"/>
    <w:rsid w:val="00C14EA2"/>
    <w:rsid w:val="00C22696"/>
    <w:rsid w:val="00C22EE5"/>
    <w:rsid w:val="00C3022B"/>
    <w:rsid w:val="00C35033"/>
    <w:rsid w:val="00C7481D"/>
    <w:rsid w:val="00C76526"/>
    <w:rsid w:val="00C914BA"/>
    <w:rsid w:val="00C94E64"/>
    <w:rsid w:val="00CA277D"/>
    <w:rsid w:val="00CC1791"/>
    <w:rsid w:val="00CD2D8E"/>
    <w:rsid w:val="00CD35C2"/>
    <w:rsid w:val="00CD53EE"/>
    <w:rsid w:val="00CD650D"/>
    <w:rsid w:val="00CF5B1B"/>
    <w:rsid w:val="00CF73FE"/>
    <w:rsid w:val="00D03498"/>
    <w:rsid w:val="00D14E8B"/>
    <w:rsid w:val="00D35169"/>
    <w:rsid w:val="00D53FFD"/>
    <w:rsid w:val="00D56FF5"/>
    <w:rsid w:val="00D95B4C"/>
    <w:rsid w:val="00DA3921"/>
    <w:rsid w:val="00DB36F3"/>
    <w:rsid w:val="00DC2864"/>
    <w:rsid w:val="00DD0C0B"/>
    <w:rsid w:val="00DD3A1F"/>
    <w:rsid w:val="00DE0344"/>
    <w:rsid w:val="00DE6955"/>
    <w:rsid w:val="00DF0D0F"/>
    <w:rsid w:val="00E04BDA"/>
    <w:rsid w:val="00E141D9"/>
    <w:rsid w:val="00E14540"/>
    <w:rsid w:val="00E1481D"/>
    <w:rsid w:val="00E658DA"/>
    <w:rsid w:val="00E80C70"/>
    <w:rsid w:val="00E8626C"/>
    <w:rsid w:val="00EA7FC5"/>
    <w:rsid w:val="00ED3B49"/>
    <w:rsid w:val="00EF2A33"/>
    <w:rsid w:val="00F11672"/>
    <w:rsid w:val="00F348B3"/>
    <w:rsid w:val="00F61E35"/>
    <w:rsid w:val="00F65CEF"/>
    <w:rsid w:val="00F773C9"/>
    <w:rsid w:val="00F84C21"/>
    <w:rsid w:val="00F86CAD"/>
    <w:rsid w:val="00F92712"/>
    <w:rsid w:val="00F93402"/>
    <w:rsid w:val="00FA79AB"/>
    <w:rsid w:val="00FC5F2A"/>
    <w:rsid w:val="00FD12AC"/>
    <w:rsid w:val="00FE2081"/>
    <w:rsid w:val="00FE4557"/>
    <w:rsid w:val="00FF4D39"/>
    <w:rsid w:val="0D523EE2"/>
    <w:rsid w:val="10E2A589"/>
    <w:rsid w:val="187274B1"/>
    <w:rsid w:val="196B45F4"/>
    <w:rsid w:val="19C84FC0"/>
    <w:rsid w:val="1F43391D"/>
    <w:rsid w:val="20635CAE"/>
    <w:rsid w:val="321C0340"/>
    <w:rsid w:val="35F98987"/>
    <w:rsid w:val="41C43534"/>
    <w:rsid w:val="697913EC"/>
    <w:rsid w:val="71A2C56D"/>
    <w:rsid w:val="7B5C94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4F21"/>
  <w15:chartTrackingRefBased/>
  <w15:docId w15:val="{F6D3BEBC-46D0-42F0-9FDB-16325989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4BA"/>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Antrat1">
    <w:name w:val="heading 1"/>
    <w:basedOn w:val="prastasis"/>
    <w:next w:val="prastasis"/>
    <w:link w:val="Antrat1Diagrama"/>
    <w:uiPriority w:val="9"/>
    <w:qFormat/>
    <w:rsid w:val="0067717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67717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67717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67717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Antrat5">
    <w:name w:val="heading 5"/>
    <w:basedOn w:val="prastasis"/>
    <w:next w:val="prastasis"/>
    <w:link w:val="Antrat5Diagrama"/>
    <w:uiPriority w:val="9"/>
    <w:semiHidden/>
    <w:unhideWhenUsed/>
    <w:qFormat/>
    <w:rsid w:val="0067717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Antrat6">
    <w:name w:val="heading 6"/>
    <w:basedOn w:val="prastasis"/>
    <w:next w:val="prastasis"/>
    <w:link w:val="Antrat6Diagrama"/>
    <w:uiPriority w:val="9"/>
    <w:semiHidden/>
    <w:unhideWhenUsed/>
    <w:qFormat/>
    <w:rsid w:val="0067717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Antrat7">
    <w:name w:val="heading 7"/>
    <w:basedOn w:val="prastasis"/>
    <w:next w:val="prastasis"/>
    <w:link w:val="Antrat7Diagrama"/>
    <w:uiPriority w:val="9"/>
    <w:semiHidden/>
    <w:unhideWhenUsed/>
    <w:qFormat/>
    <w:rsid w:val="0067717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Antrat8">
    <w:name w:val="heading 8"/>
    <w:basedOn w:val="prastasis"/>
    <w:next w:val="prastasis"/>
    <w:link w:val="Antrat8Diagrama"/>
    <w:uiPriority w:val="9"/>
    <w:semiHidden/>
    <w:unhideWhenUsed/>
    <w:qFormat/>
    <w:rsid w:val="0067717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Antrat9">
    <w:name w:val="heading 9"/>
    <w:basedOn w:val="prastasis"/>
    <w:next w:val="prastasis"/>
    <w:link w:val="Antrat9Diagrama"/>
    <w:uiPriority w:val="9"/>
    <w:semiHidden/>
    <w:unhideWhenUsed/>
    <w:qFormat/>
    <w:rsid w:val="0067717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71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71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71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71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71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71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71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71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71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7178"/>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6771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71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6771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71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CitataDiagrama">
    <w:name w:val="Citata Diagrama"/>
    <w:basedOn w:val="Numatytasispastraiposriftas"/>
    <w:link w:val="Citata"/>
    <w:uiPriority w:val="29"/>
    <w:rsid w:val="00677178"/>
    <w:rPr>
      <w:i/>
      <w:iCs/>
      <w:color w:val="404040" w:themeColor="text1" w:themeTint="BF"/>
    </w:rPr>
  </w:style>
  <w:style w:type="paragraph" w:styleId="Sraopastraipa">
    <w:name w:val="List Paragraph"/>
    <w:basedOn w:val="prastasis"/>
    <w:uiPriority w:val="34"/>
    <w:qFormat/>
    <w:rsid w:val="00677178"/>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Rykuspabraukimas">
    <w:name w:val="Intense Emphasis"/>
    <w:basedOn w:val="Numatytasispastraiposriftas"/>
    <w:uiPriority w:val="21"/>
    <w:qFormat/>
    <w:rsid w:val="00677178"/>
    <w:rPr>
      <w:i/>
      <w:iCs/>
      <w:color w:val="2F5496" w:themeColor="accent1" w:themeShade="BF"/>
    </w:rPr>
  </w:style>
  <w:style w:type="paragraph" w:styleId="Iskirtacitata">
    <w:name w:val="Intense Quote"/>
    <w:basedOn w:val="prastasis"/>
    <w:next w:val="prastasis"/>
    <w:link w:val="IskirtacitataDiagrama"/>
    <w:uiPriority w:val="30"/>
    <w:qFormat/>
    <w:rsid w:val="0067717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skirtacitataDiagrama">
    <w:name w:val="Išskirta citata Diagrama"/>
    <w:basedOn w:val="Numatytasispastraiposriftas"/>
    <w:link w:val="Iskirtacitata"/>
    <w:uiPriority w:val="30"/>
    <w:rsid w:val="00677178"/>
    <w:rPr>
      <w:i/>
      <w:iCs/>
      <w:color w:val="2F5496" w:themeColor="accent1" w:themeShade="BF"/>
    </w:rPr>
  </w:style>
  <w:style w:type="character" w:styleId="Rykinuoroda">
    <w:name w:val="Intense Reference"/>
    <w:basedOn w:val="Numatytasispastraiposriftas"/>
    <w:uiPriority w:val="32"/>
    <w:qFormat/>
    <w:rsid w:val="00677178"/>
    <w:rPr>
      <w:b/>
      <w:bCs/>
      <w:smallCaps/>
      <w:color w:val="2F5496" w:themeColor="accent1" w:themeShade="BF"/>
      <w:spacing w:val="5"/>
    </w:rPr>
  </w:style>
  <w:style w:type="paragraph" w:styleId="prastasiniatinklio">
    <w:name w:val="Normal (Web)"/>
    <w:basedOn w:val="prastasis"/>
    <w:uiPriority w:val="99"/>
    <w:semiHidden/>
    <w:unhideWhenUsed/>
    <w:rsid w:val="00677178"/>
    <w:pPr>
      <w:spacing w:before="100" w:beforeAutospacing="1" w:after="100" w:afterAutospacing="1"/>
    </w:pPr>
    <w:rPr>
      <w:lang w:val="en-US" w:eastAsia="en-US"/>
    </w:rPr>
  </w:style>
  <w:style w:type="character" w:customStyle="1" w:styleId="normaltextrun">
    <w:name w:val="normaltextrun"/>
    <w:basedOn w:val="Numatytasispastraiposriftas"/>
    <w:rsid w:val="006F5FA0"/>
  </w:style>
  <w:style w:type="character" w:customStyle="1" w:styleId="eop">
    <w:name w:val="eop"/>
    <w:basedOn w:val="Numatytasispastraiposriftas"/>
    <w:rsid w:val="006F5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8103">
      <w:bodyDiv w:val="1"/>
      <w:marLeft w:val="0"/>
      <w:marRight w:val="0"/>
      <w:marTop w:val="0"/>
      <w:marBottom w:val="0"/>
      <w:divBdr>
        <w:top w:val="none" w:sz="0" w:space="0" w:color="auto"/>
        <w:left w:val="none" w:sz="0" w:space="0" w:color="auto"/>
        <w:bottom w:val="none" w:sz="0" w:space="0" w:color="auto"/>
        <w:right w:val="none" w:sz="0" w:space="0" w:color="auto"/>
      </w:divBdr>
    </w:div>
    <w:div w:id="597180415">
      <w:bodyDiv w:val="1"/>
      <w:marLeft w:val="0"/>
      <w:marRight w:val="0"/>
      <w:marTop w:val="0"/>
      <w:marBottom w:val="0"/>
      <w:divBdr>
        <w:top w:val="none" w:sz="0" w:space="0" w:color="auto"/>
        <w:left w:val="none" w:sz="0" w:space="0" w:color="auto"/>
        <w:bottom w:val="none" w:sz="0" w:space="0" w:color="auto"/>
        <w:right w:val="none" w:sz="0" w:space="0" w:color="auto"/>
      </w:divBdr>
    </w:div>
    <w:div w:id="109736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781F3F7A9FD641BA108D2BFC7649AA" ma:contentTypeVersion="3" ma:contentTypeDescription="Kurkite naują dokumentą." ma:contentTypeScope="" ma:versionID="e06ff22bd23a08d2fe05408ab171a61c">
  <xsd:schema xmlns:xsd="http://www.w3.org/2001/XMLSchema" xmlns:xs="http://www.w3.org/2001/XMLSchema" xmlns:p="http://schemas.microsoft.com/office/2006/metadata/properties" xmlns:ns2="b2535a6b-3add-419b-bd1a-b81a18e5bd5e" targetNamespace="http://schemas.microsoft.com/office/2006/metadata/properties" ma:root="true" ma:fieldsID="adafb4fa3a457d86f776026573f859dd" ns2:_="">
    <xsd:import namespace="b2535a6b-3add-419b-bd1a-b81a18e5bd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35a6b-3add-419b-bd1a-b81a18e5b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DE1EB-0B6C-4B9A-9F77-7088ACB16474}">
  <ds:schemaRefs>
    <ds:schemaRef ds:uri="http://schemas.microsoft.com/sharepoint/v3/contenttype/forms"/>
  </ds:schemaRefs>
</ds:datastoreItem>
</file>

<file path=customXml/itemProps2.xml><?xml version="1.0" encoding="utf-8"?>
<ds:datastoreItem xmlns:ds="http://schemas.openxmlformats.org/officeDocument/2006/customXml" ds:itemID="{5BD134BF-DDAB-4875-90C1-0F73A6E635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8D7FB2-475F-4621-A7C3-A764831B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35a6b-3add-419b-bd1a-b81a18e5b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3964</Words>
  <Characters>2261</Characters>
  <Application>Microsoft Office Word</Application>
  <DocSecurity>0</DocSecurity>
  <Lines>18</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Gintarė Pilypaitytė</cp:lastModifiedBy>
  <cp:revision>3</cp:revision>
  <dcterms:created xsi:type="dcterms:W3CDTF">2025-03-24T08:59:00Z</dcterms:created>
  <dcterms:modified xsi:type="dcterms:W3CDTF">2025-03-24T09:02:00Z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0x01010024781F3F7A9FD641BA108D2BFC7649AA</vt:lpwstr>
  </property>
</Properties>
</file>