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7112CC"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ELEKTROCHIRURGINIS GENERATORIUS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7112CC">
        <w:rPr>
          <w:rFonts w:asciiTheme="majorHAnsi" w:hAnsiTheme="majorHAnsi"/>
          <w:b/>
          <w:color w:val="1F497D" w:themeColor="text2"/>
          <w:sz w:val="22"/>
          <w:szCs w:val="22"/>
        </w:rPr>
        <w:t>elektrochirurginį generatorių</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7112CC">
        <w:rPr>
          <w:rFonts w:asciiTheme="majorHAnsi" w:hAnsiTheme="majorHAnsi"/>
          <w:b/>
          <w:color w:val="1F497D" w:themeColor="text2"/>
        </w:rPr>
        <w:t>elektrochirurginis generatorius</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7112CC">
        <w:rPr>
          <w:rFonts w:asciiTheme="majorHAnsi" w:hAnsiTheme="majorHAnsi"/>
          <w:i/>
          <w:color w:val="1F497D" w:themeColor="text2"/>
        </w:rPr>
        <w:t>elektrochirurginį generatorių</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7112CC">
        <w:rPr>
          <w:rFonts w:asciiTheme="majorHAnsi" w:hAnsiTheme="majorHAnsi" w:cs="Calibri"/>
          <w:i/>
          <w:color w:val="1F497D" w:themeColor="text2"/>
          <w:shd w:val="clear" w:color="auto" w:fill="FFFFFF"/>
        </w:rPr>
        <w:t>1004426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C252B3"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C252B3"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C252B3"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C252B3"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C252B3"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555209">
        <w:rPr>
          <w:rFonts w:asciiTheme="majorHAnsi" w:hAnsiTheme="majorHAnsi" w:cs="Times New Roman"/>
          <w:color w:val="auto"/>
        </w:rPr>
        <w:t xml:space="preserve">5.4. </w:t>
      </w:r>
      <w:r w:rsidRPr="00555209">
        <w:rPr>
          <w:rFonts w:asciiTheme="majorHAnsi" w:hAnsiTheme="majorHAnsi" w:cs="Times New Roman"/>
          <w:iCs/>
          <w:color w:val="auto"/>
        </w:rPr>
        <w:t xml:space="preserve">Pasiūlymas turi būti pateiktas iki </w:t>
      </w:r>
      <w:r w:rsidR="00ED05BF" w:rsidRPr="00555209">
        <w:rPr>
          <w:rFonts w:asciiTheme="majorHAnsi" w:hAnsiTheme="majorHAnsi" w:cs="Times New Roman"/>
          <w:b/>
          <w:iCs/>
          <w:color w:val="548DD4" w:themeColor="text2" w:themeTint="99"/>
        </w:rPr>
        <w:t xml:space="preserve">2025 m. </w:t>
      </w:r>
      <w:r w:rsidR="00555209" w:rsidRPr="00555209">
        <w:rPr>
          <w:rFonts w:asciiTheme="majorHAnsi" w:hAnsiTheme="majorHAnsi" w:cs="Times New Roman"/>
          <w:b/>
          <w:iCs/>
          <w:color w:val="548DD4" w:themeColor="text2" w:themeTint="99"/>
        </w:rPr>
        <w:t>balandžio 4</w:t>
      </w:r>
      <w:r w:rsidR="002950C9" w:rsidRPr="00555209">
        <w:rPr>
          <w:rFonts w:asciiTheme="majorHAnsi" w:hAnsiTheme="majorHAnsi" w:cs="Times New Roman"/>
          <w:b/>
          <w:iCs/>
          <w:color w:val="548DD4" w:themeColor="text2" w:themeTint="99"/>
        </w:rPr>
        <w:t xml:space="preserve"> </w:t>
      </w:r>
      <w:r w:rsidR="00366696" w:rsidRPr="00555209">
        <w:rPr>
          <w:rFonts w:asciiTheme="majorHAnsi" w:hAnsiTheme="majorHAnsi" w:cs="Times New Roman"/>
          <w:b/>
          <w:iCs/>
          <w:color w:val="548DD4" w:themeColor="text2" w:themeTint="99"/>
        </w:rPr>
        <w:t>d. 08</w:t>
      </w:r>
      <w:r w:rsidRPr="00555209">
        <w:rPr>
          <w:rFonts w:asciiTheme="majorHAnsi" w:hAnsiTheme="majorHAnsi" w:cs="Times New Roman"/>
          <w:b/>
          <w:iCs/>
          <w:color w:val="548DD4" w:themeColor="text2" w:themeTint="99"/>
        </w:rPr>
        <w:t xml:space="preserve"> val. 00 min.</w:t>
      </w:r>
      <w:r w:rsidRPr="00555209">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555209">
        <w:rPr>
          <w:rFonts w:asciiTheme="majorHAnsi" w:hAnsiTheme="majorHAnsi" w:cs="Times New Roman"/>
          <w:lang w:val="it-IT"/>
        </w:rPr>
        <w:t xml:space="preserve">trumpiau </w:t>
      </w:r>
      <w:r w:rsidRPr="00555209">
        <w:rPr>
          <w:rFonts w:asciiTheme="majorHAnsi" w:hAnsiTheme="majorHAnsi" w:cs="Times New Roman"/>
          <w:lang w:val="lt-LT"/>
        </w:rPr>
        <w:t xml:space="preserve">kaip iki </w:t>
      </w:r>
      <w:r w:rsidR="007B7CB6" w:rsidRPr="00555209">
        <w:rPr>
          <w:rFonts w:asciiTheme="majorHAnsi" w:hAnsiTheme="majorHAnsi" w:cs="Times New Roman"/>
          <w:b/>
          <w:color w:val="548DD4" w:themeColor="text2" w:themeTint="99"/>
          <w:lang w:val="lt-LT"/>
        </w:rPr>
        <w:t>2025-</w:t>
      </w:r>
      <w:r w:rsidR="00ED05BF" w:rsidRPr="00555209">
        <w:rPr>
          <w:rFonts w:asciiTheme="majorHAnsi" w:hAnsiTheme="majorHAnsi" w:cs="Times New Roman"/>
          <w:b/>
          <w:color w:val="548DD4" w:themeColor="text2" w:themeTint="99"/>
          <w:lang w:val="lt-LT"/>
        </w:rPr>
        <w:t>0</w:t>
      </w:r>
      <w:r w:rsidR="00555209" w:rsidRPr="00555209">
        <w:rPr>
          <w:rFonts w:asciiTheme="majorHAnsi" w:hAnsiTheme="majorHAnsi" w:cs="Times New Roman"/>
          <w:b/>
          <w:color w:val="548DD4" w:themeColor="text2" w:themeTint="99"/>
          <w:lang w:val="lt-LT"/>
        </w:rPr>
        <w:t>7</w:t>
      </w:r>
      <w:r w:rsidR="00A47CE3" w:rsidRPr="00555209">
        <w:rPr>
          <w:rFonts w:asciiTheme="majorHAnsi" w:hAnsiTheme="majorHAnsi" w:cs="Times New Roman"/>
          <w:b/>
          <w:color w:val="548DD4" w:themeColor="text2" w:themeTint="99"/>
          <w:lang w:val="lt-LT"/>
        </w:rPr>
        <w:t>-</w:t>
      </w:r>
      <w:r w:rsidR="00555209" w:rsidRPr="00555209">
        <w:rPr>
          <w:rFonts w:asciiTheme="majorHAnsi" w:hAnsiTheme="majorHAnsi" w:cs="Times New Roman"/>
          <w:b/>
          <w:color w:val="548DD4" w:themeColor="text2" w:themeTint="99"/>
          <w:lang w:val="lt-LT"/>
        </w:rPr>
        <w:t>04</w:t>
      </w:r>
      <w:r w:rsidR="00B36E1F" w:rsidRPr="00555209">
        <w:rPr>
          <w:rFonts w:asciiTheme="majorHAnsi" w:hAnsiTheme="majorHAnsi" w:cs="Times New Roman"/>
          <w:b/>
          <w:color w:val="548DD4" w:themeColor="text2" w:themeTint="99"/>
          <w:lang w:val="lt-LT"/>
        </w:rPr>
        <w:t>.</w:t>
      </w:r>
      <w:r w:rsidRPr="00555209">
        <w:rPr>
          <w:rFonts w:asciiTheme="majorHAnsi" w:hAnsiTheme="majorHAnsi" w:cs="Times New Roman"/>
          <w:lang w:val="pt-PT"/>
        </w:rPr>
        <w:t xml:space="preserve"> Jeigu pasi</w:t>
      </w:r>
      <w:r w:rsidRPr="00555209">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953763">
        <w:rPr>
          <w:rFonts w:asciiTheme="majorHAnsi" w:eastAsia="Times New Roman" w:hAnsiTheme="majorHAnsi"/>
          <w:i/>
          <w:noProof/>
          <w:sz w:val="22"/>
          <w:szCs w:val="22"/>
          <w:bdr w:val="none" w:sz="0" w:space="0" w:color="auto"/>
          <w:lang w:val="lt-LT"/>
        </w:rPr>
        <w:t>iūlomi parametrai ir 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65D8B" w:rsidRPr="008E62AA" w:rsidRDefault="00565D8B" w:rsidP="00565D8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w:t>
      </w:r>
      <w:r w:rsidR="00953763">
        <w:rPr>
          <w:rFonts w:asciiTheme="majorHAnsi" w:hAnsiTheme="majorHAnsi"/>
          <w:b/>
          <w:sz w:val="22"/>
          <w:szCs w:val="22"/>
          <w:u w:val="single"/>
        </w:rPr>
        <w:t>iūlomi parametria ir s</w:t>
      </w:r>
      <w:r w:rsidRPr="008E62AA">
        <w:rPr>
          <w:rFonts w:asciiTheme="majorHAnsi" w:hAnsiTheme="majorHAnsi"/>
          <w:b/>
          <w:sz w:val="22"/>
          <w:szCs w:val="22"/>
          <w:u w:val="single"/>
        </w:rPr>
        <w:t>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65D8B" w:rsidRDefault="00565D8B" w:rsidP="00565D8B">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8E62AA" w:rsidRPr="008E62AA" w:rsidRDefault="008E62AA" w:rsidP="008E62A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9E1158" w:rsidRPr="00E67A39" w:rsidRDefault="009E1158" w:rsidP="009E115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8E62AA">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sidR="00E67A39">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lastRenderedPageBreak/>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8E62AA" w:rsidRPr="00D05B06" w:rsidRDefault="008E62AA" w:rsidP="008E62AA">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8E62AA" w:rsidRPr="00D05B06" w:rsidRDefault="008E62AA" w:rsidP="008E62AA">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Default="00E8022D" w:rsidP="003170DA">
      <w:pPr>
        <w:pStyle w:val="Body2"/>
        <w:spacing w:after="0"/>
        <w:ind w:firstLine="1152"/>
        <w:rPr>
          <w:rFonts w:asciiTheme="majorHAnsi" w:hAnsiTheme="majorHAnsi" w:cs="Times New Roman"/>
          <w:color w:val="auto"/>
        </w:rPr>
      </w:pPr>
    </w:p>
    <w:p w:rsidR="00953763" w:rsidRDefault="00953763" w:rsidP="003170DA">
      <w:pPr>
        <w:pStyle w:val="Body2"/>
        <w:spacing w:after="0"/>
        <w:ind w:firstLine="1152"/>
        <w:rPr>
          <w:rFonts w:asciiTheme="majorHAnsi" w:hAnsiTheme="majorHAnsi" w:cs="Times New Roman"/>
          <w:color w:val="auto"/>
        </w:rPr>
      </w:pPr>
    </w:p>
    <w:p w:rsidR="00953763" w:rsidRPr="00DB0B7E" w:rsidRDefault="00953763"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555209">
        <w:rPr>
          <w:rFonts w:asciiTheme="majorHAnsi" w:hAnsiTheme="majorHAnsi"/>
          <w:b/>
          <w:iCs/>
          <w:color w:val="548DD4" w:themeColor="text2" w:themeTint="99"/>
          <w:sz w:val="22"/>
          <w:szCs w:val="22"/>
        </w:rPr>
        <w:t xml:space="preserve">2025 m. </w:t>
      </w:r>
      <w:r w:rsidR="00555209" w:rsidRPr="00555209">
        <w:rPr>
          <w:rFonts w:asciiTheme="majorHAnsi" w:hAnsiTheme="majorHAnsi"/>
          <w:b/>
          <w:iCs/>
          <w:color w:val="548DD4" w:themeColor="text2" w:themeTint="99"/>
          <w:sz w:val="22"/>
          <w:szCs w:val="22"/>
        </w:rPr>
        <w:t>balandžio 4</w:t>
      </w:r>
      <w:r w:rsidR="00366696" w:rsidRPr="00555209">
        <w:rPr>
          <w:rFonts w:asciiTheme="majorHAnsi" w:hAnsiTheme="majorHAnsi"/>
          <w:b/>
          <w:iCs/>
          <w:color w:val="548DD4" w:themeColor="text2" w:themeTint="99"/>
          <w:sz w:val="22"/>
          <w:szCs w:val="22"/>
        </w:rPr>
        <w:t xml:space="preserve"> d. 08</w:t>
      </w:r>
      <w:r w:rsidR="00AF7788" w:rsidRPr="00555209">
        <w:rPr>
          <w:rFonts w:asciiTheme="majorHAnsi" w:hAnsiTheme="majorHAnsi"/>
          <w:b/>
          <w:iCs/>
          <w:color w:val="548DD4" w:themeColor="text2" w:themeTint="99"/>
          <w:sz w:val="22"/>
          <w:szCs w:val="22"/>
        </w:rPr>
        <w:t xml:space="preserve"> val. 30 min</w:t>
      </w:r>
      <w:r w:rsidR="00AF7788" w:rsidRPr="00555209">
        <w:rPr>
          <w:rFonts w:asciiTheme="majorHAnsi" w:hAnsiTheme="majorHAnsi"/>
          <w:b/>
          <w:iCs/>
          <w:sz w:val="22"/>
          <w:szCs w:val="22"/>
        </w:rPr>
        <w:t>.</w:t>
      </w:r>
      <w:r w:rsidR="00AF7788" w:rsidRPr="00555209">
        <w:rPr>
          <w:rFonts w:asciiTheme="majorHAnsi" w:hAnsiTheme="majorHAnsi"/>
          <w:iCs/>
          <w:sz w:val="22"/>
          <w:szCs w:val="22"/>
        </w:rPr>
        <w:t xml:space="preserve"> </w:t>
      </w:r>
      <w:r w:rsidR="00AF7788" w:rsidRPr="00555209">
        <w:rPr>
          <w:rFonts w:asciiTheme="majorHAnsi" w:hAnsiTheme="majorHAnsi"/>
          <w:iCs/>
          <w:sz w:val="22"/>
          <w:szCs w:val="22"/>
          <w:u w:val="single"/>
        </w:rPr>
        <w:t xml:space="preserve">Jei pasiūlymas teikiamas šifruotas, slaptažodis turi būti pateiktas </w:t>
      </w:r>
      <w:r w:rsidR="00AF7788" w:rsidRPr="00555209">
        <w:rPr>
          <w:rFonts w:asciiTheme="majorHAnsi" w:hAnsiTheme="majorHAnsi"/>
          <w:b/>
          <w:iCs/>
          <w:color w:val="548DD4" w:themeColor="text2" w:themeTint="99"/>
          <w:sz w:val="22"/>
          <w:szCs w:val="22"/>
          <w:u w:val="single"/>
        </w:rPr>
        <w:t xml:space="preserve">2025 m. </w:t>
      </w:r>
      <w:r w:rsidR="00555209" w:rsidRPr="00555209">
        <w:rPr>
          <w:rFonts w:asciiTheme="majorHAnsi" w:hAnsiTheme="majorHAnsi"/>
          <w:b/>
          <w:iCs/>
          <w:color w:val="548DD4" w:themeColor="text2" w:themeTint="99"/>
          <w:sz w:val="22"/>
          <w:szCs w:val="22"/>
          <w:u w:val="single"/>
        </w:rPr>
        <w:t>balandžio 4</w:t>
      </w:r>
      <w:r w:rsidR="00A47CE3" w:rsidRPr="00555209">
        <w:rPr>
          <w:rFonts w:asciiTheme="majorHAnsi" w:hAnsiTheme="majorHAnsi"/>
          <w:b/>
          <w:iCs/>
          <w:color w:val="548DD4" w:themeColor="text2" w:themeTint="99"/>
          <w:sz w:val="22"/>
          <w:szCs w:val="22"/>
          <w:u w:val="single"/>
        </w:rPr>
        <w:t xml:space="preserve"> </w:t>
      </w:r>
      <w:r w:rsidR="00AF7788" w:rsidRPr="00555209">
        <w:rPr>
          <w:rFonts w:asciiTheme="majorHAnsi" w:hAnsiTheme="majorHAnsi"/>
          <w:b/>
          <w:iCs/>
          <w:color w:val="548DD4" w:themeColor="text2" w:themeTint="99"/>
          <w:sz w:val="22"/>
          <w:szCs w:val="22"/>
          <w:u w:val="single"/>
        </w:rPr>
        <w:t xml:space="preserve"> d.</w:t>
      </w:r>
      <w:r w:rsidR="00AF7788" w:rsidRPr="00555209">
        <w:rPr>
          <w:rFonts w:asciiTheme="majorHAnsi" w:hAnsiTheme="majorHAnsi"/>
          <w:iCs/>
          <w:color w:val="548DD4" w:themeColor="text2" w:themeTint="99"/>
          <w:sz w:val="22"/>
          <w:szCs w:val="22"/>
          <w:u w:val="single"/>
        </w:rPr>
        <w:t xml:space="preserve"> intervale </w:t>
      </w:r>
      <w:r w:rsidR="00366696" w:rsidRPr="00555209">
        <w:rPr>
          <w:rFonts w:asciiTheme="majorHAnsi" w:hAnsiTheme="majorHAnsi"/>
          <w:b/>
          <w:iCs/>
          <w:color w:val="548DD4" w:themeColor="text2" w:themeTint="99"/>
          <w:sz w:val="22"/>
          <w:szCs w:val="22"/>
          <w:u w:val="single"/>
        </w:rPr>
        <w:t>08.00 – 08</w:t>
      </w:r>
      <w:r w:rsidR="00AF7788" w:rsidRPr="00555209">
        <w:rPr>
          <w:rFonts w:asciiTheme="majorHAnsi" w:hAnsiTheme="majorHAnsi"/>
          <w:b/>
          <w:iCs/>
          <w:color w:val="548DD4" w:themeColor="text2" w:themeTint="99"/>
          <w:sz w:val="22"/>
          <w:szCs w:val="22"/>
          <w:u w:val="single"/>
        </w:rPr>
        <w:t>.30 val.</w:t>
      </w:r>
      <w:r w:rsidR="00AF7788" w:rsidRPr="00555209">
        <w:rPr>
          <w:rFonts w:asciiTheme="majorHAnsi" w:hAnsiTheme="majorHAnsi"/>
          <w:iCs/>
          <w:color w:val="548DD4" w:themeColor="text2" w:themeTint="99"/>
          <w:sz w:val="22"/>
          <w:szCs w:val="22"/>
          <w:u w:val="single"/>
        </w:rPr>
        <w:t xml:space="preserve"> </w:t>
      </w:r>
      <w:r w:rsidR="00AF7788" w:rsidRPr="00555209">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953763">
        <w:rPr>
          <w:rFonts w:asciiTheme="majorHAnsi" w:hAnsiTheme="majorHAnsi"/>
          <w:b/>
          <w:bCs/>
          <w:sz w:val="22"/>
          <w:szCs w:val="22"/>
        </w:rPr>
        <w:t>ELEKTROCHIRURGINIO GENERATORIAUS</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2B3" w:rsidRDefault="00C252B3" w:rsidP="006670D4">
      <w:r>
        <w:separator/>
      </w:r>
    </w:p>
  </w:endnote>
  <w:endnote w:type="continuationSeparator" w:id="0">
    <w:p w:rsidR="00C252B3" w:rsidRDefault="00C252B3"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2B3" w:rsidRDefault="00C252B3" w:rsidP="006670D4">
      <w:r>
        <w:separator/>
      </w:r>
    </w:p>
  </w:footnote>
  <w:footnote w:type="continuationSeparator" w:id="0">
    <w:p w:rsidR="00C252B3" w:rsidRDefault="00C252B3"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ED92"/>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886C4-8CE0-4E4C-B4A2-A5E0D167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21</Pages>
  <Words>41738</Words>
  <Characters>23791</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130</cp:revision>
  <cp:lastPrinted>2021-08-13T13:16:00Z</cp:lastPrinted>
  <dcterms:created xsi:type="dcterms:W3CDTF">2023-12-08T12:01:00Z</dcterms:created>
  <dcterms:modified xsi:type="dcterms:W3CDTF">2025-03-24T12:21:00Z</dcterms:modified>
</cp:coreProperties>
</file>