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5C36317A"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F2700F">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F2700F" w:rsidRPr="00654B77">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7BE76253"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B65A41">
            <w:rPr>
              <w:rFonts w:ascii="Times New Roman" w:eastAsia="Times New Roman" w:hAnsi="Times New Roman" w:cs="Times New Roman"/>
              <w:noProof/>
              <w:sz w:val="24"/>
              <w:szCs w:val="24"/>
            </w:rPr>
            <w:t>03-24</w:t>
          </w:r>
        </w:p>
        <w:p w14:paraId="2B84068B" w14:textId="44B13BBD"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0E04D4">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44677B84" w14:textId="7896AC74" w:rsidR="00F2700F" w:rsidRPr="00F2700F" w:rsidRDefault="008D06E5" w:rsidP="00F2700F">
          <w:pPr>
            <w:spacing w:line="259"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LAPAROSKOPINIAI IR CHIRURGINIAI INSTRUMENTAI GINEKOLOGIJOJE</w:t>
          </w:r>
        </w:p>
        <w:p w14:paraId="18ACC6AD" w14:textId="02B2D1EC"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749DC954"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 xml:space="preserve">Pirkimo sąlygų </w:t>
                </w:r>
                <w:r w:rsidR="001A6349">
                  <w:rPr>
                    <w:rStyle w:val="Hipersaitas"/>
                    <w:rFonts w:ascii="Times New Roman" w:eastAsia="Calibri" w:hAnsi="Times New Roman" w:cs="Times New Roman"/>
                    <w:noProof/>
                    <w:sz w:val="24"/>
                    <w:szCs w:val="24"/>
                  </w:rPr>
                  <w:t>2</w:t>
                </w:r>
                <w:r w:rsidRPr="000E70C1">
                  <w:rPr>
                    <w:rStyle w:val="Hipersaitas"/>
                    <w:rFonts w:ascii="Times New Roman" w:eastAsia="Calibri" w:hAnsi="Times New Roman" w:cs="Times New Roman"/>
                    <w:noProof/>
                    <w:sz w:val="24"/>
                    <w:szCs w:val="24"/>
                  </w:rPr>
                  <w:t xml:space="preserve">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5FC7CB09" w:rsidR="00C43719" w:rsidRDefault="00C43719">
              <w:pPr>
                <w:pStyle w:val="Turinys2"/>
                <w:rPr>
                  <w:noProof/>
                </w:rPr>
              </w:pPr>
              <w:hyperlink w:anchor="_Toc159231065" w:history="1">
                <w:r w:rsidRPr="00B06DBB">
                  <w:rPr>
                    <w:rStyle w:val="Hipersaitas"/>
                    <w:rFonts w:eastAsia="Calibri" w:cstheme="minorHAnsi"/>
                    <w:noProof/>
                  </w:rPr>
                  <w:t xml:space="preserve">Pirkimo sąlygų </w:t>
                </w:r>
                <w:r w:rsidR="007E30A9">
                  <w:rPr>
                    <w:rStyle w:val="Hipersaitas"/>
                    <w:rFonts w:eastAsia="Calibri" w:cstheme="minorHAnsi"/>
                    <w:noProof/>
                  </w:rPr>
                  <w:t>6</w:t>
                </w:r>
                <w:r w:rsidRPr="00B06DBB">
                  <w:rPr>
                    <w:rStyle w:val="Hipersaitas"/>
                    <w:rFonts w:eastAsia="Calibri" w:cstheme="minorHAnsi"/>
                    <w:noProof/>
                  </w:rPr>
                  <w:t xml:space="preserve">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r w:rsidR="00E32C8E" w:rsidRPr="00B85620">
        <w:rPr>
          <w:rFonts w:ascii="Times New Roman" w:hAnsi="Times New Roman" w:cs="Times New Roman"/>
          <w:i/>
          <w:iCs/>
          <w:sz w:val="24"/>
          <w:szCs w:val="24"/>
          <w:lang w:eastAsia="en-US"/>
        </w:rPr>
        <w:t>ex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1019AC21" w:rsidR="00B41C66" w:rsidRPr="0088304C" w:rsidRDefault="000424C6" w:rsidP="0088304C">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E519C">
        <w:rPr>
          <w:rFonts w:ascii="Times New Roman" w:eastAsia="Calibri" w:hAnsi="Times New Roman" w:cs="Times New Roman"/>
          <w:color w:val="000000" w:themeColor="text1"/>
          <w:sz w:val="24"/>
          <w:szCs w:val="24"/>
        </w:rPr>
        <w:t xml:space="preserve">Perkančioji organizacija numato įsigyti </w:t>
      </w:r>
      <w:r w:rsidR="00997ABD">
        <w:rPr>
          <w:rFonts w:ascii="Times New Roman" w:eastAsia="TimesNewRomanPS-BoldMT" w:hAnsi="Times New Roman" w:cs="Times New Roman"/>
          <w:sz w:val="24"/>
          <w:szCs w:val="24"/>
        </w:rPr>
        <w:t>laparoskopinius ir chirurginius instrumentus ginekologijoje</w:t>
      </w:r>
      <w:r w:rsidRPr="00CE519C">
        <w:rPr>
          <w:rFonts w:ascii="Times New Roman" w:eastAsia="Calibri" w:hAnsi="Times New Roman" w:cs="Times New Roman"/>
          <w:color w:val="000000" w:themeColor="text1"/>
          <w:sz w:val="24"/>
          <w:szCs w:val="24"/>
        </w:rPr>
        <w:t xml:space="preserve">. </w:t>
      </w:r>
      <w:r w:rsidR="00B41C66" w:rsidRPr="00CE519C">
        <w:rPr>
          <w:rFonts w:ascii="Times New Roman" w:hAnsi="Times New Roman" w:cs="Times New Roman"/>
          <w:sz w:val="24"/>
          <w:szCs w:val="24"/>
        </w:rPr>
        <w:t xml:space="preserve">Reikalavimai pirkimo objektui nustatyti </w:t>
      </w:r>
      <w:r w:rsidR="00704310" w:rsidRPr="00CE519C">
        <w:rPr>
          <w:rFonts w:ascii="Times New Roman" w:hAnsi="Times New Roman" w:cs="Times New Roman"/>
          <w:sz w:val="24"/>
          <w:szCs w:val="24"/>
        </w:rPr>
        <w:t>s</w:t>
      </w:r>
      <w:r w:rsidR="00444CAF" w:rsidRPr="00CE519C">
        <w:rPr>
          <w:rFonts w:ascii="Times New Roman" w:hAnsi="Times New Roman" w:cs="Times New Roman"/>
          <w:sz w:val="24"/>
          <w:szCs w:val="24"/>
        </w:rPr>
        <w:t xml:space="preserve">pecialiųjų </w:t>
      </w:r>
      <w:r w:rsidR="00CE7209" w:rsidRPr="00CE519C">
        <w:rPr>
          <w:rFonts w:ascii="Times New Roman" w:hAnsi="Times New Roman" w:cs="Times New Roman"/>
          <w:sz w:val="24"/>
          <w:szCs w:val="24"/>
        </w:rPr>
        <w:t xml:space="preserve">pirkimo </w:t>
      </w:r>
      <w:r w:rsidR="00444CAF" w:rsidRPr="00CE519C">
        <w:rPr>
          <w:rFonts w:ascii="Times New Roman" w:hAnsi="Times New Roman" w:cs="Times New Roman"/>
          <w:sz w:val="24"/>
          <w:szCs w:val="24"/>
        </w:rPr>
        <w:t xml:space="preserve">sąlygų </w:t>
      </w:r>
      <w:r w:rsidR="003E7178" w:rsidRPr="00CE519C">
        <w:rPr>
          <w:rFonts w:ascii="Times New Roman" w:hAnsi="Times New Roman" w:cs="Times New Roman"/>
          <w:sz w:val="24"/>
          <w:szCs w:val="24"/>
        </w:rPr>
        <w:t>6</w:t>
      </w:r>
      <w:r w:rsidR="004A7680" w:rsidRPr="00CE519C">
        <w:rPr>
          <w:rFonts w:ascii="Times New Roman" w:hAnsi="Times New Roman" w:cs="Times New Roman"/>
          <w:b/>
          <w:bCs/>
          <w:sz w:val="24"/>
          <w:szCs w:val="24"/>
        </w:rPr>
        <w:t xml:space="preserve"> </w:t>
      </w:r>
      <w:r w:rsidR="004A7680" w:rsidRPr="00CE519C">
        <w:rPr>
          <w:rFonts w:ascii="Times New Roman" w:hAnsi="Times New Roman" w:cs="Times New Roman"/>
          <w:sz w:val="24"/>
          <w:szCs w:val="24"/>
        </w:rPr>
        <w:t>priede –</w:t>
      </w:r>
      <w:r w:rsidR="003E7178" w:rsidRPr="00CE519C">
        <w:rPr>
          <w:rFonts w:ascii="Times New Roman" w:hAnsi="Times New Roman" w:cs="Times New Roman"/>
          <w:sz w:val="24"/>
          <w:szCs w:val="24"/>
        </w:rPr>
        <w:t xml:space="preserve">Pasiūlymo </w:t>
      </w:r>
      <w:r w:rsidR="003E7178" w:rsidRPr="0088304C">
        <w:rPr>
          <w:rFonts w:ascii="Times New Roman" w:hAnsi="Times New Roman" w:cs="Times New Roman"/>
          <w:sz w:val="24"/>
          <w:szCs w:val="24"/>
        </w:rPr>
        <w:t xml:space="preserve">forma ir </w:t>
      </w:r>
      <w:r w:rsidR="004A7680" w:rsidRPr="0088304C">
        <w:rPr>
          <w:rFonts w:ascii="Times New Roman" w:hAnsi="Times New Roman" w:cs="Times New Roman"/>
          <w:sz w:val="24"/>
          <w:szCs w:val="24"/>
        </w:rPr>
        <w:t>Techninė specifikacija</w:t>
      </w:r>
      <w:r w:rsidR="003C2F22" w:rsidRPr="0088304C">
        <w:rPr>
          <w:rFonts w:ascii="Times New Roman" w:hAnsi="Times New Roman" w:cs="Times New Roman"/>
          <w:sz w:val="24"/>
          <w:szCs w:val="24"/>
        </w:rPr>
        <w:t xml:space="preserve">, sutarties sąlygose – </w:t>
      </w:r>
      <w:r w:rsidR="008A4E76" w:rsidRPr="0088304C">
        <w:rPr>
          <w:rFonts w:ascii="Times New Roman" w:hAnsi="Times New Roman" w:cs="Times New Roman"/>
          <w:sz w:val="24"/>
          <w:szCs w:val="24"/>
        </w:rPr>
        <w:t>10</w:t>
      </w:r>
      <w:r w:rsidR="003C2F22" w:rsidRPr="0088304C">
        <w:rPr>
          <w:rFonts w:ascii="Times New Roman" w:hAnsi="Times New Roman" w:cs="Times New Roman"/>
          <w:sz w:val="24"/>
          <w:szCs w:val="24"/>
        </w:rPr>
        <w:t xml:space="preserve"> priedas </w:t>
      </w:r>
      <w:r w:rsidRPr="0088304C">
        <w:rPr>
          <w:rFonts w:ascii="Times New Roman" w:hAnsi="Times New Roman" w:cs="Times New Roman"/>
          <w:sz w:val="24"/>
          <w:szCs w:val="24"/>
        </w:rPr>
        <w:t>„</w:t>
      </w:r>
      <w:r w:rsidR="008B4D1B" w:rsidRPr="0088304C">
        <w:rPr>
          <w:rFonts w:ascii="Times New Roman" w:hAnsi="Times New Roman" w:cs="Times New Roman"/>
          <w:sz w:val="24"/>
          <w:szCs w:val="24"/>
        </w:rPr>
        <w:t>S</w:t>
      </w:r>
      <w:r w:rsidR="003C2F22" w:rsidRPr="0088304C">
        <w:rPr>
          <w:rFonts w:ascii="Times New Roman" w:hAnsi="Times New Roman" w:cs="Times New Roman"/>
          <w:sz w:val="24"/>
          <w:szCs w:val="24"/>
        </w:rPr>
        <w:t>utarties projektas</w:t>
      </w:r>
      <w:r w:rsidRPr="0088304C">
        <w:rPr>
          <w:rFonts w:ascii="Times New Roman" w:hAnsi="Times New Roman" w:cs="Times New Roman"/>
          <w:sz w:val="24"/>
          <w:szCs w:val="24"/>
        </w:rPr>
        <w:t>“</w:t>
      </w:r>
      <w:r w:rsidR="003C2F22" w:rsidRPr="0088304C">
        <w:rPr>
          <w:rFonts w:ascii="Times New Roman" w:hAnsi="Times New Roman" w:cs="Times New Roman"/>
          <w:sz w:val="24"/>
          <w:szCs w:val="24"/>
        </w:rPr>
        <w:t>.</w:t>
      </w:r>
    </w:p>
    <w:p w14:paraId="6D852D83" w14:textId="534957D1" w:rsidR="002A3AB0" w:rsidRDefault="002A3AB0" w:rsidP="0088304C">
      <w:pPr>
        <w:pStyle w:val="Betarp"/>
        <w:ind w:firstLine="567"/>
        <w:contextualSpacing/>
        <w:jc w:val="both"/>
        <w:rPr>
          <w:rFonts w:ascii="Times New Roman" w:hAnsi="Times New Roman" w:cs="Times New Roman"/>
          <w:sz w:val="24"/>
          <w:szCs w:val="24"/>
        </w:rPr>
      </w:pPr>
      <w:r w:rsidRPr="0088304C">
        <w:rPr>
          <w:rFonts w:ascii="Times New Roman" w:hAnsi="Times New Roman" w:cs="Times New Roman"/>
          <w:sz w:val="24"/>
          <w:szCs w:val="24"/>
        </w:rPr>
        <w:t xml:space="preserve">2.2.  Pirkimo objektas skaidomas į </w:t>
      </w:r>
      <w:r w:rsidR="00997ABD">
        <w:rPr>
          <w:rFonts w:ascii="Times New Roman" w:hAnsi="Times New Roman" w:cs="Times New Roman"/>
          <w:sz w:val="24"/>
          <w:szCs w:val="24"/>
        </w:rPr>
        <w:t xml:space="preserve">3 </w:t>
      </w:r>
      <w:r w:rsidRPr="0088304C">
        <w:rPr>
          <w:rFonts w:ascii="Times New Roman" w:hAnsi="Times New Roman" w:cs="Times New Roman"/>
          <w:sz w:val="24"/>
          <w:szCs w:val="24"/>
        </w:rPr>
        <w:t>dalis</w:t>
      </w:r>
      <w:r w:rsidR="00997ABD">
        <w:rPr>
          <w:rFonts w:ascii="Times New Roman" w:hAnsi="Times New Roman" w:cs="Times New Roman"/>
          <w:sz w:val="24"/>
          <w:szCs w:val="24"/>
        </w:rPr>
        <w:t>:</w:t>
      </w:r>
    </w:p>
    <w:p w14:paraId="7A99282F" w14:textId="02A772C9" w:rsidR="00997ABD" w:rsidRDefault="00997ABD" w:rsidP="0088304C">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Pr="00997ABD">
        <w:rPr>
          <w:rFonts w:ascii="Times New Roman" w:hAnsi="Times New Roman" w:cs="Times New Roman"/>
          <w:sz w:val="24"/>
          <w:szCs w:val="24"/>
        </w:rPr>
        <w:t>Bipolinis instrumentas laparoskopinėms operacijoms</w:t>
      </w:r>
      <w:r>
        <w:rPr>
          <w:rFonts w:ascii="Times New Roman" w:hAnsi="Times New Roman" w:cs="Times New Roman"/>
          <w:sz w:val="24"/>
          <w:szCs w:val="24"/>
        </w:rPr>
        <w:t>;</w:t>
      </w:r>
    </w:p>
    <w:p w14:paraId="1845DCC3" w14:textId="1D331835" w:rsidR="00997ABD" w:rsidRDefault="00997ABD" w:rsidP="0088304C">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sidRPr="00997ABD">
        <w:rPr>
          <w:rFonts w:ascii="Times New Roman" w:hAnsi="Times New Roman" w:cs="Times New Roman"/>
          <w:sz w:val="24"/>
          <w:szCs w:val="24"/>
        </w:rPr>
        <w:t>Bipoliarinės laparoskopines žnyplės ir laparoskopines žnyplės</w:t>
      </w:r>
      <w:r>
        <w:rPr>
          <w:rFonts w:ascii="Times New Roman" w:hAnsi="Times New Roman" w:cs="Times New Roman"/>
          <w:sz w:val="24"/>
          <w:szCs w:val="24"/>
        </w:rPr>
        <w:t>;</w:t>
      </w:r>
    </w:p>
    <w:p w14:paraId="1037FF36" w14:textId="602D4AA4" w:rsidR="00997ABD" w:rsidRDefault="00997ABD" w:rsidP="0088304C">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Pr="00997ABD">
        <w:rPr>
          <w:rFonts w:ascii="Times New Roman" w:hAnsi="Times New Roman" w:cs="Times New Roman"/>
          <w:sz w:val="24"/>
          <w:szCs w:val="24"/>
        </w:rPr>
        <w:t>Laparoskopiniai instrumentai kiti</w:t>
      </w:r>
      <w:r>
        <w:rPr>
          <w:rFonts w:ascii="Times New Roman" w:hAnsi="Times New Roman" w:cs="Times New Roman"/>
          <w:sz w:val="24"/>
          <w:szCs w:val="24"/>
        </w:rPr>
        <w:t>.</w:t>
      </w:r>
    </w:p>
    <w:p w14:paraId="7BCBCB9B" w14:textId="20ABD304" w:rsidR="00E83F9E" w:rsidRPr="0088304C" w:rsidRDefault="00E83F9E" w:rsidP="0088304C">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2.3. Pasiūlymai gali būti teikiami dėl vienos ar kelių pirkimo dalių.</w:t>
      </w:r>
    </w:p>
    <w:p w14:paraId="3031DC86" w14:textId="46F3D76F" w:rsidR="00004521" w:rsidRPr="00CE519C" w:rsidRDefault="00325243" w:rsidP="000B16C3">
      <w:pPr>
        <w:autoSpaceDE w:val="0"/>
        <w:autoSpaceDN w:val="0"/>
        <w:adjustRightInd w:val="0"/>
        <w:spacing w:after="0" w:line="240" w:lineRule="auto"/>
        <w:ind w:firstLine="567"/>
        <w:jc w:val="both"/>
        <w:rPr>
          <w:rFonts w:ascii="Times New Roman" w:hAnsi="Times New Roman" w:cs="Times New Roman"/>
          <w:sz w:val="24"/>
          <w:szCs w:val="24"/>
        </w:rPr>
      </w:pPr>
      <w:r w:rsidRPr="0088304C">
        <w:rPr>
          <w:rFonts w:ascii="Times New Roman" w:hAnsi="Times New Roman" w:cs="Times New Roman"/>
          <w:sz w:val="24"/>
          <w:szCs w:val="24"/>
        </w:rPr>
        <w:t>2.</w:t>
      </w:r>
      <w:r w:rsidR="00E83F9E">
        <w:rPr>
          <w:rFonts w:ascii="Times New Roman" w:hAnsi="Times New Roman" w:cs="Times New Roman"/>
          <w:sz w:val="24"/>
          <w:szCs w:val="24"/>
        </w:rPr>
        <w:t>4</w:t>
      </w:r>
      <w:r w:rsidRPr="0088304C">
        <w:rPr>
          <w:rFonts w:ascii="Times New Roman" w:hAnsi="Times New Roman" w:cs="Times New Roman"/>
          <w:sz w:val="24"/>
          <w:szCs w:val="24"/>
        </w:rPr>
        <w:t>.</w:t>
      </w:r>
      <w:r w:rsidR="00E53E12" w:rsidRPr="0088304C">
        <w:rPr>
          <w:rFonts w:ascii="Times New Roman" w:hAnsi="Times New Roman" w:cs="Times New Roman"/>
          <w:sz w:val="24"/>
          <w:szCs w:val="24"/>
        </w:rPr>
        <w:t xml:space="preserve"> </w:t>
      </w:r>
      <w:r w:rsidR="000B16C3">
        <w:rPr>
          <w:rFonts w:ascii="Times New Roman" w:hAnsi="Times New Roman" w:cs="Times New Roman"/>
          <w:sz w:val="24"/>
          <w:szCs w:val="24"/>
        </w:rPr>
        <w:t>J</w:t>
      </w:r>
      <w:r w:rsidR="00004521" w:rsidRPr="00CE519C">
        <w:rPr>
          <w:rFonts w:ascii="Times New Roman" w:hAnsi="Times New Roman" w:cs="Times New Roman"/>
          <w:sz w:val="24"/>
          <w:szCs w:val="24"/>
        </w:rPr>
        <w:t>eigu apibūdinant pirkimo objektą techninėje specifikacijoje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51507D6C"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9114F">
        <w:rPr>
          <w:rFonts w:ascii="Times New Roman" w:hAnsi="Times New Roman" w:cs="Times New Roman"/>
          <w:sz w:val="24"/>
          <w:szCs w:val="24"/>
        </w:rPr>
        <w:t>6.1. Tiekėjo pasiūlymą sudaro CVP IS pateikiamų ir žemiau nurodytų dokumentų visuma:</w:t>
      </w:r>
    </w:p>
    <w:p w14:paraId="432CB5D7" w14:textId="7358B23B"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 xml:space="preserve">a“, pateikiama </w:t>
      </w:r>
      <w:r w:rsidRPr="0081450E">
        <w:rPr>
          <w:rFonts w:ascii="Times New Roman" w:hAnsi="Times New Roman" w:cs="Times New Roman"/>
          <w:b/>
          <w:bCs/>
          <w:sz w:val="24"/>
          <w:szCs w:val="24"/>
        </w:rPr>
        <w:t>Ex</w:t>
      </w:r>
      <w:r w:rsidR="002253ED">
        <w:rPr>
          <w:rFonts w:ascii="Times New Roman" w:hAnsi="Times New Roman" w:cs="Times New Roman"/>
          <w:b/>
          <w:bCs/>
          <w:sz w:val="24"/>
          <w:szCs w:val="24"/>
        </w:rPr>
        <w:t>c</w:t>
      </w:r>
      <w:r w:rsidRPr="0081450E">
        <w:rPr>
          <w:rFonts w:ascii="Times New Roman" w:hAnsi="Times New Roman" w:cs="Times New Roman"/>
          <w:b/>
          <w:bCs/>
          <w:sz w:val="24"/>
          <w:szCs w:val="24"/>
        </w:rPr>
        <w:t>el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lastRenderedPageBreak/>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77777777" w:rsidR="00CE519C" w:rsidRPr="00197BD8"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6A514BC4" w14:textId="77777777" w:rsidR="00CE519C" w:rsidRPr="0090300B" w:rsidRDefault="00CE519C" w:rsidP="00CE519C">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BD484A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32F0F9F1"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1B16A24" w14:textId="77777777" w:rsidR="00CE519C" w:rsidRPr="0090300B" w:rsidRDefault="00CE519C" w:rsidP="00CE519C">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E41CDE1" w14:textId="77777777" w:rsidR="00CE519C" w:rsidRPr="00337CC1" w:rsidRDefault="00CE519C" w:rsidP="00CE519C">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Pr="00975B5F">
        <w:rPr>
          <w:rFonts w:ascii="Times New Roman" w:eastAsia="Calibri" w:hAnsi="Times New Roman" w:cs="Times New Roman"/>
          <w:sz w:val="24"/>
          <w:szCs w:val="24"/>
        </w:rPr>
        <w:t>Pasiūlymas turi būti parengtas, lietuvių kalba</w:t>
      </w:r>
      <w:r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6D8412AB" w14:textId="77777777" w:rsidR="00CE519C" w:rsidRDefault="00CE519C" w:rsidP="00CE519C">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C2415F"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405C2A8B" w:rsidR="009F5853" w:rsidRPr="00197BD8" w:rsidRDefault="0095594C"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7C27A1">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sz w:val="22"/>
                <w:szCs w:val="22"/>
              </w:rPr>
              <w:t>5</w:t>
            </w:r>
            <w:r>
              <w:rPr>
                <w:rFonts w:ascii="Times New Roman" w:hAnsi="Times New Roman" w:cs="Times New Roman"/>
                <w:iCs/>
                <w:sz w:val="22"/>
                <w:szCs w:val="22"/>
              </w:rPr>
              <w:t xml:space="preserve"> </w:t>
            </w:r>
            <w:r w:rsidRPr="007C27A1">
              <w:rPr>
                <w:rFonts w:ascii="Times New Roman" w:hAnsi="Times New Roman" w:cs="Times New Roman"/>
                <w:iCs/>
                <w:sz w:val="22"/>
                <w:szCs w:val="22"/>
              </w:rPr>
              <w:t>darbo dien</w:t>
            </w:r>
            <w:r>
              <w:rPr>
                <w:rFonts w:ascii="Times New Roman" w:hAnsi="Times New Roman" w:cs="Times New Roman"/>
                <w:iCs/>
                <w:sz w:val="22"/>
                <w:szCs w:val="22"/>
              </w:rPr>
              <w:t>as.</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197BD8">
              <w:rPr>
                <w:rFonts w:ascii="Times New Roman" w:eastAsia="Calibri" w:hAnsi="Times New Roman" w:cs="Times New Roman"/>
                <w:sz w:val="22"/>
                <w:szCs w:val="22"/>
              </w:rPr>
              <w:lastRenderedPageBreak/>
              <w:t>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w:t>
            </w:r>
            <w:r w:rsidRPr="00B46177">
              <w:rPr>
                <w:rFonts w:ascii="Times New Roman" w:eastAsia="Yu Mincho" w:hAnsi="Times New Roman" w:cs="Times New Roman"/>
                <w:b/>
                <w:bCs/>
                <w:sz w:val="22"/>
                <w:szCs w:val="22"/>
                <w:lang w:eastAsia="en-US"/>
              </w:rPr>
              <w:lastRenderedPageBreak/>
              <w:t xml:space="preserve">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lastRenderedPageBreak/>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2014/24/ES 57 straipsnio 1 dalyje </w:t>
            </w:r>
            <w:r w:rsidRPr="00400598">
              <w:rPr>
                <w:rFonts w:ascii="Times New Roman" w:hAnsi="Times New Roman" w:cs="Times New Roman"/>
                <w:bCs/>
                <w:sz w:val="22"/>
                <w:szCs w:val="22"/>
                <w:lang w:eastAsia="en-US"/>
              </w:rPr>
              <w:lastRenderedPageBreak/>
              <w:t>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w:t>
            </w:r>
            <w:r w:rsidRPr="00B46177">
              <w:rPr>
                <w:rFonts w:ascii="Times New Roman" w:hAnsi="Times New Roman" w:cs="Times New Roman"/>
                <w:sz w:val="22"/>
                <w:szCs w:val="22"/>
              </w:rPr>
              <w:lastRenderedPageBreak/>
              <w:t>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2) Dėl įsipareigojimų, susijusių su socialinio draudimo įmokų </w:t>
            </w:r>
            <w:r w:rsidRPr="00B46177">
              <w:rPr>
                <w:rFonts w:ascii="Times New Roman" w:hAnsi="Times New Roman" w:cs="Times New Roman"/>
                <w:bCs/>
                <w:sz w:val="22"/>
                <w:szCs w:val="22"/>
              </w:rPr>
              <w:lastRenderedPageBreak/>
              <w:t>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B46177">
              <w:rPr>
                <w:rFonts w:ascii="Times New Roman" w:hAnsi="Times New Roman" w:cs="Times New Roman"/>
                <w:sz w:val="22"/>
                <w:szCs w:val="22"/>
              </w:rPr>
              <w:lastRenderedPageBreak/>
              <w:t>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B46177">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 xml:space="preserve">Europos bendrasis viešųjų pirkimų dokumentas (EBVPD)“ pateikiamas .xml </w:t>
      </w:r>
      <w:r w:rsidR="008440DE" w:rsidRPr="009F10F4">
        <w:rPr>
          <w:rFonts w:ascii="Times New Roman" w:hAnsi="Times New Roman" w:cs="Times New Roman"/>
          <w:sz w:val="24"/>
          <w:szCs w:val="24"/>
        </w:rPr>
        <w:t xml:space="preserve">ir pdf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84D73A0" w:rsidR="008C6E9F" w:rsidRPr="00512B27" w:rsidRDefault="008C6E9F" w:rsidP="008C6E9F">
      <w:pPr>
        <w:rPr>
          <w:b/>
          <w:bCs/>
        </w:rPr>
      </w:pPr>
      <w:r w:rsidRPr="00512B27">
        <w:rPr>
          <w:rFonts w:ascii="Times New Roman" w:hAnsi="Times New Roman" w:cs="Times New Roman"/>
          <w:b/>
          <w:bCs/>
          <w:sz w:val="24"/>
          <w:szCs w:val="24"/>
        </w:rPr>
        <w:t>Užpildyta Pasiūlymo forma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463CC1">
          <w:footerReference w:type="first" r:id="rId25"/>
          <w:pgSz w:w="12240" w:h="15840"/>
          <w:pgMar w:top="568"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(-os)/(atstovaujamo (-os)</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39FB"/>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16C3"/>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50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49"/>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3ED"/>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7AE"/>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39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278"/>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3CC1"/>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B61"/>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0C6D"/>
    <w:rsid w:val="00551B0D"/>
    <w:rsid w:val="00551FA7"/>
    <w:rsid w:val="00553286"/>
    <w:rsid w:val="00553E2C"/>
    <w:rsid w:val="0055476C"/>
    <w:rsid w:val="0055710D"/>
    <w:rsid w:val="00557458"/>
    <w:rsid w:val="005605D0"/>
    <w:rsid w:val="005609D9"/>
    <w:rsid w:val="00560AD2"/>
    <w:rsid w:val="00561265"/>
    <w:rsid w:val="00561B70"/>
    <w:rsid w:val="00561DBA"/>
    <w:rsid w:val="005625F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DEF"/>
    <w:rsid w:val="00660F6D"/>
    <w:rsid w:val="00661279"/>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35F0"/>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6"/>
    <w:rsid w:val="00757947"/>
    <w:rsid w:val="00757968"/>
    <w:rsid w:val="007620BE"/>
    <w:rsid w:val="0076216E"/>
    <w:rsid w:val="0076284D"/>
    <w:rsid w:val="00762AAB"/>
    <w:rsid w:val="00762B52"/>
    <w:rsid w:val="00762C6B"/>
    <w:rsid w:val="007630E3"/>
    <w:rsid w:val="0076391E"/>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0A9"/>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50E"/>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4C"/>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6E5"/>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94C"/>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97ABD"/>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A41"/>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694"/>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6B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301"/>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7B36"/>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4C"/>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9E"/>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AEE"/>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2700F"/>
    <w:rsid w:val="00F302A5"/>
    <w:rsid w:val="00F308B9"/>
    <w:rsid w:val="00F30AA8"/>
    <w:rsid w:val="00F31B00"/>
    <w:rsid w:val="00F32018"/>
    <w:rsid w:val="00F32DE5"/>
    <w:rsid w:val="00F332DC"/>
    <w:rsid w:val="00F33516"/>
    <w:rsid w:val="00F33852"/>
    <w:rsid w:val="00F33A43"/>
    <w:rsid w:val="00F33F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5014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564630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26</Pages>
  <Words>29195</Words>
  <Characters>16642</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82</cp:revision>
  <cp:lastPrinted>2025-01-28T10:23:00Z</cp:lastPrinted>
  <dcterms:created xsi:type="dcterms:W3CDTF">2024-10-01T10:35:00Z</dcterms:created>
  <dcterms:modified xsi:type="dcterms:W3CDTF">2025-03-24T09:13:00Z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