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D02AB" w14:textId="2050E1FF" w:rsidR="00621D16" w:rsidRDefault="00621D16" w:rsidP="00621D16">
      <w:pPr>
        <w:spacing w:after="0" w:line="240" w:lineRule="auto"/>
        <w:jc w:val="right"/>
        <w:rPr>
          <w:rFonts w:ascii="Times New Roman" w:hAnsi="Times New Roman" w:cs="Times New Roman"/>
          <w:bCs/>
        </w:rPr>
      </w:pPr>
      <w:r>
        <w:rPr>
          <w:rFonts w:ascii="Times New Roman" w:hAnsi="Times New Roman" w:cs="Times New Roman"/>
          <w:bCs/>
        </w:rPr>
        <w:t>Pirkimo sąlygų</w:t>
      </w:r>
    </w:p>
    <w:p w14:paraId="046D6139" w14:textId="6A227220" w:rsidR="00621D16" w:rsidRDefault="00621D16" w:rsidP="00621D16">
      <w:pPr>
        <w:spacing w:after="0" w:line="240" w:lineRule="auto"/>
        <w:jc w:val="right"/>
        <w:rPr>
          <w:rFonts w:ascii="Times New Roman" w:hAnsi="Times New Roman" w:cs="Times New Roman"/>
          <w:bCs/>
        </w:rPr>
      </w:pPr>
      <w:r>
        <w:rPr>
          <w:rFonts w:ascii="Times New Roman" w:hAnsi="Times New Roman" w:cs="Times New Roman"/>
          <w:bCs/>
        </w:rPr>
        <w:t>1 priedas „Techninė specifikacija“</w:t>
      </w:r>
    </w:p>
    <w:p w14:paraId="125CC91B" w14:textId="77777777" w:rsidR="00621D16" w:rsidRPr="00621D16" w:rsidRDefault="00621D16" w:rsidP="00621D16">
      <w:pPr>
        <w:spacing w:after="0" w:line="240" w:lineRule="auto"/>
        <w:jc w:val="right"/>
        <w:rPr>
          <w:rFonts w:ascii="Times New Roman" w:hAnsi="Times New Roman" w:cs="Times New Roman"/>
          <w:bCs/>
        </w:rPr>
      </w:pPr>
    </w:p>
    <w:p w14:paraId="6817CA1A" w14:textId="1C434223" w:rsidR="00781196" w:rsidRDefault="00781196" w:rsidP="00561C6C">
      <w:pPr>
        <w:spacing w:line="360" w:lineRule="auto"/>
        <w:jc w:val="center"/>
        <w:rPr>
          <w:rFonts w:ascii="Times New Roman" w:hAnsi="Times New Roman" w:cs="Times New Roman"/>
          <w:b/>
        </w:rPr>
      </w:pPr>
      <w:r w:rsidRPr="00781196">
        <w:rPr>
          <w:rFonts w:ascii="Times New Roman" w:hAnsi="Times New Roman" w:cs="Times New Roman"/>
          <w:b/>
        </w:rPr>
        <w:t xml:space="preserve">TECHNINĖ SPECIFIKACIJA 5 DALIŲ </w:t>
      </w:r>
      <w:r w:rsidR="007712E8">
        <w:rPr>
          <w:rFonts w:ascii="Times New Roman" w:hAnsi="Times New Roman" w:cs="Times New Roman"/>
          <w:b/>
        </w:rPr>
        <w:t>HEMATOLOGINIO</w:t>
      </w:r>
      <w:r w:rsidRPr="00781196">
        <w:rPr>
          <w:rFonts w:ascii="Times New Roman" w:hAnsi="Times New Roman" w:cs="Times New Roman"/>
          <w:b/>
        </w:rPr>
        <w:t xml:space="preserve"> ANALIZATORIAUS REAGENTAMS</w:t>
      </w:r>
    </w:p>
    <w:p w14:paraId="73B145D9" w14:textId="77777777" w:rsidR="00E36390" w:rsidRDefault="00781196" w:rsidP="00E36390">
      <w:pPr>
        <w:pStyle w:val="Sraopastraipa"/>
        <w:numPr>
          <w:ilvl w:val="0"/>
          <w:numId w:val="1"/>
        </w:numPr>
        <w:spacing w:line="360" w:lineRule="auto"/>
        <w:jc w:val="both"/>
        <w:rPr>
          <w:rFonts w:ascii="Times New Roman" w:hAnsi="Times New Roman" w:cs="Times New Roman"/>
        </w:rPr>
      </w:pPr>
      <w:r w:rsidRPr="00781196">
        <w:rPr>
          <w:rFonts w:ascii="Times New Roman" w:hAnsi="Times New Roman" w:cs="Times New Roman"/>
        </w:rPr>
        <w:t>CE ženklinimas</w:t>
      </w:r>
      <w:r>
        <w:rPr>
          <w:rFonts w:ascii="Times New Roman" w:hAnsi="Times New Roman" w:cs="Times New Roman"/>
        </w:rPr>
        <w:t xml:space="preserve">. Analizatorius, reagentai </w:t>
      </w:r>
      <w:r w:rsidRPr="00781196">
        <w:rPr>
          <w:rFonts w:ascii="Times New Roman" w:hAnsi="Times New Roman" w:cs="Times New Roman"/>
        </w:rPr>
        <w:t xml:space="preserve">ir kita komplektuojama įranga turi būti CE sertifikuoti bei žymimi CE ženklu (kartu su pasiūlymu konkursui privaloma pateikti galiojančių dokumentų, liudijančių siūlomo analizatoriaus CE sertifikavimą pagal Europos Parlamento ir Tarybos reglamento (ES) 2017/746 dėl </w:t>
      </w:r>
      <w:proofErr w:type="spellStart"/>
      <w:r w:rsidRPr="00781196">
        <w:rPr>
          <w:rFonts w:ascii="Times New Roman" w:hAnsi="Times New Roman" w:cs="Times New Roman"/>
          <w:i/>
        </w:rPr>
        <w:t>in</w:t>
      </w:r>
      <w:proofErr w:type="spellEnd"/>
      <w:r w:rsidRPr="00781196">
        <w:rPr>
          <w:rFonts w:ascii="Times New Roman" w:hAnsi="Times New Roman" w:cs="Times New Roman"/>
          <w:i/>
        </w:rPr>
        <w:t xml:space="preserve"> </w:t>
      </w:r>
      <w:proofErr w:type="spellStart"/>
      <w:r w:rsidRPr="00781196">
        <w:rPr>
          <w:rFonts w:ascii="Times New Roman" w:hAnsi="Times New Roman" w:cs="Times New Roman"/>
          <w:i/>
        </w:rPr>
        <w:t>vitro</w:t>
      </w:r>
      <w:proofErr w:type="spellEnd"/>
      <w:r w:rsidRPr="00781196">
        <w:rPr>
          <w:rFonts w:ascii="Times New Roman" w:hAnsi="Times New Roman" w:cs="Times New Roman"/>
        </w:rPr>
        <w:t xml:space="preserve"> diagnostikos m</w:t>
      </w:r>
      <w:r>
        <w:rPr>
          <w:rFonts w:ascii="Times New Roman" w:hAnsi="Times New Roman" w:cs="Times New Roman"/>
        </w:rPr>
        <w:t>edicinos priemonių reikalavimus.</w:t>
      </w:r>
    </w:p>
    <w:p w14:paraId="72D18014" w14:textId="77777777" w:rsidR="00E36390" w:rsidRPr="00E36390" w:rsidRDefault="00BE4A48" w:rsidP="00E36390">
      <w:pPr>
        <w:pStyle w:val="Sraopastraipa"/>
        <w:numPr>
          <w:ilvl w:val="0"/>
          <w:numId w:val="1"/>
        </w:numPr>
        <w:spacing w:line="360" w:lineRule="auto"/>
        <w:jc w:val="both"/>
        <w:rPr>
          <w:rFonts w:ascii="Times New Roman" w:hAnsi="Times New Roman" w:cs="Times New Roman"/>
        </w:rPr>
      </w:pPr>
      <w:r>
        <w:rPr>
          <w:rFonts w:ascii="Times New Roman" w:hAnsi="Times New Roman" w:cs="Times New Roman"/>
        </w:rPr>
        <w:t>Reagentai ir priemonės t</w:t>
      </w:r>
      <w:r w:rsidR="00E36390" w:rsidRPr="00E36390">
        <w:rPr>
          <w:rFonts w:ascii="Times New Roman" w:hAnsi="Times New Roman" w:cs="Times New Roman"/>
        </w:rPr>
        <w:t>uri būti tinkami analizatoriui, rekomenduojami gamintojo, atitinkantys tyrimo metodą. Turi būti vieno tiekėjo ir vieno gamintojo (arba analizatoriaus gamintojo rekomenduoti ir adaptuoti, pateikti tai įrodančius dokumentus).  Prietaiso ir reagentų sistema turi atitikti Lietuvos Respublikos Sveikatos Apsaugos Ministro įsakymų 2017-01-19 d. Nr. V-63, 2016-02-17 d. įsakymo Nr. V-271 reikalavimus ir kitus</w:t>
      </w:r>
      <w:r w:rsidR="00E36390">
        <w:rPr>
          <w:rFonts w:ascii="Times New Roman" w:hAnsi="Times New Roman" w:cs="Times New Roman"/>
        </w:rPr>
        <w:t xml:space="preserve"> norminius aktus dėl saugaus </w:t>
      </w:r>
      <w:proofErr w:type="spellStart"/>
      <w:r w:rsidR="00E36390" w:rsidRPr="00E36390">
        <w:rPr>
          <w:rFonts w:ascii="Times New Roman" w:hAnsi="Times New Roman" w:cs="Times New Roman"/>
          <w:i/>
        </w:rPr>
        <w:t>in</w:t>
      </w:r>
      <w:proofErr w:type="spellEnd"/>
      <w:r w:rsidR="00E36390" w:rsidRPr="00E36390">
        <w:rPr>
          <w:rFonts w:ascii="Times New Roman" w:hAnsi="Times New Roman" w:cs="Times New Roman"/>
          <w:i/>
        </w:rPr>
        <w:t xml:space="preserve"> </w:t>
      </w:r>
      <w:proofErr w:type="spellStart"/>
      <w:r w:rsidR="00E36390" w:rsidRPr="00E36390">
        <w:rPr>
          <w:rFonts w:ascii="Times New Roman" w:hAnsi="Times New Roman" w:cs="Times New Roman"/>
          <w:i/>
        </w:rPr>
        <w:t>vitro</w:t>
      </w:r>
      <w:proofErr w:type="spellEnd"/>
      <w:r w:rsidR="00E36390" w:rsidRPr="00E36390">
        <w:rPr>
          <w:rFonts w:ascii="Times New Roman" w:hAnsi="Times New Roman" w:cs="Times New Roman"/>
        </w:rPr>
        <w:t xml:space="preserve"> diagnostikos medicinos prietaisų naudojimo.</w:t>
      </w:r>
    </w:p>
    <w:p w14:paraId="6A2B6EFB" w14:textId="77777777" w:rsidR="00E36390" w:rsidRPr="00E36390" w:rsidRDefault="00E36390" w:rsidP="00E36390">
      <w:pPr>
        <w:pStyle w:val="Sraopastraipa"/>
        <w:numPr>
          <w:ilvl w:val="0"/>
          <w:numId w:val="1"/>
        </w:numPr>
        <w:spacing w:line="360" w:lineRule="auto"/>
        <w:jc w:val="both"/>
        <w:rPr>
          <w:rFonts w:ascii="Times New Roman" w:hAnsi="Times New Roman" w:cs="Times New Roman"/>
        </w:rPr>
      </w:pPr>
      <w:r w:rsidRPr="00E36390">
        <w:rPr>
          <w:rFonts w:ascii="Times New Roman" w:hAnsi="Times New Roman" w:cs="Times New Roman"/>
        </w:rPr>
        <w:t>Pasiūlyme turi būti pateiktos visos tyrimui atlikti būtinos priemonės: reagentai, kalibravimo ir kontrolinės medžiagos, ski</w:t>
      </w:r>
      <w:r>
        <w:rPr>
          <w:rFonts w:ascii="Times New Roman" w:hAnsi="Times New Roman" w:cs="Times New Roman"/>
        </w:rPr>
        <w:t xml:space="preserve">edikliai, plovikliai, buferiai </w:t>
      </w:r>
      <w:r w:rsidRPr="00E36390">
        <w:rPr>
          <w:rFonts w:ascii="Times New Roman" w:hAnsi="Times New Roman" w:cs="Times New Roman"/>
        </w:rPr>
        <w:t>ir kitos priemonės, pagal numatytas gamintojo rekomendacijas.</w:t>
      </w:r>
    </w:p>
    <w:p w14:paraId="1F4D8CCB" w14:textId="77777777" w:rsidR="00E36390" w:rsidRPr="00E36390" w:rsidRDefault="00E36390" w:rsidP="00E36390">
      <w:pPr>
        <w:pStyle w:val="Sraopastraipa"/>
        <w:numPr>
          <w:ilvl w:val="0"/>
          <w:numId w:val="1"/>
        </w:numPr>
        <w:spacing w:line="360" w:lineRule="auto"/>
        <w:jc w:val="both"/>
        <w:rPr>
          <w:rFonts w:ascii="Times New Roman" w:hAnsi="Times New Roman" w:cs="Times New Roman"/>
        </w:rPr>
      </w:pPr>
      <w:r w:rsidRPr="00E36390">
        <w:rPr>
          <w:rFonts w:ascii="Times New Roman" w:hAnsi="Times New Roman" w:cs="Times New Roman"/>
        </w:rPr>
        <w:t>Reagentų stabilumas, saugojimo sąlygos</w:t>
      </w:r>
      <w:r>
        <w:rPr>
          <w:rFonts w:ascii="Times New Roman" w:hAnsi="Times New Roman" w:cs="Times New Roman"/>
        </w:rPr>
        <w:t xml:space="preserve">. </w:t>
      </w:r>
      <w:r w:rsidRPr="00E36390">
        <w:rPr>
          <w:rFonts w:ascii="Times New Roman" w:hAnsi="Times New Roman" w:cs="Times New Roman"/>
        </w:rPr>
        <w:t>T</w:t>
      </w:r>
      <w:r>
        <w:rPr>
          <w:rFonts w:ascii="Times New Roman" w:hAnsi="Times New Roman" w:cs="Times New Roman"/>
        </w:rPr>
        <w:t xml:space="preserve">iekėjai privalo pateikti visų </w:t>
      </w:r>
      <w:r w:rsidRPr="00E36390">
        <w:rPr>
          <w:rFonts w:ascii="Times New Roman" w:hAnsi="Times New Roman" w:cs="Times New Roman"/>
        </w:rPr>
        <w:t>priemonių gamintojo deklaruojamą  stabilumą atidarius, specifinius reikalavimus paruošimui, laikymui, naudojimui.</w:t>
      </w:r>
    </w:p>
    <w:p w14:paraId="7D1F1A04" w14:textId="77777777" w:rsidR="00B03154" w:rsidRDefault="00781196" w:rsidP="00B03154">
      <w:pPr>
        <w:pStyle w:val="Sraopastraipa"/>
        <w:numPr>
          <w:ilvl w:val="0"/>
          <w:numId w:val="1"/>
        </w:numPr>
        <w:spacing w:line="360" w:lineRule="auto"/>
        <w:jc w:val="both"/>
        <w:rPr>
          <w:rFonts w:ascii="Times New Roman" w:hAnsi="Times New Roman" w:cs="Times New Roman"/>
        </w:rPr>
      </w:pPr>
      <w:r w:rsidRPr="00781196">
        <w:rPr>
          <w:rFonts w:ascii="Times New Roman" w:hAnsi="Times New Roman" w:cs="Times New Roman"/>
        </w:rPr>
        <w:t>Reikalavimai reagentams ir papildomoms priemonėms</w:t>
      </w:r>
      <w:r>
        <w:rPr>
          <w:rFonts w:ascii="Times New Roman" w:hAnsi="Times New Roman" w:cs="Times New Roman"/>
        </w:rPr>
        <w:t>: t</w:t>
      </w:r>
      <w:r w:rsidRPr="00781196">
        <w:rPr>
          <w:rFonts w:ascii="Times New Roman" w:hAnsi="Times New Roman" w:cs="Times New Roman"/>
        </w:rPr>
        <w:t>iekėjas turi pateikti visus nurodytų tyrimų atlikimui pagal gamintojo rekomendacijas reikalingus reagentus ir papildomas priemones.</w:t>
      </w:r>
      <w:r w:rsidR="000E4231">
        <w:rPr>
          <w:rFonts w:ascii="Times New Roman" w:hAnsi="Times New Roman" w:cs="Times New Roman"/>
        </w:rPr>
        <w:t xml:space="preserve"> </w:t>
      </w:r>
    </w:p>
    <w:p w14:paraId="2D35F63A" w14:textId="77777777" w:rsidR="00781196" w:rsidRDefault="00781196" w:rsidP="00B03154">
      <w:pPr>
        <w:pStyle w:val="Sraopastraipa"/>
        <w:numPr>
          <w:ilvl w:val="0"/>
          <w:numId w:val="1"/>
        </w:numPr>
        <w:spacing w:line="360" w:lineRule="auto"/>
        <w:jc w:val="both"/>
        <w:rPr>
          <w:rFonts w:ascii="Times New Roman" w:hAnsi="Times New Roman" w:cs="Times New Roman"/>
        </w:rPr>
      </w:pPr>
      <w:r w:rsidRPr="00B03154">
        <w:rPr>
          <w:rFonts w:ascii="Times New Roman" w:hAnsi="Times New Roman" w:cs="Times New Roman"/>
        </w:rPr>
        <w:t>Reagentų galiojimo terminas ne trumpesnis kaip 6 mėnesiai nuo pristatymo dienos.</w:t>
      </w:r>
    </w:p>
    <w:p w14:paraId="0A33E2C5" w14:textId="77777777" w:rsidR="00EE3E3C" w:rsidRPr="00EE3E3C" w:rsidRDefault="00EE3E3C" w:rsidP="00EE3E3C">
      <w:pPr>
        <w:pStyle w:val="Sraopastraipa"/>
        <w:numPr>
          <w:ilvl w:val="0"/>
          <w:numId w:val="1"/>
        </w:numPr>
        <w:spacing w:line="360" w:lineRule="auto"/>
        <w:jc w:val="both"/>
        <w:rPr>
          <w:rFonts w:ascii="Times New Roman" w:hAnsi="Times New Roman" w:cs="Times New Roman"/>
        </w:rPr>
      </w:pPr>
      <w:r w:rsidRPr="00EE3E3C">
        <w:rPr>
          <w:rFonts w:ascii="Times New Roman" w:hAnsi="Times New Roman" w:cs="Times New Roman"/>
        </w:rPr>
        <w:t>Analizatoriaus techninę priežiūrą ir</w:t>
      </w:r>
      <w:r>
        <w:rPr>
          <w:rFonts w:ascii="Times New Roman" w:hAnsi="Times New Roman" w:cs="Times New Roman"/>
        </w:rPr>
        <w:t xml:space="preserve"> </w:t>
      </w:r>
      <w:r w:rsidRPr="00EE3E3C">
        <w:rPr>
          <w:rFonts w:ascii="Times New Roman" w:hAnsi="Times New Roman" w:cs="Times New Roman"/>
        </w:rPr>
        <w:t>remontą visą panaudos laikotarpį</w:t>
      </w:r>
      <w:r>
        <w:rPr>
          <w:rFonts w:ascii="Times New Roman" w:hAnsi="Times New Roman" w:cs="Times New Roman"/>
        </w:rPr>
        <w:t xml:space="preserve"> </w:t>
      </w:r>
      <w:r w:rsidRPr="00EE3E3C">
        <w:rPr>
          <w:rFonts w:ascii="Times New Roman" w:hAnsi="Times New Roman" w:cs="Times New Roman"/>
        </w:rPr>
        <w:t>vykdo panaudos davėjas savo sąskaita</w:t>
      </w:r>
      <w:r>
        <w:rPr>
          <w:rFonts w:ascii="Times New Roman" w:hAnsi="Times New Roman" w:cs="Times New Roman"/>
        </w:rPr>
        <w:t xml:space="preserve">. </w:t>
      </w:r>
      <w:r w:rsidRPr="00EE3E3C">
        <w:rPr>
          <w:rFonts w:ascii="Times New Roman" w:hAnsi="Times New Roman" w:cs="Times New Roman"/>
        </w:rPr>
        <w:t>Turi būti garantuotas kvalifikuotas techninis analizatorių</w:t>
      </w:r>
      <w:r>
        <w:rPr>
          <w:rFonts w:ascii="Times New Roman" w:hAnsi="Times New Roman" w:cs="Times New Roman"/>
        </w:rPr>
        <w:t xml:space="preserve"> </w:t>
      </w:r>
      <w:r w:rsidRPr="00EE3E3C">
        <w:rPr>
          <w:rFonts w:ascii="Times New Roman" w:hAnsi="Times New Roman" w:cs="Times New Roman"/>
        </w:rPr>
        <w:t>aptarnavimas, remontas, atliekamas gamintojo įgaliotų serviso</w:t>
      </w:r>
      <w:r>
        <w:rPr>
          <w:rFonts w:ascii="Times New Roman" w:hAnsi="Times New Roman" w:cs="Times New Roman"/>
        </w:rPr>
        <w:t xml:space="preserve"> </w:t>
      </w:r>
      <w:r w:rsidRPr="00EE3E3C">
        <w:rPr>
          <w:rFonts w:ascii="Times New Roman" w:hAnsi="Times New Roman" w:cs="Times New Roman"/>
        </w:rPr>
        <w:t>inžinierių, vadovaujantis Lietuvos Respublikos Sveikatos</w:t>
      </w:r>
      <w:r>
        <w:rPr>
          <w:rFonts w:ascii="Times New Roman" w:hAnsi="Times New Roman" w:cs="Times New Roman"/>
        </w:rPr>
        <w:t xml:space="preserve"> apsaugos ministro įsakymą ,,</w:t>
      </w:r>
      <w:r w:rsidRPr="00EE3E3C">
        <w:rPr>
          <w:rFonts w:ascii="Times New Roman" w:hAnsi="Times New Roman" w:cs="Times New Roman"/>
        </w:rPr>
        <w:t>Dėl medicinos priemonių</w:t>
      </w:r>
      <w:r>
        <w:rPr>
          <w:rFonts w:ascii="Times New Roman" w:hAnsi="Times New Roman" w:cs="Times New Roman"/>
        </w:rPr>
        <w:t xml:space="preserve"> </w:t>
      </w:r>
      <w:r w:rsidRPr="00EE3E3C">
        <w:rPr>
          <w:rFonts w:ascii="Times New Roman" w:hAnsi="Times New Roman" w:cs="Times New Roman"/>
        </w:rPr>
        <w:t>(prietaisų) naudojimo tvarkos aprašo patvirtinimo</w:t>
      </w:r>
      <w:r>
        <w:rPr>
          <w:rFonts w:ascii="Times New Roman" w:hAnsi="Times New Roman" w:cs="Times New Roman"/>
        </w:rPr>
        <w:t xml:space="preserve">‘‘ 2016 </w:t>
      </w:r>
      <w:r w:rsidRPr="00EE3E3C">
        <w:rPr>
          <w:rFonts w:ascii="Times New Roman" w:hAnsi="Times New Roman" w:cs="Times New Roman"/>
        </w:rPr>
        <w:t>m.</w:t>
      </w:r>
      <w:r>
        <w:rPr>
          <w:rFonts w:ascii="Times New Roman" w:hAnsi="Times New Roman" w:cs="Times New Roman"/>
        </w:rPr>
        <w:t xml:space="preserve"> </w:t>
      </w:r>
      <w:r w:rsidRPr="00EE3E3C">
        <w:rPr>
          <w:rFonts w:ascii="Times New Roman" w:hAnsi="Times New Roman" w:cs="Times New Roman"/>
        </w:rPr>
        <w:t xml:space="preserve">vasario </w:t>
      </w:r>
      <w:r>
        <w:rPr>
          <w:rFonts w:ascii="Times New Roman" w:hAnsi="Times New Roman" w:cs="Times New Roman"/>
        </w:rPr>
        <w:t xml:space="preserve">mėn. </w:t>
      </w:r>
      <w:r w:rsidRPr="00EE3E3C">
        <w:rPr>
          <w:rFonts w:ascii="Times New Roman" w:hAnsi="Times New Roman" w:cs="Times New Roman"/>
        </w:rPr>
        <w:t>17</w:t>
      </w:r>
      <w:r>
        <w:rPr>
          <w:rFonts w:ascii="Times New Roman" w:hAnsi="Times New Roman" w:cs="Times New Roman"/>
        </w:rPr>
        <w:t xml:space="preserve"> </w:t>
      </w:r>
      <w:r w:rsidRPr="00EE3E3C">
        <w:rPr>
          <w:rFonts w:ascii="Times New Roman" w:hAnsi="Times New Roman" w:cs="Times New Roman"/>
        </w:rPr>
        <w:t>d. Nr. V-271.</w:t>
      </w:r>
    </w:p>
    <w:p w14:paraId="038F4EED" w14:textId="77777777" w:rsidR="00781196" w:rsidRDefault="00781196" w:rsidP="000E4231">
      <w:pPr>
        <w:pStyle w:val="Sraopastraipa"/>
        <w:numPr>
          <w:ilvl w:val="0"/>
          <w:numId w:val="1"/>
        </w:numPr>
        <w:spacing w:line="360" w:lineRule="auto"/>
        <w:jc w:val="both"/>
        <w:rPr>
          <w:rFonts w:ascii="Times New Roman" w:hAnsi="Times New Roman" w:cs="Times New Roman"/>
        </w:rPr>
      </w:pPr>
      <w:r>
        <w:rPr>
          <w:rFonts w:ascii="Times New Roman" w:hAnsi="Times New Roman" w:cs="Times New Roman"/>
        </w:rPr>
        <w:t xml:space="preserve">Mokymai. </w:t>
      </w:r>
      <w:r w:rsidRPr="00781196">
        <w:rPr>
          <w:rFonts w:ascii="Times New Roman" w:hAnsi="Times New Roman" w:cs="Times New Roman"/>
        </w:rPr>
        <w:t xml:space="preserve">Tiekėjas turi apmokyti laboratorijos darbuotojus dirbti su </w:t>
      </w:r>
      <w:r w:rsidR="00CD1AA9">
        <w:rPr>
          <w:rFonts w:ascii="Times New Roman" w:hAnsi="Times New Roman" w:cs="Times New Roman"/>
        </w:rPr>
        <w:t>analizatoriaus</w:t>
      </w:r>
      <w:r w:rsidRPr="00781196">
        <w:rPr>
          <w:rFonts w:ascii="Times New Roman" w:hAnsi="Times New Roman" w:cs="Times New Roman"/>
        </w:rPr>
        <w:t xml:space="preserve"> aparatūrine bei programine įranga.</w:t>
      </w:r>
    </w:p>
    <w:p w14:paraId="2BD385C8" w14:textId="77777777" w:rsidR="00E36390" w:rsidRPr="00561C6C" w:rsidRDefault="00E36390" w:rsidP="00561C6C">
      <w:pPr>
        <w:pStyle w:val="Sraopastraipa"/>
        <w:numPr>
          <w:ilvl w:val="0"/>
          <w:numId w:val="1"/>
        </w:numPr>
        <w:spacing w:line="360" w:lineRule="auto"/>
        <w:jc w:val="both"/>
        <w:rPr>
          <w:rFonts w:ascii="Times New Roman" w:hAnsi="Times New Roman" w:cs="Times New Roman"/>
        </w:rPr>
      </w:pPr>
      <w:r w:rsidRPr="00781196">
        <w:rPr>
          <w:rFonts w:ascii="Times New Roman" w:hAnsi="Times New Roman" w:cs="Times New Roman"/>
        </w:rPr>
        <w:t xml:space="preserve">Naudojimo instrukcija. Kartu su analizatoriumi turi būti pateikiama naudojimo instrukcija (vartotojo vadovas) anglų ir lietuvių kalbomis (elektroninė ar popierinė versija). </w:t>
      </w:r>
    </w:p>
    <w:p w14:paraId="6CC01F86" w14:textId="77777777" w:rsidR="00561C6C" w:rsidRDefault="00561C6C" w:rsidP="00561C6C">
      <w:pPr>
        <w:jc w:val="center"/>
        <w:rPr>
          <w:rFonts w:ascii="Times New Roman" w:hAnsi="Times New Roman" w:cs="Times New Roman"/>
          <w:b/>
        </w:rPr>
      </w:pPr>
      <w:r>
        <w:rPr>
          <w:rFonts w:ascii="Times New Roman" w:hAnsi="Times New Roman" w:cs="Times New Roman"/>
          <w:b/>
        </w:rPr>
        <w:t xml:space="preserve">TECHNINIAI REIKALAVIMAI </w:t>
      </w:r>
      <w:r w:rsidRPr="00781196">
        <w:rPr>
          <w:rFonts w:ascii="Times New Roman" w:hAnsi="Times New Roman" w:cs="Times New Roman"/>
          <w:b/>
        </w:rPr>
        <w:t xml:space="preserve">5 DALIŲ </w:t>
      </w:r>
      <w:r>
        <w:rPr>
          <w:rFonts w:ascii="Times New Roman" w:hAnsi="Times New Roman" w:cs="Times New Roman"/>
          <w:b/>
        </w:rPr>
        <w:t>HEMATOLOGINIAM ANALIZATORIUI PAGAL PANAUDĄ</w:t>
      </w:r>
    </w:p>
    <w:tbl>
      <w:tblPr>
        <w:tblStyle w:val="Lentelstinklelis"/>
        <w:tblW w:w="9628" w:type="dxa"/>
        <w:tblLook w:val="04A0" w:firstRow="1" w:lastRow="0" w:firstColumn="1" w:lastColumn="0" w:noHBand="0" w:noVBand="1"/>
      </w:tblPr>
      <w:tblGrid>
        <w:gridCol w:w="988"/>
        <w:gridCol w:w="8640"/>
      </w:tblGrid>
      <w:tr w:rsidR="00561C6C" w14:paraId="188C6A35" w14:textId="77777777" w:rsidTr="00561C6C">
        <w:tc>
          <w:tcPr>
            <w:tcW w:w="988" w:type="dxa"/>
          </w:tcPr>
          <w:p w14:paraId="218637AA"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Eil. Nr.</w:t>
            </w:r>
          </w:p>
        </w:tc>
        <w:tc>
          <w:tcPr>
            <w:tcW w:w="8640" w:type="dxa"/>
          </w:tcPr>
          <w:p w14:paraId="35124276"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Reikalaujami techniniai parametrai</w:t>
            </w:r>
          </w:p>
        </w:tc>
      </w:tr>
      <w:tr w:rsidR="00561C6C" w14:paraId="122737C4" w14:textId="77777777" w:rsidTr="00561C6C">
        <w:tc>
          <w:tcPr>
            <w:tcW w:w="988" w:type="dxa"/>
          </w:tcPr>
          <w:p w14:paraId="5DD335B7"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w:t>
            </w:r>
          </w:p>
        </w:tc>
        <w:tc>
          <w:tcPr>
            <w:tcW w:w="8640" w:type="dxa"/>
          </w:tcPr>
          <w:p w14:paraId="0AC08BBE"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Matuojami parametrai:</w:t>
            </w:r>
          </w:p>
          <w:p w14:paraId="17BDBED5"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WBC, RBC, HGB, HCT, MCV, MCH, MCHC, PLT, PDW,  MPV, PCT, RDW-SD, RDW-CV, P-LCC, P-LCR, CRP</w:t>
            </w:r>
          </w:p>
          <w:p w14:paraId="654EBDCE" w14:textId="77777777" w:rsidR="00561C6C" w:rsidRPr="00E104E8" w:rsidRDefault="00561C6C" w:rsidP="00561C6C">
            <w:pPr>
              <w:ind w:hanging="2"/>
              <w:rPr>
                <w:rFonts w:ascii="Times New Roman" w:eastAsia="Times New Roman" w:hAnsi="Times New Roman" w:cs="Times New Roman"/>
              </w:rPr>
            </w:pPr>
            <w:proofErr w:type="spellStart"/>
            <w:r w:rsidRPr="00E104E8">
              <w:rPr>
                <w:rFonts w:ascii="Times New Roman" w:eastAsia="Times New Roman" w:hAnsi="Times New Roman" w:cs="Times New Roman"/>
              </w:rPr>
              <w:t>monocitai</w:t>
            </w:r>
            <w:proofErr w:type="spellEnd"/>
            <w:r w:rsidRPr="00E104E8">
              <w:rPr>
                <w:rFonts w:ascii="Times New Roman" w:eastAsia="Times New Roman" w:hAnsi="Times New Roman" w:cs="Times New Roman"/>
              </w:rPr>
              <w:t xml:space="preserve"> (#, %),</w:t>
            </w:r>
          </w:p>
          <w:p w14:paraId="18D46C2B"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limfocitai (#, %),</w:t>
            </w:r>
          </w:p>
          <w:p w14:paraId="2846696A" w14:textId="77777777" w:rsidR="00561C6C" w:rsidRPr="00E104E8" w:rsidRDefault="00561C6C" w:rsidP="00561C6C">
            <w:pPr>
              <w:ind w:hanging="2"/>
              <w:rPr>
                <w:rFonts w:ascii="Times New Roman" w:eastAsia="Times New Roman" w:hAnsi="Times New Roman" w:cs="Times New Roman"/>
              </w:rPr>
            </w:pPr>
            <w:proofErr w:type="spellStart"/>
            <w:r w:rsidRPr="00E104E8">
              <w:rPr>
                <w:rFonts w:ascii="Times New Roman" w:eastAsia="Times New Roman" w:hAnsi="Times New Roman" w:cs="Times New Roman"/>
              </w:rPr>
              <w:lastRenderedPageBreak/>
              <w:t>eozinofilai</w:t>
            </w:r>
            <w:proofErr w:type="spellEnd"/>
            <w:r w:rsidRPr="00E104E8">
              <w:rPr>
                <w:rFonts w:ascii="Times New Roman" w:eastAsia="Times New Roman" w:hAnsi="Times New Roman" w:cs="Times New Roman"/>
              </w:rPr>
              <w:t xml:space="preserve"> (#, %),</w:t>
            </w:r>
          </w:p>
          <w:p w14:paraId="3046DF66" w14:textId="77777777" w:rsidR="00561C6C" w:rsidRPr="00E104E8" w:rsidRDefault="00561C6C" w:rsidP="00561C6C">
            <w:pPr>
              <w:ind w:hanging="2"/>
              <w:rPr>
                <w:rFonts w:ascii="Times New Roman" w:eastAsia="Times New Roman" w:hAnsi="Times New Roman" w:cs="Times New Roman"/>
              </w:rPr>
            </w:pPr>
            <w:proofErr w:type="spellStart"/>
            <w:r w:rsidRPr="00E104E8">
              <w:rPr>
                <w:rFonts w:ascii="Times New Roman" w:eastAsia="Times New Roman" w:hAnsi="Times New Roman" w:cs="Times New Roman"/>
              </w:rPr>
              <w:t>neutrofilai</w:t>
            </w:r>
            <w:proofErr w:type="spellEnd"/>
            <w:r w:rsidRPr="00E104E8">
              <w:rPr>
                <w:rFonts w:ascii="Times New Roman" w:eastAsia="Times New Roman" w:hAnsi="Times New Roman" w:cs="Times New Roman"/>
              </w:rPr>
              <w:t xml:space="preserve"> (#, %),</w:t>
            </w:r>
          </w:p>
          <w:p w14:paraId="29F5285E" w14:textId="77777777" w:rsidR="00561C6C" w:rsidRPr="00E104E8" w:rsidRDefault="00561C6C" w:rsidP="00561C6C">
            <w:pPr>
              <w:ind w:hanging="2"/>
              <w:rPr>
                <w:rFonts w:ascii="Times New Roman" w:eastAsia="Times New Roman" w:hAnsi="Times New Roman" w:cs="Times New Roman"/>
              </w:rPr>
            </w:pPr>
            <w:proofErr w:type="spellStart"/>
            <w:r w:rsidRPr="00E104E8">
              <w:rPr>
                <w:rFonts w:ascii="Times New Roman" w:eastAsia="Times New Roman" w:hAnsi="Times New Roman" w:cs="Times New Roman"/>
              </w:rPr>
              <w:t>bazofilai</w:t>
            </w:r>
            <w:proofErr w:type="spellEnd"/>
            <w:r w:rsidRPr="00E104E8">
              <w:rPr>
                <w:rFonts w:ascii="Times New Roman" w:eastAsia="Times New Roman" w:hAnsi="Times New Roman" w:cs="Times New Roman"/>
              </w:rPr>
              <w:t xml:space="preserve"> (#, %),</w:t>
            </w:r>
          </w:p>
          <w:p w14:paraId="00D467BC" w14:textId="77777777" w:rsidR="005A0AAE" w:rsidRPr="005A0AAE" w:rsidRDefault="005A0AAE" w:rsidP="005A0AAE">
            <w:pPr>
              <w:ind w:hanging="2"/>
              <w:rPr>
                <w:rFonts w:ascii="Times New Roman" w:eastAsia="Times New Roman" w:hAnsi="Times New Roman" w:cs="Times New Roman"/>
              </w:rPr>
            </w:pPr>
            <w:r w:rsidRPr="005A0AAE">
              <w:rPr>
                <w:rFonts w:ascii="Times New Roman" w:eastAsia="Times New Roman" w:hAnsi="Times New Roman" w:cs="Times New Roman"/>
              </w:rPr>
              <w:t xml:space="preserve">3 histogramos, 1 leukocitų sklaidos diagrama </w:t>
            </w:r>
            <w:r w:rsidRPr="005A0AAE">
              <w:rPr>
                <w:rFonts w:ascii="Times New Roman" w:eastAsia="Times New Roman" w:hAnsi="Times New Roman" w:cs="Times New Roman"/>
                <w:color w:val="FF0000"/>
              </w:rPr>
              <w:t>arba lygiaverčiai parametrai</w:t>
            </w:r>
          </w:p>
          <w:p w14:paraId="3A380511" w14:textId="6F9C5137" w:rsidR="00561C6C" w:rsidRPr="00E104E8" w:rsidRDefault="005A0AAE" w:rsidP="005A0AAE">
            <w:pPr>
              <w:ind w:hanging="2"/>
              <w:rPr>
                <w:rFonts w:ascii="Times New Roman" w:eastAsia="Times New Roman" w:hAnsi="Times New Roman" w:cs="Times New Roman"/>
              </w:rPr>
            </w:pPr>
            <w:r w:rsidRPr="005A0AAE">
              <w:rPr>
                <w:rFonts w:ascii="Times New Roman" w:eastAsia="Times New Roman" w:hAnsi="Times New Roman" w:cs="Times New Roman"/>
              </w:rPr>
              <w:t>Viso ne mažiau kaip 26 analitės</w:t>
            </w:r>
          </w:p>
        </w:tc>
      </w:tr>
      <w:tr w:rsidR="00561C6C" w14:paraId="7D3390B4" w14:textId="77777777" w:rsidTr="00561C6C">
        <w:tc>
          <w:tcPr>
            <w:tcW w:w="988" w:type="dxa"/>
          </w:tcPr>
          <w:p w14:paraId="059324D6"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lastRenderedPageBreak/>
              <w:t>2</w:t>
            </w:r>
          </w:p>
        </w:tc>
        <w:tc>
          <w:tcPr>
            <w:tcW w:w="8640" w:type="dxa"/>
          </w:tcPr>
          <w:p w14:paraId="78F8D5EB"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Matavimo metodai: Impedansas, tėkmės  </w:t>
            </w:r>
            <w:proofErr w:type="spellStart"/>
            <w:r w:rsidRPr="00E104E8">
              <w:rPr>
                <w:rFonts w:ascii="Times New Roman" w:eastAsia="Times New Roman" w:hAnsi="Times New Roman" w:cs="Times New Roman"/>
              </w:rPr>
              <w:t>citometrija</w:t>
            </w:r>
            <w:proofErr w:type="spellEnd"/>
            <w:r w:rsidRPr="00E104E8">
              <w:rPr>
                <w:rFonts w:ascii="Times New Roman" w:eastAsia="Times New Roman" w:hAnsi="Times New Roman" w:cs="Times New Roman"/>
              </w:rPr>
              <w:t xml:space="preserve">, </w:t>
            </w:r>
            <w:proofErr w:type="spellStart"/>
            <w:r w:rsidRPr="00E104E8">
              <w:rPr>
                <w:rFonts w:ascii="Times New Roman" w:eastAsia="Times New Roman" w:hAnsi="Times New Roman" w:cs="Times New Roman"/>
              </w:rPr>
              <w:t>Imunoturbidimetrinis</w:t>
            </w:r>
            <w:proofErr w:type="spellEnd"/>
            <w:r w:rsidRPr="00E104E8">
              <w:rPr>
                <w:rFonts w:ascii="Times New Roman" w:eastAsia="Times New Roman" w:hAnsi="Times New Roman" w:cs="Times New Roman"/>
              </w:rPr>
              <w:t xml:space="preserve"> metodas CRB matavimui.</w:t>
            </w:r>
          </w:p>
        </w:tc>
      </w:tr>
      <w:tr w:rsidR="00561C6C" w14:paraId="3ECDDCD5" w14:textId="77777777" w:rsidTr="00561C6C">
        <w:tc>
          <w:tcPr>
            <w:tcW w:w="988" w:type="dxa"/>
          </w:tcPr>
          <w:p w14:paraId="3E433ECE"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3</w:t>
            </w:r>
          </w:p>
        </w:tc>
        <w:tc>
          <w:tcPr>
            <w:tcW w:w="8640" w:type="dxa"/>
          </w:tcPr>
          <w:p w14:paraId="34CD3097"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Galimybė pasirinkti skirtingus matavimo režimus: CBC, CBC+DIFF, CRP, CBC+DIFF+CRP</w:t>
            </w:r>
          </w:p>
        </w:tc>
      </w:tr>
      <w:tr w:rsidR="00561C6C" w14:paraId="54E2E4C1" w14:textId="77777777" w:rsidTr="00561C6C">
        <w:tc>
          <w:tcPr>
            <w:tcW w:w="988" w:type="dxa"/>
          </w:tcPr>
          <w:p w14:paraId="7A9DB842"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4</w:t>
            </w:r>
          </w:p>
        </w:tc>
        <w:tc>
          <w:tcPr>
            <w:tcW w:w="8640" w:type="dxa"/>
          </w:tcPr>
          <w:p w14:paraId="0FB2B6DD"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Mėginio tūris CBC+DIFF ne daugiau kaip 25 </w:t>
            </w:r>
            <w:proofErr w:type="spellStart"/>
            <w:r w:rsidRPr="00E104E8">
              <w:rPr>
                <w:rFonts w:ascii="Times New Roman" w:eastAsia="Times New Roman" w:hAnsi="Times New Roman" w:cs="Times New Roman"/>
              </w:rPr>
              <w:t>μl</w:t>
            </w:r>
            <w:proofErr w:type="spellEnd"/>
            <w:r w:rsidRPr="00E104E8">
              <w:rPr>
                <w:rFonts w:ascii="Times New Roman" w:eastAsia="Times New Roman" w:hAnsi="Times New Roman" w:cs="Times New Roman"/>
              </w:rPr>
              <w:t xml:space="preserve"> kraujo. (be skiedimo)</w:t>
            </w:r>
          </w:p>
          <w:p w14:paraId="561DEB90"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Mėginio tūris CBC+DIFF+CRP ne daugiau kaip 40 </w:t>
            </w:r>
            <w:proofErr w:type="spellStart"/>
            <w:r w:rsidRPr="00E104E8">
              <w:rPr>
                <w:rFonts w:ascii="Times New Roman" w:eastAsia="Times New Roman" w:hAnsi="Times New Roman" w:cs="Times New Roman"/>
              </w:rPr>
              <w:t>μl</w:t>
            </w:r>
            <w:proofErr w:type="spellEnd"/>
            <w:r w:rsidRPr="00E104E8">
              <w:rPr>
                <w:rFonts w:ascii="Times New Roman" w:eastAsia="Times New Roman" w:hAnsi="Times New Roman" w:cs="Times New Roman"/>
              </w:rPr>
              <w:t xml:space="preserve"> kraujo. (be skiedimo) </w:t>
            </w:r>
          </w:p>
        </w:tc>
      </w:tr>
      <w:tr w:rsidR="00561C6C" w14:paraId="3A482B82" w14:textId="77777777" w:rsidTr="00561C6C">
        <w:tc>
          <w:tcPr>
            <w:tcW w:w="988" w:type="dxa"/>
          </w:tcPr>
          <w:p w14:paraId="1F6E9A1B"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5</w:t>
            </w:r>
          </w:p>
        </w:tc>
        <w:tc>
          <w:tcPr>
            <w:tcW w:w="8640" w:type="dxa"/>
          </w:tcPr>
          <w:p w14:paraId="711AB70D"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Matuojamų parametrų tikslumas (CV%) ne prastesnis nei:</w:t>
            </w:r>
          </w:p>
          <w:p w14:paraId="28ED653C"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WBC ≤ 2.5%</w:t>
            </w:r>
          </w:p>
          <w:p w14:paraId="36517DD9"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RBC ≤ 1.5%</w:t>
            </w:r>
          </w:p>
          <w:p w14:paraId="6F55B982"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HGB ≤ 1.5%</w:t>
            </w:r>
          </w:p>
          <w:p w14:paraId="46BA9B99"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PLT ≤ 5%</w:t>
            </w:r>
          </w:p>
          <w:p w14:paraId="7FF021A8"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CRP ≤ 4%</w:t>
            </w:r>
            <w:sdt>
              <w:sdtPr>
                <w:rPr>
                  <w:rFonts w:ascii="Times New Roman" w:hAnsi="Times New Roman" w:cs="Times New Roman"/>
                </w:rPr>
                <w:tag w:val="goog_rdk_4"/>
                <w:id w:val="-564336688"/>
                <w:showingPlcHdr/>
              </w:sdtPr>
              <w:sdtContent>
                <w:r w:rsidRPr="00E104E8">
                  <w:rPr>
                    <w:rFonts w:ascii="Times New Roman" w:hAnsi="Times New Roman" w:cs="Times New Roman"/>
                  </w:rPr>
                  <w:t xml:space="preserve">     </w:t>
                </w:r>
              </w:sdtContent>
            </w:sdt>
          </w:p>
        </w:tc>
      </w:tr>
      <w:tr w:rsidR="00561C6C" w14:paraId="321A425F" w14:textId="77777777" w:rsidTr="00561C6C">
        <w:tc>
          <w:tcPr>
            <w:tcW w:w="988" w:type="dxa"/>
          </w:tcPr>
          <w:p w14:paraId="7DB9EF44"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6</w:t>
            </w:r>
          </w:p>
        </w:tc>
        <w:tc>
          <w:tcPr>
            <w:tcW w:w="8640" w:type="dxa"/>
          </w:tcPr>
          <w:p w14:paraId="611D0A1F"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Informaciniai pranešimai apie surastą patologiją.</w:t>
            </w:r>
          </w:p>
        </w:tc>
      </w:tr>
      <w:tr w:rsidR="00561C6C" w14:paraId="73554B22" w14:textId="77777777" w:rsidTr="00561C6C">
        <w:tc>
          <w:tcPr>
            <w:tcW w:w="988" w:type="dxa"/>
          </w:tcPr>
          <w:p w14:paraId="3470FAB3"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7</w:t>
            </w:r>
          </w:p>
        </w:tc>
        <w:tc>
          <w:tcPr>
            <w:tcW w:w="8640" w:type="dxa"/>
          </w:tcPr>
          <w:p w14:paraId="6D4E63BD"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Tyrimo atlikimo greitis  ne mažiau 60 </w:t>
            </w:r>
            <w:proofErr w:type="spellStart"/>
            <w:r w:rsidRPr="00E104E8">
              <w:rPr>
                <w:rFonts w:ascii="Times New Roman" w:eastAsia="Times New Roman" w:hAnsi="Times New Roman" w:cs="Times New Roman"/>
              </w:rPr>
              <w:t>tyr</w:t>
            </w:r>
            <w:proofErr w:type="spellEnd"/>
            <w:r w:rsidRPr="00E104E8">
              <w:rPr>
                <w:rFonts w:ascii="Times New Roman" w:eastAsia="Times New Roman" w:hAnsi="Times New Roman" w:cs="Times New Roman"/>
              </w:rPr>
              <w:t>./h CBC+DIFF+CRP</w:t>
            </w:r>
          </w:p>
        </w:tc>
      </w:tr>
      <w:tr w:rsidR="00561C6C" w14:paraId="2DC7883C" w14:textId="77777777" w:rsidTr="00561C6C">
        <w:tc>
          <w:tcPr>
            <w:tcW w:w="988" w:type="dxa"/>
          </w:tcPr>
          <w:p w14:paraId="2A3052C3"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8</w:t>
            </w:r>
          </w:p>
        </w:tc>
        <w:tc>
          <w:tcPr>
            <w:tcW w:w="8640" w:type="dxa"/>
          </w:tcPr>
          <w:p w14:paraId="1AE3BC9D"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Galimybė aprašyti ne mažiau kaip 7 kraujo normas pagal amžių.</w:t>
            </w:r>
          </w:p>
        </w:tc>
      </w:tr>
      <w:tr w:rsidR="00561C6C" w14:paraId="69FD68D2" w14:textId="77777777" w:rsidTr="00561C6C">
        <w:tc>
          <w:tcPr>
            <w:tcW w:w="988" w:type="dxa"/>
          </w:tcPr>
          <w:p w14:paraId="5AC23E49"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9</w:t>
            </w:r>
          </w:p>
        </w:tc>
        <w:tc>
          <w:tcPr>
            <w:tcW w:w="8640" w:type="dxa"/>
          </w:tcPr>
          <w:p w14:paraId="68DC6436"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Automatinis reagentų informacijos įvedimas nuskaitant brūkšninį kodą ar </w:t>
            </w:r>
            <w:r w:rsidRPr="00CE5837">
              <w:rPr>
                <w:rFonts w:ascii="Times New Roman" w:eastAsia="Times New Roman" w:hAnsi="Times New Roman" w:cs="Times New Roman"/>
                <w:color w:val="FF0000"/>
              </w:rPr>
              <w:t>kitu lygiaverčiu automatiniu būdu.</w:t>
            </w:r>
          </w:p>
        </w:tc>
      </w:tr>
      <w:tr w:rsidR="00561C6C" w14:paraId="62E88A29" w14:textId="77777777" w:rsidTr="00561C6C">
        <w:tc>
          <w:tcPr>
            <w:tcW w:w="988" w:type="dxa"/>
          </w:tcPr>
          <w:p w14:paraId="39AB2E22"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10</w:t>
            </w:r>
          </w:p>
        </w:tc>
        <w:tc>
          <w:tcPr>
            <w:tcW w:w="8640" w:type="dxa"/>
          </w:tcPr>
          <w:p w14:paraId="7715B321"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Mėginių  identifikavimas </w:t>
            </w:r>
          </w:p>
          <w:p w14:paraId="1685DE98"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1. automatiškai nuskaitant brūkšninį kodą;</w:t>
            </w:r>
          </w:p>
          <w:p w14:paraId="28B92C63"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2. suvedant mėginio informaciją klaviatūra rankiniu būdu.</w:t>
            </w:r>
          </w:p>
        </w:tc>
      </w:tr>
      <w:tr w:rsidR="00561C6C" w14:paraId="0E0EB734" w14:textId="77777777" w:rsidTr="00561C6C">
        <w:tc>
          <w:tcPr>
            <w:tcW w:w="988" w:type="dxa"/>
          </w:tcPr>
          <w:p w14:paraId="0E092994"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11</w:t>
            </w:r>
          </w:p>
        </w:tc>
        <w:tc>
          <w:tcPr>
            <w:tcW w:w="8640" w:type="dxa"/>
          </w:tcPr>
          <w:p w14:paraId="108CCEB6" w14:textId="77777777" w:rsidR="00561C6C" w:rsidRPr="00E104E8" w:rsidRDefault="00561C6C" w:rsidP="00561C6C">
            <w:pPr>
              <w:ind w:hanging="2"/>
              <w:jc w:val="both"/>
              <w:rPr>
                <w:rFonts w:ascii="Times New Roman" w:eastAsia="Times New Roman" w:hAnsi="Times New Roman" w:cs="Times New Roman"/>
              </w:rPr>
            </w:pPr>
            <w:r w:rsidRPr="00E104E8">
              <w:rPr>
                <w:rFonts w:ascii="Times New Roman" w:eastAsia="Times New Roman" w:hAnsi="Times New Roman" w:cs="Times New Roman"/>
              </w:rPr>
              <w:t>Tyrimo atsakymo formoje turi būti šie paciento duomenys: vardas, pavardė, gimimo data, lytis (užpildomi automatiškai nuskaičius brūkšninį kodą).</w:t>
            </w:r>
          </w:p>
          <w:p w14:paraId="04E2DB96"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Galimybė įvesti šiuos paciento duomenis ranka.</w:t>
            </w:r>
          </w:p>
        </w:tc>
      </w:tr>
      <w:tr w:rsidR="00561C6C" w14:paraId="028C8CD6" w14:textId="77777777" w:rsidTr="00561C6C">
        <w:tc>
          <w:tcPr>
            <w:tcW w:w="988" w:type="dxa"/>
          </w:tcPr>
          <w:p w14:paraId="6596F1B9"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12</w:t>
            </w:r>
          </w:p>
        </w:tc>
        <w:tc>
          <w:tcPr>
            <w:tcW w:w="8640" w:type="dxa"/>
          </w:tcPr>
          <w:p w14:paraId="6AC42A02"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Reagentų informacija įvedama automatiškai nuskaitant brūkšninį kodą </w:t>
            </w:r>
            <w:r w:rsidRPr="00CE5837">
              <w:rPr>
                <w:rFonts w:ascii="Times New Roman" w:eastAsia="Times New Roman" w:hAnsi="Times New Roman" w:cs="Times New Roman"/>
                <w:color w:val="FF0000"/>
              </w:rPr>
              <w:t>ar lygiaverte duomenų įvedimo sistema.</w:t>
            </w:r>
          </w:p>
        </w:tc>
      </w:tr>
      <w:tr w:rsidR="00561C6C" w14:paraId="3AADB177" w14:textId="77777777" w:rsidTr="00561C6C">
        <w:tc>
          <w:tcPr>
            <w:tcW w:w="988" w:type="dxa"/>
          </w:tcPr>
          <w:p w14:paraId="650395D4"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13</w:t>
            </w:r>
          </w:p>
        </w:tc>
        <w:tc>
          <w:tcPr>
            <w:tcW w:w="8640" w:type="dxa"/>
          </w:tcPr>
          <w:p w14:paraId="5597C6AD"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Reagentų kiekio monitoringas (grafinis vaizdas)</w:t>
            </w:r>
          </w:p>
        </w:tc>
      </w:tr>
      <w:tr w:rsidR="00561C6C" w14:paraId="4FF9CA51" w14:textId="77777777" w:rsidTr="00561C6C">
        <w:tc>
          <w:tcPr>
            <w:tcW w:w="988" w:type="dxa"/>
          </w:tcPr>
          <w:p w14:paraId="347DFB2C"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14</w:t>
            </w:r>
          </w:p>
        </w:tc>
        <w:tc>
          <w:tcPr>
            <w:tcW w:w="8640" w:type="dxa"/>
          </w:tcPr>
          <w:p w14:paraId="601991C3" w14:textId="77777777" w:rsidR="00561C6C" w:rsidRPr="00E104E8" w:rsidRDefault="00561C6C" w:rsidP="00561C6C">
            <w:pPr>
              <w:ind w:hanging="2"/>
              <w:rPr>
                <w:rFonts w:ascii="Times New Roman" w:eastAsia="Times New Roman" w:hAnsi="Times New Roman" w:cs="Times New Roman"/>
                <w:color w:val="000000"/>
              </w:rPr>
            </w:pPr>
            <w:r w:rsidRPr="00E104E8">
              <w:rPr>
                <w:rFonts w:ascii="Times New Roman" w:eastAsia="Times New Roman" w:hAnsi="Times New Roman" w:cs="Times New Roman"/>
              </w:rPr>
              <w:t xml:space="preserve">Kontrolinio kraujo mėgintuvėlių  identifikavimas atliekamas automatiškai nuskaitant brūkšninį kodą </w:t>
            </w:r>
          </w:p>
        </w:tc>
      </w:tr>
      <w:tr w:rsidR="00561C6C" w14:paraId="31504427" w14:textId="77777777" w:rsidTr="00561C6C">
        <w:tc>
          <w:tcPr>
            <w:tcW w:w="988" w:type="dxa"/>
          </w:tcPr>
          <w:p w14:paraId="3CD37585"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15</w:t>
            </w:r>
          </w:p>
        </w:tc>
        <w:tc>
          <w:tcPr>
            <w:tcW w:w="8640" w:type="dxa"/>
          </w:tcPr>
          <w:p w14:paraId="17503EF8"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Įvedami  paciento duomenys:</w:t>
            </w:r>
          </w:p>
          <w:p w14:paraId="7C8C66CA" w14:textId="77777777" w:rsidR="00561C6C" w:rsidRPr="00E104E8" w:rsidRDefault="00E9393F" w:rsidP="00E9393F">
            <w:pPr>
              <w:ind w:hanging="2"/>
              <w:rPr>
                <w:rFonts w:ascii="Times New Roman" w:eastAsia="Times New Roman" w:hAnsi="Times New Roman" w:cs="Times New Roman"/>
              </w:rPr>
            </w:pPr>
            <w:r>
              <w:rPr>
                <w:rFonts w:ascii="Times New Roman" w:eastAsia="Times New Roman" w:hAnsi="Times New Roman" w:cs="Times New Roman"/>
              </w:rPr>
              <w:t>Vardas, pavardė</w:t>
            </w:r>
            <w:r w:rsidR="00561C6C" w:rsidRPr="00E104E8">
              <w:rPr>
                <w:rFonts w:ascii="Times New Roman" w:eastAsia="Times New Roman" w:hAnsi="Times New Roman" w:cs="Times New Roman"/>
              </w:rPr>
              <w:t xml:space="preserve">, gimimo data, </w:t>
            </w:r>
            <w:r>
              <w:rPr>
                <w:rFonts w:ascii="Times New Roman" w:eastAsia="Times New Roman" w:hAnsi="Times New Roman" w:cs="Times New Roman"/>
              </w:rPr>
              <w:t>lytis (papildomai galima informacija - kraujo tipas, gydytojas)</w:t>
            </w:r>
          </w:p>
        </w:tc>
      </w:tr>
      <w:tr w:rsidR="00561C6C" w14:paraId="418BEDA7" w14:textId="77777777" w:rsidTr="00561C6C">
        <w:tc>
          <w:tcPr>
            <w:tcW w:w="988" w:type="dxa"/>
          </w:tcPr>
          <w:p w14:paraId="6F534DE1"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16</w:t>
            </w:r>
          </w:p>
        </w:tc>
        <w:tc>
          <w:tcPr>
            <w:tcW w:w="8640" w:type="dxa"/>
          </w:tcPr>
          <w:p w14:paraId="69DF960A"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Kokybės kontrolė XB, </w:t>
            </w:r>
            <w:proofErr w:type="spellStart"/>
            <w:r w:rsidRPr="00E104E8">
              <w:rPr>
                <w:rFonts w:ascii="Times New Roman" w:eastAsia="Times New Roman" w:hAnsi="Times New Roman" w:cs="Times New Roman"/>
              </w:rPr>
              <w:t>Levey-Jennings</w:t>
            </w:r>
            <w:proofErr w:type="spellEnd"/>
            <w:r w:rsidRPr="00E104E8">
              <w:rPr>
                <w:rFonts w:ascii="Times New Roman" w:eastAsia="Times New Roman" w:hAnsi="Times New Roman" w:cs="Times New Roman"/>
              </w:rPr>
              <w:t xml:space="preserve"> kreivės</w:t>
            </w:r>
          </w:p>
        </w:tc>
      </w:tr>
      <w:tr w:rsidR="00561C6C" w14:paraId="639263E1" w14:textId="77777777" w:rsidTr="00561C6C">
        <w:tc>
          <w:tcPr>
            <w:tcW w:w="988" w:type="dxa"/>
          </w:tcPr>
          <w:p w14:paraId="3028E85A"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17</w:t>
            </w:r>
          </w:p>
        </w:tc>
        <w:tc>
          <w:tcPr>
            <w:tcW w:w="8640" w:type="dxa"/>
          </w:tcPr>
          <w:p w14:paraId="2C667F84"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Matuojamų parametrų </w:t>
            </w:r>
            <w:proofErr w:type="spellStart"/>
            <w:r w:rsidRPr="00E104E8">
              <w:rPr>
                <w:rFonts w:ascii="Times New Roman" w:eastAsia="Times New Roman" w:hAnsi="Times New Roman" w:cs="Times New Roman"/>
              </w:rPr>
              <w:t>liniškumas</w:t>
            </w:r>
            <w:proofErr w:type="spellEnd"/>
            <w:r w:rsidRPr="00E104E8">
              <w:rPr>
                <w:rFonts w:ascii="Times New Roman" w:eastAsia="Times New Roman" w:hAnsi="Times New Roman" w:cs="Times New Roman"/>
              </w:rPr>
              <w:t xml:space="preserve"> ne siauresnis kaip:</w:t>
            </w:r>
          </w:p>
          <w:p w14:paraId="7336B4FB"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WBC    0 – 300  (10</w:t>
            </w:r>
            <w:r w:rsidRPr="00E104E8">
              <w:rPr>
                <w:rFonts w:ascii="Times New Roman" w:eastAsia="Times New Roman" w:hAnsi="Times New Roman" w:cs="Times New Roman"/>
                <w:vertAlign w:val="superscript"/>
              </w:rPr>
              <w:t>9</w:t>
            </w:r>
            <w:r w:rsidRPr="00E104E8">
              <w:rPr>
                <w:rFonts w:ascii="Times New Roman" w:eastAsia="Times New Roman" w:hAnsi="Times New Roman" w:cs="Times New Roman"/>
              </w:rPr>
              <w:t xml:space="preserve">/L) </w:t>
            </w:r>
          </w:p>
          <w:p w14:paraId="14C9ECB5"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RBC     0 – 8.0  (10</w:t>
            </w:r>
            <w:r w:rsidRPr="00E104E8">
              <w:rPr>
                <w:rFonts w:ascii="Times New Roman" w:eastAsia="Times New Roman" w:hAnsi="Times New Roman" w:cs="Times New Roman"/>
                <w:vertAlign w:val="superscript"/>
              </w:rPr>
              <w:t>12</w:t>
            </w:r>
            <w:r w:rsidRPr="00E104E8">
              <w:rPr>
                <w:rFonts w:ascii="Times New Roman" w:eastAsia="Times New Roman" w:hAnsi="Times New Roman" w:cs="Times New Roman"/>
              </w:rPr>
              <w:t>/L)</w:t>
            </w:r>
          </w:p>
          <w:p w14:paraId="218AA868"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HGB    0,1 – 250 (g/L)</w:t>
            </w:r>
          </w:p>
          <w:p w14:paraId="5F6B70A6"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PLT      0 – 3000(10</w:t>
            </w:r>
            <w:r w:rsidRPr="00E104E8">
              <w:rPr>
                <w:rFonts w:ascii="Times New Roman" w:eastAsia="Times New Roman" w:hAnsi="Times New Roman" w:cs="Times New Roman"/>
                <w:vertAlign w:val="superscript"/>
              </w:rPr>
              <w:t>9</w:t>
            </w:r>
            <w:r w:rsidRPr="00E104E8">
              <w:rPr>
                <w:rFonts w:ascii="Times New Roman" w:eastAsia="Times New Roman" w:hAnsi="Times New Roman" w:cs="Times New Roman"/>
              </w:rPr>
              <w:t>/L)</w:t>
            </w:r>
          </w:p>
          <w:p w14:paraId="37CD8C76"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CRP     0.2 – 300 (mg/L)</w:t>
            </w:r>
          </w:p>
        </w:tc>
      </w:tr>
      <w:tr w:rsidR="00561C6C" w14:paraId="7F9E28E7" w14:textId="77777777" w:rsidTr="00561C6C">
        <w:tc>
          <w:tcPr>
            <w:tcW w:w="988" w:type="dxa"/>
          </w:tcPr>
          <w:p w14:paraId="020EA6DA"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18</w:t>
            </w:r>
          </w:p>
        </w:tc>
        <w:tc>
          <w:tcPr>
            <w:tcW w:w="8640" w:type="dxa"/>
          </w:tcPr>
          <w:p w14:paraId="0723B332"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Jungtis su laboratorine informacine sistema</w:t>
            </w:r>
          </w:p>
        </w:tc>
      </w:tr>
      <w:tr w:rsidR="00561C6C" w14:paraId="4BC0A76A" w14:textId="77777777" w:rsidTr="00561C6C">
        <w:tc>
          <w:tcPr>
            <w:tcW w:w="988" w:type="dxa"/>
          </w:tcPr>
          <w:p w14:paraId="71942F66"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19</w:t>
            </w:r>
          </w:p>
        </w:tc>
        <w:tc>
          <w:tcPr>
            <w:tcW w:w="8640" w:type="dxa"/>
          </w:tcPr>
          <w:p w14:paraId="5CEB58F5"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Komplektacija: analizatorius, spausdintuvas, brūkšninio kodo skaitytuvas</w:t>
            </w:r>
          </w:p>
        </w:tc>
      </w:tr>
      <w:tr w:rsidR="00561C6C" w14:paraId="67807A8C" w14:textId="77777777" w:rsidTr="00561C6C">
        <w:tc>
          <w:tcPr>
            <w:tcW w:w="988" w:type="dxa"/>
          </w:tcPr>
          <w:p w14:paraId="38E36360"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20</w:t>
            </w:r>
          </w:p>
        </w:tc>
        <w:tc>
          <w:tcPr>
            <w:tcW w:w="8640" w:type="dxa"/>
          </w:tcPr>
          <w:p w14:paraId="066839DD" w14:textId="15AAE7EC" w:rsidR="00561C6C" w:rsidRPr="00E104E8" w:rsidRDefault="00561C6C" w:rsidP="00F165F0">
            <w:pPr>
              <w:ind w:hanging="2"/>
              <w:rPr>
                <w:rFonts w:ascii="Times New Roman" w:eastAsia="Times New Roman" w:hAnsi="Times New Roman" w:cs="Times New Roman"/>
              </w:rPr>
            </w:pPr>
            <w:r w:rsidRPr="00E104E8">
              <w:rPr>
                <w:rFonts w:ascii="Times New Roman" w:eastAsia="Times New Roman" w:hAnsi="Times New Roman" w:cs="Times New Roman"/>
              </w:rPr>
              <w:t xml:space="preserve">Perduodami duomenys į LIS: išmatuoti rezultatai ir QC </w:t>
            </w:r>
            <w:r w:rsidR="005A0AAE" w:rsidRPr="005A0AAE">
              <w:rPr>
                <w:rFonts w:ascii="Times New Roman" w:eastAsia="Times New Roman" w:hAnsi="Times New Roman" w:cs="Times New Roman"/>
              </w:rPr>
              <w:t>(papildomas pranašumas QC atveju)</w:t>
            </w:r>
          </w:p>
        </w:tc>
      </w:tr>
      <w:tr w:rsidR="00561C6C" w14:paraId="621A245B" w14:textId="77777777" w:rsidTr="00561C6C">
        <w:tc>
          <w:tcPr>
            <w:tcW w:w="988" w:type="dxa"/>
          </w:tcPr>
          <w:p w14:paraId="46EA2D97"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21</w:t>
            </w:r>
          </w:p>
        </w:tc>
        <w:tc>
          <w:tcPr>
            <w:tcW w:w="8640" w:type="dxa"/>
          </w:tcPr>
          <w:p w14:paraId="20E3E6CE"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Pavienių tyrimų atlikimas ir automatinis tyrimų atlikimas naudojant mėginių stovelius automatiniu mėginių krautuvu</w:t>
            </w:r>
          </w:p>
        </w:tc>
      </w:tr>
      <w:tr w:rsidR="00561C6C" w14:paraId="3DF7481D" w14:textId="77777777" w:rsidTr="00561C6C">
        <w:tc>
          <w:tcPr>
            <w:tcW w:w="988" w:type="dxa"/>
          </w:tcPr>
          <w:p w14:paraId="1FF1A7C1"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22</w:t>
            </w:r>
          </w:p>
        </w:tc>
        <w:tc>
          <w:tcPr>
            <w:tcW w:w="8640" w:type="dxa"/>
          </w:tcPr>
          <w:p w14:paraId="14BD51C9"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 xml:space="preserve">Analizatorius techniškai tvarkingas, naujas arba naudotas. </w:t>
            </w:r>
          </w:p>
        </w:tc>
      </w:tr>
      <w:tr w:rsidR="00561C6C" w14:paraId="7A91B865" w14:textId="77777777" w:rsidTr="00561C6C">
        <w:tc>
          <w:tcPr>
            <w:tcW w:w="988" w:type="dxa"/>
          </w:tcPr>
          <w:p w14:paraId="52964DEF" w14:textId="77777777" w:rsidR="00561C6C" w:rsidRPr="00E104E8" w:rsidRDefault="00561C6C" w:rsidP="00561C6C">
            <w:pPr>
              <w:ind w:hanging="2"/>
              <w:jc w:val="center"/>
              <w:rPr>
                <w:rFonts w:ascii="Times New Roman" w:eastAsia="Times New Roman" w:hAnsi="Times New Roman" w:cs="Times New Roman"/>
              </w:rPr>
            </w:pPr>
            <w:r w:rsidRPr="00E104E8">
              <w:rPr>
                <w:rFonts w:ascii="Times New Roman" w:eastAsia="Times New Roman" w:hAnsi="Times New Roman" w:cs="Times New Roman"/>
              </w:rPr>
              <w:t>23</w:t>
            </w:r>
          </w:p>
        </w:tc>
        <w:tc>
          <w:tcPr>
            <w:tcW w:w="8640" w:type="dxa"/>
          </w:tcPr>
          <w:p w14:paraId="6B38BC03" w14:textId="77777777" w:rsidR="00561C6C" w:rsidRPr="00E104E8" w:rsidRDefault="00561C6C" w:rsidP="00561C6C">
            <w:pPr>
              <w:ind w:hanging="2"/>
              <w:rPr>
                <w:rFonts w:ascii="Times New Roman" w:eastAsia="Times New Roman" w:hAnsi="Times New Roman" w:cs="Times New Roman"/>
              </w:rPr>
            </w:pPr>
            <w:r w:rsidRPr="00E104E8">
              <w:rPr>
                <w:rFonts w:ascii="Times New Roman" w:eastAsia="Times New Roman" w:hAnsi="Times New Roman" w:cs="Times New Roman"/>
              </w:rPr>
              <w:t>Analizatoriaus atitikimas 98/79 (IVD) direktyvai</w:t>
            </w:r>
          </w:p>
        </w:tc>
      </w:tr>
    </w:tbl>
    <w:p w14:paraId="435BFDE4" w14:textId="77777777" w:rsidR="00561C6C" w:rsidRDefault="00561C6C" w:rsidP="00781196">
      <w:pPr>
        <w:jc w:val="center"/>
        <w:rPr>
          <w:rFonts w:ascii="Times New Roman" w:hAnsi="Times New Roman" w:cs="Times New Roman"/>
          <w:b/>
        </w:rPr>
      </w:pPr>
    </w:p>
    <w:p w14:paraId="3B27EFC4" w14:textId="77777777" w:rsidR="00781196" w:rsidRPr="00781196" w:rsidRDefault="00781196" w:rsidP="00781196">
      <w:pPr>
        <w:rPr>
          <w:rFonts w:ascii="Times New Roman" w:hAnsi="Times New Roman" w:cs="Times New Roman"/>
          <w:b/>
        </w:rPr>
      </w:pPr>
    </w:p>
    <w:sectPr w:rsidR="00781196" w:rsidRPr="007811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0339F"/>
    <w:multiLevelType w:val="hybridMultilevel"/>
    <w:tmpl w:val="38DCD308"/>
    <w:lvl w:ilvl="0" w:tplc="2B1E89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257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C0"/>
    <w:rsid w:val="0007301E"/>
    <w:rsid w:val="000E4231"/>
    <w:rsid w:val="002E21C0"/>
    <w:rsid w:val="003D2751"/>
    <w:rsid w:val="00561C6C"/>
    <w:rsid w:val="005A0AAE"/>
    <w:rsid w:val="00621D16"/>
    <w:rsid w:val="006C393F"/>
    <w:rsid w:val="007712E8"/>
    <w:rsid w:val="00781196"/>
    <w:rsid w:val="009F1105"/>
    <w:rsid w:val="00A2612C"/>
    <w:rsid w:val="00A342CE"/>
    <w:rsid w:val="00B03154"/>
    <w:rsid w:val="00BE4A48"/>
    <w:rsid w:val="00CD1AA9"/>
    <w:rsid w:val="00CE5837"/>
    <w:rsid w:val="00DB6127"/>
    <w:rsid w:val="00E36390"/>
    <w:rsid w:val="00E9393F"/>
    <w:rsid w:val="00EE3E3C"/>
    <w:rsid w:val="00F16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3D9D"/>
  <w15:chartTrackingRefBased/>
  <w15:docId w15:val="{4B6FB536-9E4E-4AFF-B8CF-E831CA18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1196"/>
    <w:pPr>
      <w:ind w:left="720"/>
      <w:contextualSpacing/>
    </w:pPr>
  </w:style>
  <w:style w:type="table" w:styleId="Lentelstinklelis">
    <w:name w:val="Table Grid"/>
    <w:basedOn w:val="prastojilentel"/>
    <w:uiPriority w:val="39"/>
    <w:rsid w:val="0056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3152</Words>
  <Characters>1798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PC31</cp:lastModifiedBy>
  <cp:revision>7</cp:revision>
  <dcterms:created xsi:type="dcterms:W3CDTF">2024-11-18T13:30:00Z</dcterms:created>
  <dcterms:modified xsi:type="dcterms:W3CDTF">2024-11-25T15:38:00Z</dcterms:modified>
</cp:coreProperties>
</file>