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09E6" w14:textId="209760CA" w:rsidR="0095381B" w:rsidRPr="00A92B96" w:rsidRDefault="0095381B" w:rsidP="00A92B96">
      <w:pPr>
        <w:shd w:val="clear" w:color="auto" w:fill="FFFFFF"/>
        <w:jc w:val="right"/>
        <w:rPr>
          <w:rFonts w:eastAsiaTheme="minorEastAsia"/>
          <w:i/>
          <w:iCs/>
          <w:color w:val="0070C0"/>
          <w:sz w:val="21"/>
          <w:szCs w:val="21"/>
          <w:lang w:eastAsia="lt-LT"/>
        </w:rPr>
      </w:pPr>
      <w:bookmarkStart w:id="0" w:name="_Hlk139979349"/>
      <w:r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 xml:space="preserve">Pirkimo sąlygų </w:t>
      </w:r>
      <w:r w:rsidR="003F38F9"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>1</w:t>
      </w:r>
      <w:r w:rsidR="00A92B96"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>2</w:t>
      </w:r>
      <w:r w:rsidR="007723A3"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 xml:space="preserve"> </w:t>
      </w:r>
      <w:r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 xml:space="preserve">priedas </w:t>
      </w:r>
    </w:p>
    <w:p w14:paraId="6598C97D" w14:textId="77777777" w:rsidR="00A92B96" w:rsidRDefault="0095381B" w:rsidP="00A92B96">
      <w:pPr>
        <w:shd w:val="clear" w:color="auto" w:fill="FFFFFF"/>
        <w:jc w:val="right"/>
        <w:rPr>
          <w:i/>
          <w:iCs/>
          <w:color w:val="0070C0"/>
          <w:sz w:val="21"/>
          <w:szCs w:val="21"/>
        </w:rPr>
      </w:pPr>
      <w:r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>„</w:t>
      </w:r>
      <w:r w:rsidRPr="00A92B96">
        <w:rPr>
          <w:i/>
          <w:iCs/>
          <w:color w:val="0070C0"/>
          <w:sz w:val="21"/>
          <w:szCs w:val="21"/>
        </w:rPr>
        <w:t xml:space="preserve">Pirkimo dokumentuose nustatytų </w:t>
      </w:r>
    </w:p>
    <w:p w14:paraId="31FF5158" w14:textId="725FF076" w:rsidR="0095381B" w:rsidRPr="00A92B96" w:rsidRDefault="0095381B" w:rsidP="00A92B96">
      <w:pPr>
        <w:shd w:val="clear" w:color="auto" w:fill="FFFFFF"/>
        <w:jc w:val="right"/>
        <w:rPr>
          <w:i/>
          <w:iCs/>
          <w:color w:val="0070C0"/>
          <w:sz w:val="21"/>
          <w:szCs w:val="21"/>
        </w:rPr>
      </w:pPr>
      <w:r w:rsidRPr="00A92B96">
        <w:rPr>
          <w:i/>
          <w:iCs/>
          <w:color w:val="0070C0"/>
          <w:sz w:val="21"/>
          <w:szCs w:val="21"/>
        </w:rPr>
        <w:t>kvalifikacinių reikalavimų atitikties deklaracija</w:t>
      </w:r>
      <w:r w:rsidRPr="00A92B96">
        <w:rPr>
          <w:rFonts w:eastAsiaTheme="minorEastAsia"/>
          <w:i/>
          <w:iCs/>
          <w:color w:val="0070C0"/>
          <w:sz w:val="21"/>
          <w:szCs w:val="21"/>
          <w:lang w:eastAsia="lt-LT"/>
        </w:rPr>
        <w:t>“</w:t>
      </w:r>
    </w:p>
    <w:p w14:paraId="2AE079CE" w14:textId="77777777" w:rsidR="0095381B" w:rsidRPr="00A92B96" w:rsidRDefault="0095381B" w:rsidP="00A92B96">
      <w:pPr>
        <w:shd w:val="clear" w:color="auto" w:fill="FFFFFF"/>
        <w:jc w:val="right"/>
        <w:rPr>
          <w:rFonts w:eastAsiaTheme="minorEastAsia"/>
          <w:i/>
          <w:iCs/>
          <w:color w:val="0070C0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3176AC88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PIRKIMO DOKUMENTUOSE NUSTATYTŲ 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534A1B9B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 xml:space="preserve">Visagino savivaldybės </w:t>
      </w:r>
      <w:r w:rsidRPr="00051300">
        <w:rPr>
          <w:sz w:val="22"/>
          <w:szCs w:val="22"/>
          <w:u w:val="single"/>
        </w:rPr>
        <w:t>administracijos</w:t>
      </w:r>
      <w:r w:rsidRPr="00051300">
        <w:rPr>
          <w:sz w:val="22"/>
          <w:szCs w:val="22"/>
        </w:rPr>
        <w:t xml:space="preserve"> </w:t>
      </w:r>
      <w:r w:rsidRPr="00F918A6">
        <w:rPr>
          <w:rFonts w:asciiTheme="majorBidi" w:hAnsiTheme="majorBidi" w:cstheme="majorBidi"/>
          <w:b/>
          <w:bCs/>
          <w:sz w:val="22"/>
          <w:szCs w:val="22"/>
        </w:rPr>
        <w:t xml:space="preserve">vykdomoje </w:t>
      </w:r>
      <w:r w:rsidR="009E499A">
        <w:rPr>
          <w:rFonts w:asciiTheme="majorBidi" w:hAnsiTheme="majorBidi" w:cstheme="majorBidi"/>
          <w:b/>
          <w:bCs/>
          <w:sz w:val="22"/>
          <w:szCs w:val="22"/>
        </w:rPr>
        <w:t>„</w:t>
      </w:r>
      <w:r w:rsidR="00A169BD">
        <w:rPr>
          <w:rFonts w:eastAsia="Calibri"/>
          <w:b/>
          <w:bCs/>
          <w:i/>
          <w:iCs/>
          <w:color w:val="000000" w:themeColor="text1"/>
          <w:szCs w:val="24"/>
        </w:rPr>
        <w:t>G</w:t>
      </w:r>
      <w:r w:rsidR="00A169BD" w:rsidRPr="00044F4A">
        <w:rPr>
          <w:rFonts w:eastAsia="Calibri"/>
          <w:b/>
          <w:bCs/>
          <w:i/>
          <w:iCs/>
          <w:color w:val="000000" w:themeColor="text1"/>
          <w:szCs w:val="24"/>
        </w:rPr>
        <w:t xml:space="preserve">ydymo paskirties pastato – ligoninės, Taikos pr. 15, Visaginas, dalies patalpų kapitalinio remonto projekto </w:t>
      </w:r>
      <w:r w:rsidR="005340F5" w:rsidRPr="00DD7C09">
        <w:rPr>
          <w:rFonts w:asciiTheme="majorBidi" w:hAnsiTheme="majorBidi" w:cstheme="majorBidi"/>
          <w:b/>
          <w:bCs/>
          <w:i/>
          <w:iCs/>
          <w:sz w:val="22"/>
          <w:szCs w:val="22"/>
        </w:rPr>
        <w:t>parengimas</w:t>
      </w:r>
      <w:r w:rsidR="009E499A">
        <w:rPr>
          <w:rFonts w:asciiTheme="majorBidi" w:hAnsiTheme="majorBidi" w:cstheme="majorBidi"/>
          <w:b/>
          <w:bCs/>
          <w:sz w:val="22"/>
          <w:szCs w:val="22"/>
        </w:rPr>
        <w:t>“</w:t>
      </w:r>
      <w:r w:rsidRPr="00051300">
        <w:rPr>
          <w:sz w:val="22"/>
          <w:szCs w:val="22"/>
        </w:rPr>
        <w:t>, mažos vertės skelbiamoje apklausoje, atitinka toliau nurodomus reikalavimus</w:t>
      </w:r>
      <w:r w:rsidRPr="00051300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9F0463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9F0463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73AFAE50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Pirkimo sąlygų </w:t>
            </w:r>
            <w:r w:rsidR="009E499A">
              <w:rPr>
                <w:sz w:val="22"/>
                <w:szCs w:val="22"/>
                <w:lang w:eastAsia="lt-LT"/>
              </w:rPr>
              <w:t>3</w:t>
            </w:r>
            <w:r w:rsidRPr="0095381B">
              <w:rPr>
                <w:sz w:val="22"/>
                <w:szCs w:val="22"/>
                <w:lang w:eastAsia="lt-LT"/>
              </w:rPr>
              <w:t xml:space="preserve"> priedo 1 punktas).</w:t>
            </w:r>
          </w:p>
        </w:tc>
      </w:tr>
      <w:tr w:rsidR="0095381B" w:rsidRPr="0095381B" w14:paraId="368C4925" w14:textId="77777777" w:rsidTr="009F0463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0F3022C1" w14:textId="77777777" w:rsidTr="009F0463"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EABB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08DFDD0E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67D6EA34" w14:textId="77777777" w:rsidTr="009F0463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039" w14:textId="77777777" w:rsidR="009F0463" w:rsidRPr="0095381B" w:rsidRDefault="009F0463" w:rsidP="009F0463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EEDB7" w14:textId="77777777" w:rsidR="009F0463" w:rsidRDefault="009F0463" w:rsidP="009F0463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Pirkimo sąlygų </w:t>
            </w:r>
            <w:r>
              <w:rPr>
                <w:sz w:val="22"/>
                <w:szCs w:val="22"/>
                <w:lang w:eastAsia="lt-LT"/>
              </w:rPr>
              <w:t>3</w:t>
            </w:r>
            <w:r w:rsidRPr="0095381B">
              <w:rPr>
                <w:sz w:val="22"/>
                <w:szCs w:val="22"/>
                <w:lang w:eastAsia="lt-LT"/>
              </w:rPr>
              <w:t xml:space="preserve"> priedo </w:t>
            </w:r>
            <w:r>
              <w:rPr>
                <w:sz w:val="22"/>
                <w:szCs w:val="22"/>
                <w:lang w:eastAsia="lt-LT"/>
              </w:rPr>
              <w:t>2</w:t>
            </w:r>
            <w:r w:rsidRPr="0095381B">
              <w:rPr>
                <w:sz w:val="22"/>
                <w:szCs w:val="22"/>
                <w:lang w:eastAsia="lt-LT"/>
              </w:rPr>
              <w:t xml:space="preserve"> punktas)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7D1D4B19" w14:textId="75769AEA" w:rsidR="009F0463" w:rsidRPr="0095381B" w:rsidRDefault="009F0463" w:rsidP="009F0463">
            <w:pPr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5096AE93" w14:textId="77777777" w:rsidTr="009F0463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AAED" w14:textId="77777777" w:rsidR="009F0463" w:rsidRPr="0095381B" w:rsidRDefault="009F0463" w:rsidP="009F0463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left w:val="nil"/>
              <w:bottom w:val="nil"/>
              <w:right w:val="nil"/>
            </w:tcBorders>
          </w:tcPr>
          <w:p w14:paraId="4B211E5D" w14:textId="77777777" w:rsidR="009F0463" w:rsidRPr="0095381B" w:rsidRDefault="009F0463" w:rsidP="009F0463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0C0728E0" w14:textId="77777777" w:rsidTr="009F0463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663BF996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2E20F" w14:textId="4C66916F" w:rsidR="009F0463" w:rsidRPr="0095381B" w:rsidRDefault="009F0463" w:rsidP="00E11AE5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Pirkimo sąlygų </w:t>
            </w:r>
            <w:r>
              <w:rPr>
                <w:sz w:val="22"/>
                <w:szCs w:val="22"/>
                <w:lang w:eastAsia="lt-LT"/>
              </w:rPr>
              <w:t>3</w:t>
            </w:r>
            <w:r w:rsidRPr="0095381B">
              <w:rPr>
                <w:sz w:val="22"/>
                <w:szCs w:val="22"/>
                <w:lang w:eastAsia="lt-LT"/>
              </w:rPr>
              <w:t xml:space="preserve"> priedo </w:t>
            </w:r>
            <w:r>
              <w:rPr>
                <w:sz w:val="22"/>
                <w:szCs w:val="22"/>
                <w:lang w:eastAsia="lt-LT"/>
              </w:rPr>
              <w:t>3</w:t>
            </w:r>
            <w:r w:rsidRPr="0095381B">
              <w:rPr>
                <w:sz w:val="22"/>
                <w:szCs w:val="22"/>
                <w:lang w:eastAsia="lt-LT"/>
              </w:rPr>
              <w:t xml:space="preserve"> punktas).</w:t>
            </w:r>
          </w:p>
        </w:tc>
      </w:tr>
      <w:tr w:rsidR="009F0463" w:rsidRPr="0095381B" w14:paraId="25F17FDD" w14:textId="77777777" w:rsidTr="009F0463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09B7E189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3F52C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69A73EE4" w14:textId="77777777" w:rsidTr="009F0463"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303E6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20795464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2D69FE7E" w14:textId="77777777" w:rsidTr="009F0463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45E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28770" w14:textId="3BC88AC8" w:rsidR="009F0463" w:rsidRDefault="009F0463" w:rsidP="00E11AE5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Pirkimo sąlygų </w:t>
            </w:r>
            <w:r>
              <w:rPr>
                <w:sz w:val="22"/>
                <w:szCs w:val="22"/>
                <w:lang w:eastAsia="lt-LT"/>
              </w:rPr>
              <w:t>3</w:t>
            </w:r>
            <w:r w:rsidRPr="0095381B">
              <w:rPr>
                <w:sz w:val="22"/>
                <w:szCs w:val="22"/>
                <w:lang w:eastAsia="lt-LT"/>
              </w:rPr>
              <w:t xml:space="preserve"> priedo </w:t>
            </w:r>
            <w:r>
              <w:rPr>
                <w:sz w:val="22"/>
                <w:szCs w:val="22"/>
                <w:lang w:eastAsia="lt-LT"/>
              </w:rPr>
              <w:t>4</w:t>
            </w:r>
            <w:r w:rsidRPr="0095381B">
              <w:rPr>
                <w:sz w:val="22"/>
                <w:szCs w:val="22"/>
                <w:lang w:eastAsia="lt-LT"/>
              </w:rPr>
              <w:t xml:space="preserve"> punktas).</w:t>
            </w:r>
          </w:p>
          <w:p w14:paraId="49D28CA2" w14:textId="77777777" w:rsidR="009F0463" w:rsidRPr="0095381B" w:rsidRDefault="009F0463" w:rsidP="00E11AE5">
            <w:pPr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67B3F7EC" w14:textId="77777777" w:rsidTr="009F0463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4E0DE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left w:val="nil"/>
              <w:bottom w:val="nil"/>
              <w:right w:val="nil"/>
            </w:tcBorders>
          </w:tcPr>
          <w:p w14:paraId="11438E3A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F0463" w:rsidRPr="0095381B" w14:paraId="16638964" w14:textId="77777777" w:rsidTr="009F0463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7E3B030E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left w:val="nil"/>
              <w:bottom w:val="nil"/>
              <w:right w:val="nil"/>
            </w:tcBorders>
          </w:tcPr>
          <w:p w14:paraId="38F126A0" w14:textId="77777777" w:rsidR="009F0463" w:rsidRPr="0095381B" w:rsidRDefault="009F0463" w:rsidP="00E11AE5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77DB2A9" w14:textId="77777777" w:rsidR="009F0463" w:rsidRDefault="009F0463" w:rsidP="009F0463">
      <w:pPr>
        <w:shd w:val="clear" w:color="auto" w:fill="FFFFFF"/>
        <w:jc w:val="left"/>
        <w:rPr>
          <w:sz w:val="22"/>
          <w:szCs w:val="22"/>
        </w:rPr>
      </w:pPr>
    </w:p>
    <w:p w14:paraId="7337494E" w14:textId="234B6068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19065B7B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</w:t>
      </w:r>
      <w:r w:rsidR="00A46705">
        <w:rPr>
          <w:sz w:val="22"/>
          <w:szCs w:val="22"/>
        </w:rPr>
        <w:t>Centrinei p</w:t>
      </w:r>
      <w:r w:rsidRPr="0095381B">
        <w:rPr>
          <w:sz w:val="22"/>
          <w:szCs w:val="22"/>
        </w:rPr>
        <w:t xml:space="preserve">erkančiosios organizacijos nurodyti atitiktį pirkimo dokumentuose nustatytiems kvalifikaciniams </w:t>
      </w:r>
      <w:r w:rsidRPr="0095381B">
        <w:rPr>
          <w:rFonts w:eastAsiaTheme="minorEastAsia"/>
          <w:sz w:val="22"/>
          <w:szCs w:val="22"/>
          <w:lang w:eastAsia="lt-LT"/>
        </w:rPr>
        <w:t>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35F392B1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reikalavimams, </w:t>
      </w:r>
      <w:r w:rsidR="00A46705">
        <w:rPr>
          <w:sz w:val="22"/>
          <w:szCs w:val="22"/>
        </w:rPr>
        <w:t>Centrinė p</w:t>
      </w:r>
      <w:r w:rsidRPr="0095381B">
        <w:rPr>
          <w:sz w:val="22"/>
          <w:szCs w:val="22"/>
        </w:rPr>
        <w:t xml:space="preserve">erkančioji organizacija pašalins Tiekėją iš pirkimo procedūrų ir įtrauks Tiekėją į melagingą informaciją pateikusių tiekėjų sąrašą Viešųjų pirkimų tarnybos nustatyta tvarka. </w:t>
      </w:r>
    </w:p>
    <w:p w14:paraId="5241E0C1" w14:textId="5EC18CDF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Tiekėjo pasiūlymas bus atmestas, jeigu Tiekėjo kvalifikacija neatitinka pirkimo dokumentuose nustatytų kvalifikacinių reikalavimų arba jeigu Tiekėjas </w:t>
      </w:r>
      <w:r w:rsidR="00A46705">
        <w:rPr>
          <w:sz w:val="22"/>
          <w:szCs w:val="22"/>
        </w:rPr>
        <w:t>Centrinės p</w:t>
      </w:r>
      <w:r w:rsidRPr="0095381B">
        <w:rPr>
          <w:sz w:val="22"/>
          <w:szCs w:val="22"/>
        </w:rPr>
        <w:t xml:space="preserve">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73CEB40F" w14:textId="51016A01" w:rsidR="00F30B1C" w:rsidRPr="00AE094F" w:rsidRDefault="0095381B" w:rsidP="00AE094F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  <w:bookmarkEnd w:id="0"/>
    </w:p>
    <w:sectPr w:rsidR="00F30B1C" w:rsidRPr="00AE094F" w:rsidSect="00A46705">
      <w:headerReference w:type="default" r:id="rId7"/>
      <w:type w:val="continuous"/>
      <w:pgSz w:w="11906" w:h="16838" w:code="9"/>
      <w:pgMar w:top="567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E45C" w14:textId="77777777" w:rsidR="008021E8" w:rsidRDefault="008021E8" w:rsidP="00A76593">
      <w:r>
        <w:separator/>
      </w:r>
    </w:p>
  </w:endnote>
  <w:endnote w:type="continuationSeparator" w:id="0">
    <w:p w14:paraId="34E40541" w14:textId="77777777" w:rsidR="008021E8" w:rsidRDefault="008021E8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65C0" w14:textId="77777777" w:rsidR="008021E8" w:rsidRDefault="008021E8" w:rsidP="00A76593">
      <w:r>
        <w:separator/>
      </w:r>
    </w:p>
  </w:footnote>
  <w:footnote w:type="continuationSeparator" w:id="0">
    <w:p w14:paraId="5946FFC5" w14:textId="77777777" w:rsidR="008021E8" w:rsidRDefault="008021E8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21E33"/>
    <w:rsid w:val="00031935"/>
    <w:rsid w:val="00045A1A"/>
    <w:rsid w:val="00051300"/>
    <w:rsid w:val="00060353"/>
    <w:rsid w:val="0006599C"/>
    <w:rsid w:val="00072AA1"/>
    <w:rsid w:val="00083D66"/>
    <w:rsid w:val="00087448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495F"/>
    <w:rsid w:val="00215C26"/>
    <w:rsid w:val="0023084D"/>
    <w:rsid w:val="00241268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165F6"/>
    <w:rsid w:val="00334564"/>
    <w:rsid w:val="0035169C"/>
    <w:rsid w:val="003A742E"/>
    <w:rsid w:val="003C2523"/>
    <w:rsid w:val="003E561E"/>
    <w:rsid w:val="003F38F9"/>
    <w:rsid w:val="00460B80"/>
    <w:rsid w:val="004644AF"/>
    <w:rsid w:val="00467375"/>
    <w:rsid w:val="004B50A1"/>
    <w:rsid w:val="004C15A8"/>
    <w:rsid w:val="004D26C8"/>
    <w:rsid w:val="00513A61"/>
    <w:rsid w:val="00524A08"/>
    <w:rsid w:val="00524B5E"/>
    <w:rsid w:val="005340F5"/>
    <w:rsid w:val="005344DF"/>
    <w:rsid w:val="0056148D"/>
    <w:rsid w:val="00586A93"/>
    <w:rsid w:val="00587910"/>
    <w:rsid w:val="00592720"/>
    <w:rsid w:val="005A312F"/>
    <w:rsid w:val="005B7D3E"/>
    <w:rsid w:val="005F3CCE"/>
    <w:rsid w:val="00625DF6"/>
    <w:rsid w:val="00641618"/>
    <w:rsid w:val="00644D8E"/>
    <w:rsid w:val="00660791"/>
    <w:rsid w:val="006819D3"/>
    <w:rsid w:val="006D22F7"/>
    <w:rsid w:val="006E29A9"/>
    <w:rsid w:val="006F6F90"/>
    <w:rsid w:val="007001D3"/>
    <w:rsid w:val="007101A7"/>
    <w:rsid w:val="00722007"/>
    <w:rsid w:val="00731F87"/>
    <w:rsid w:val="007337C0"/>
    <w:rsid w:val="00735597"/>
    <w:rsid w:val="007723A3"/>
    <w:rsid w:val="007A0D6D"/>
    <w:rsid w:val="007D46AF"/>
    <w:rsid w:val="008021E8"/>
    <w:rsid w:val="00822382"/>
    <w:rsid w:val="00846CB3"/>
    <w:rsid w:val="008A30AE"/>
    <w:rsid w:val="008B4E85"/>
    <w:rsid w:val="00912501"/>
    <w:rsid w:val="00945058"/>
    <w:rsid w:val="00951989"/>
    <w:rsid w:val="0095381B"/>
    <w:rsid w:val="00956B62"/>
    <w:rsid w:val="009850D8"/>
    <w:rsid w:val="009E499A"/>
    <w:rsid w:val="009F0463"/>
    <w:rsid w:val="00A169BD"/>
    <w:rsid w:val="00A459B3"/>
    <w:rsid w:val="00A46705"/>
    <w:rsid w:val="00A76593"/>
    <w:rsid w:val="00A80E14"/>
    <w:rsid w:val="00A82F15"/>
    <w:rsid w:val="00A90FAC"/>
    <w:rsid w:val="00A91516"/>
    <w:rsid w:val="00A92B96"/>
    <w:rsid w:val="00AC781B"/>
    <w:rsid w:val="00AD5480"/>
    <w:rsid w:val="00AE094F"/>
    <w:rsid w:val="00AF07BA"/>
    <w:rsid w:val="00B14942"/>
    <w:rsid w:val="00B75F9E"/>
    <w:rsid w:val="00B85404"/>
    <w:rsid w:val="00B91AF7"/>
    <w:rsid w:val="00BB6C6D"/>
    <w:rsid w:val="00BC1242"/>
    <w:rsid w:val="00C079E8"/>
    <w:rsid w:val="00C523ED"/>
    <w:rsid w:val="00C878DC"/>
    <w:rsid w:val="00C91EAB"/>
    <w:rsid w:val="00C94D24"/>
    <w:rsid w:val="00C95187"/>
    <w:rsid w:val="00CA125E"/>
    <w:rsid w:val="00D30EBF"/>
    <w:rsid w:val="00D40609"/>
    <w:rsid w:val="00D61AF2"/>
    <w:rsid w:val="00D8209D"/>
    <w:rsid w:val="00D9769D"/>
    <w:rsid w:val="00DB37BD"/>
    <w:rsid w:val="00DC5C16"/>
    <w:rsid w:val="00DD3DB7"/>
    <w:rsid w:val="00DD7C09"/>
    <w:rsid w:val="00E06F9B"/>
    <w:rsid w:val="00E74366"/>
    <w:rsid w:val="00E973F9"/>
    <w:rsid w:val="00EA2C1F"/>
    <w:rsid w:val="00EA35DC"/>
    <w:rsid w:val="00EC05A2"/>
    <w:rsid w:val="00EE2660"/>
    <w:rsid w:val="00F23663"/>
    <w:rsid w:val="00F30B1C"/>
    <w:rsid w:val="00F603D5"/>
    <w:rsid w:val="00F612B0"/>
    <w:rsid w:val="00F6394E"/>
    <w:rsid w:val="00F73D1D"/>
    <w:rsid w:val="00F918A6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6</cp:revision>
  <cp:lastPrinted>2025-03-03T08:30:00Z</cp:lastPrinted>
  <dcterms:created xsi:type="dcterms:W3CDTF">2025-03-03T07:26:00Z</dcterms:created>
  <dcterms:modified xsi:type="dcterms:W3CDTF">2025-03-25T09:04:00Z</dcterms:modified>
</cp:coreProperties>
</file>