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EB00" w14:textId="2D981613" w:rsidR="00681384" w:rsidRDefault="00681384" w:rsidP="00681384">
      <w:pPr>
        <w:jc w:val="center"/>
        <w:rPr>
          <w:b/>
          <w:bCs/>
        </w:rPr>
      </w:pPr>
      <w:r>
        <w:rPr>
          <w:b/>
          <w:bCs/>
        </w:rPr>
        <w:t>ATSAKYMAI Į TIEKĖJŲ PASTABAS</w:t>
      </w:r>
    </w:p>
    <w:p w14:paraId="708E7A9F" w14:textId="1708FB8C" w:rsidR="00BC6952" w:rsidRPr="00BC6952" w:rsidRDefault="00BC6952" w:rsidP="00200706">
      <w:pPr>
        <w:jc w:val="both"/>
      </w:pPr>
      <w:r w:rsidRPr="00BC6952">
        <w:rPr>
          <w:b/>
          <w:bCs/>
        </w:rPr>
        <w:t>1.</w:t>
      </w:r>
      <w:r w:rsidRPr="00BC6952">
        <w:t>     </w:t>
      </w:r>
      <w:r w:rsidRPr="00BC6952">
        <w:rPr>
          <w:b/>
          <w:bCs/>
        </w:rPr>
        <w:t>Laboratorijos informacinės sistemos įsigijimo, integravimo ir palaikymo paslaugų techninės specifikacijos projekto (toliau – Projektas) skyriaus 3 lentelėje „Klinikinės diagnostikos laboratorijos turimi prietaisai, kurie diegimo metu turi būti prijungti prie LIS” reikalaujama:</w:t>
      </w:r>
    </w:p>
    <w:p w14:paraId="25031D33" w14:textId="68A8E82E" w:rsidR="00BC6952" w:rsidRPr="00BC6952" w:rsidRDefault="00BC6952" w:rsidP="00200706">
      <w:pPr>
        <w:jc w:val="both"/>
      </w:pPr>
      <w:r w:rsidRPr="00BC6952">
        <w:rPr>
          <w:i/>
          <w:iCs/>
        </w:rPr>
        <w:t>Turi būti prijungta Perkančiosios organizacijos laboratorinė įranga pagal pateiktą laboratorijos prietaisų sąrašą (lentelė 3), bet juo neapsiribojant t.</w:t>
      </w:r>
      <w:r w:rsidR="00A029A7">
        <w:rPr>
          <w:i/>
          <w:iCs/>
        </w:rPr>
        <w:t xml:space="preserve"> </w:t>
      </w:r>
      <w:r w:rsidRPr="00BC6952">
        <w:rPr>
          <w:i/>
          <w:iCs/>
        </w:rPr>
        <w:t>y. prijungiant ir sąraše nenurodytą naują laboratorijos įrangą, neviršijant nurodytos maksimalios apimties.</w:t>
      </w:r>
    </w:p>
    <w:p w14:paraId="0383F5B0" w14:textId="77777777" w:rsidR="00BC6952" w:rsidRPr="00BC6952" w:rsidRDefault="00BC6952" w:rsidP="00200706">
      <w:pPr>
        <w:jc w:val="both"/>
      </w:pPr>
      <w:r w:rsidRPr="00BC6952">
        <w:t>Rinkos konsultacijų metu tiekėjas prašė tiksliai įvardyti maksimalią apimtį, kad galėtų įvertinti savo  kaštus. Tiekėjas taip pat siūlo riboti integruojamus analizatorius tik tais, kurie gamintojo dokumentacijoje nurodyti kaip suderinami su LIS.</w:t>
      </w:r>
    </w:p>
    <w:p w14:paraId="78751157" w14:textId="35B01B08" w:rsidR="00BC6952" w:rsidRPr="00BC6952" w:rsidRDefault="00AC1EA6" w:rsidP="00200706">
      <w:pPr>
        <w:jc w:val="both"/>
      </w:pPr>
      <w:r>
        <w:t xml:space="preserve">ATS.: </w:t>
      </w:r>
      <w:r w:rsidR="00BC6952" w:rsidRPr="00BC6952">
        <w:t>Perkančioji organizacija, skelbdama pirkimą, tiksliai nurodys aktualų laboratorijos įrangos sąrašą (šiuo metu naudojami 23 įrangos vienetai). Tiekėjas, nustatydamas pasiūlymo kainą, turi įsivertinti, kad sutarties galiojimo metu pokyčiai laboratorijoje naudojamos įrangos sąraše gali siekti 30 proc., t.</w:t>
      </w:r>
      <w:r w:rsidR="00F168C9">
        <w:t xml:space="preserve"> </w:t>
      </w:r>
      <w:r w:rsidR="00BC6952" w:rsidRPr="00BC6952">
        <w:t>y., įrangos vienetų skaičius gali ir didėti, ir mažėti, priklausomai nuo įstaigos poreikių.</w:t>
      </w:r>
    </w:p>
    <w:p w14:paraId="3E271D7C" w14:textId="77777777" w:rsidR="00BC6952" w:rsidRPr="00BC6952" w:rsidRDefault="00BC6952" w:rsidP="00200706">
      <w:pPr>
        <w:jc w:val="both"/>
      </w:pPr>
      <w:r w:rsidRPr="00BC6952">
        <w:t>Perkančioji organizacija neplanuoja naujų integruojamų analizatorių derinti prie LIS, nes laikosi nuomonės, jog laboratorijos informacinę sistemą yra patogiau taikyti prie turimos įrangos, bet ne atvirkščiai.</w:t>
      </w:r>
    </w:p>
    <w:p w14:paraId="7DA2E0A8" w14:textId="77777777" w:rsidR="00BC6952" w:rsidRPr="00BC6952" w:rsidRDefault="00BC6952" w:rsidP="00200706">
      <w:pPr>
        <w:jc w:val="both"/>
      </w:pPr>
      <w:r w:rsidRPr="00BC6952">
        <w:t> </w:t>
      </w:r>
    </w:p>
    <w:p w14:paraId="6C91793A" w14:textId="77777777" w:rsidR="00BC6952" w:rsidRPr="00BC6952" w:rsidRDefault="00BC6952" w:rsidP="00200706">
      <w:pPr>
        <w:jc w:val="both"/>
      </w:pPr>
      <w:r w:rsidRPr="00BC6952">
        <w:rPr>
          <w:b/>
          <w:bCs/>
        </w:rPr>
        <w:t>2.</w:t>
      </w:r>
      <w:r w:rsidRPr="00BC6952">
        <w:t xml:space="preserve">      </w:t>
      </w:r>
      <w:r w:rsidRPr="00BC6952">
        <w:rPr>
          <w:b/>
          <w:bCs/>
        </w:rPr>
        <w:t>Projekto skyriuje „Reikalavimai licencijų pateikimui” 25 p.</w:t>
      </w:r>
      <w:r w:rsidRPr="00BC6952">
        <w:t xml:space="preserve"> </w:t>
      </w:r>
      <w:r w:rsidRPr="00BC6952">
        <w:rPr>
          <w:b/>
          <w:bCs/>
        </w:rPr>
        <w:t>nurodoma:</w:t>
      </w:r>
    </w:p>
    <w:p w14:paraId="23E48B00" w14:textId="27DC60C4" w:rsidR="00BC6952" w:rsidRPr="00BC6952" w:rsidRDefault="00BC6952" w:rsidP="00200706">
      <w:pPr>
        <w:jc w:val="both"/>
      </w:pPr>
      <w:r w:rsidRPr="00BC6952">
        <w:rPr>
          <w:i/>
          <w:iCs/>
        </w:rPr>
        <w:t>Jei taikomas konkurencinio naudotojų prisijungimo apskaitos modelis, 4 lentelėje nurodytų atskirų tipų licencijų konkurentinis prisijungimas sumuojamas (t.</w:t>
      </w:r>
      <w:r w:rsidR="00CD3706">
        <w:rPr>
          <w:i/>
          <w:iCs/>
        </w:rPr>
        <w:t xml:space="preserve"> </w:t>
      </w:r>
      <w:r w:rsidRPr="00BC6952">
        <w:rPr>
          <w:i/>
          <w:iCs/>
        </w:rPr>
        <w:t>y., vienu metu turi galėti jungtis visų išvardintų tipų naudotojai).</w:t>
      </w:r>
    </w:p>
    <w:p w14:paraId="11B54C41" w14:textId="77777777" w:rsidR="00BC6952" w:rsidRPr="00BC6952" w:rsidRDefault="00BC6952" w:rsidP="00200706">
      <w:pPr>
        <w:jc w:val="both"/>
      </w:pPr>
      <w:r w:rsidRPr="00BC6952">
        <w:t>Tiekėjas prašo patikslinti, ar tai reiškia, kad tiekėjas turės pateikti 61 licenciją (aritmetinė 4 lentelės licencijų suma). Taip pat prašoma patvirtinti, ar laboratorijoje yra 61 kompiuterizuota darbo vieta, kur vienu metu gali dirbti tiek pat vartotojų. Tiekėjo nuomone, laboratorijos darbuotojai dažnai turi kelias atsakomybes, jiems gali reikėti prieigos prie kelių modulių, tačiau tai neturėtų reikšti būtinybės įsigyti kelias licencijas vienam vartotojui.</w:t>
      </w:r>
    </w:p>
    <w:p w14:paraId="733B1780" w14:textId="77E93052" w:rsidR="00BC6952" w:rsidRPr="00BC6952" w:rsidRDefault="003C7FAC" w:rsidP="00200706">
      <w:pPr>
        <w:jc w:val="both"/>
      </w:pPr>
      <w:r>
        <w:t xml:space="preserve">ATS.: </w:t>
      </w:r>
      <w:r w:rsidR="00BC6952" w:rsidRPr="00BC6952">
        <w:t xml:space="preserve">Perkančioji organizacija atkreipia dėmesį, kad jai nėra reikšmės, koks yra tiekėjo pasirinktas licencijavimo modelis (konkurentinės licencijos ar darbo vietų licencijos). Perkančiajai organizacijai yra reikšmingas visų 4 lentelėje nurodytų naudotojų pagal vykdomas funkcijas </w:t>
      </w:r>
      <w:r w:rsidR="001B4689" w:rsidRPr="00BC6952">
        <w:t>netrukdomas</w:t>
      </w:r>
      <w:r w:rsidR="00BC6952" w:rsidRPr="00BC6952">
        <w:t xml:space="preserve"> prisijungimas prie visos apimties LIS funkcijų.</w:t>
      </w:r>
    </w:p>
    <w:p w14:paraId="3D018B0D" w14:textId="77777777" w:rsidR="00BC6952" w:rsidRPr="00BC6952" w:rsidRDefault="00BC6952" w:rsidP="00200706">
      <w:pPr>
        <w:jc w:val="both"/>
      </w:pPr>
      <w:r w:rsidRPr="00BC6952">
        <w:t> </w:t>
      </w:r>
    </w:p>
    <w:p w14:paraId="7F404DCE" w14:textId="7D323B17" w:rsidR="00BC6952" w:rsidRPr="00BC6952" w:rsidRDefault="00BC6952" w:rsidP="00200706">
      <w:pPr>
        <w:jc w:val="both"/>
      </w:pPr>
      <w:r w:rsidRPr="00BC6952">
        <w:rPr>
          <w:b/>
          <w:bCs/>
        </w:rPr>
        <w:t>3.</w:t>
      </w:r>
      <w:r w:rsidRPr="00BC6952">
        <w:t xml:space="preserve">      </w:t>
      </w:r>
      <w:r w:rsidRPr="00BC6952">
        <w:rPr>
          <w:b/>
          <w:bCs/>
        </w:rPr>
        <w:t>Projekto skyriuje „Paslaugų teikimas”, 3 p. nustatyta</w:t>
      </w:r>
      <w:r w:rsidR="00BC1F67">
        <w:rPr>
          <w:b/>
          <w:bCs/>
        </w:rPr>
        <w:t>:</w:t>
      </w:r>
    </w:p>
    <w:p w14:paraId="60F5E11A" w14:textId="77777777" w:rsidR="00BC6952" w:rsidRPr="00BC6952" w:rsidRDefault="00BC6952" w:rsidP="00200706">
      <w:pPr>
        <w:jc w:val="both"/>
      </w:pPr>
      <w:r w:rsidRPr="00BC6952">
        <w:rPr>
          <w:i/>
          <w:iCs/>
        </w:rPr>
        <w:t>Šalims raštu sutarus, Tiekėjui gali būti suteiktos nuotolinio prisijungimo prie Sistemos (gamybinės ir testavimo aplinkų) galimybės, Sistemos darbo stebėjimui, valdymui, pakeitimų įkėlimui į Sistemos testavimo aplinką.</w:t>
      </w:r>
    </w:p>
    <w:p w14:paraId="53C999A8" w14:textId="77777777" w:rsidR="00BC6952" w:rsidRPr="00BC6952" w:rsidRDefault="00BC6952" w:rsidP="00200706">
      <w:pPr>
        <w:jc w:val="both"/>
      </w:pPr>
      <w:r w:rsidRPr="00BC6952">
        <w:t xml:space="preserve">Tiekėjas teigia, kad, atsižvelgiant į reikalavimus sistemos priežiūrai, testavimui ir vartotojų pagalbai, nuotolinis prisijungimas tiekėjui yra būtinas nuolat. Siūlo keisti punktą taip, kad tiekėjui būtų užtikrintas </w:t>
      </w:r>
      <w:r w:rsidRPr="00BC6952">
        <w:lastRenderedPageBreak/>
        <w:t>nuotolinis prisijungimas prie visų LIS aplinkų ir vartotojų darbo vietų, naudojant „</w:t>
      </w:r>
      <w:proofErr w:type="spellStart"/>
      <w:r w:rsidRPr="00BC6952">
        <w:t>AnyDesk</w:t>
      </w:r>
      <w:proofErr w:type="spellEnd"/>
      <w:r w:rsidRPr="00BC6952">
        <w:t>“, „</w:t>
      </w:r>
      <w:proofErr w:type="spellStart"/>
      <w:r w:rsidRPr="00BC6952">
        <w:t>TeamViewer</w:t>
      </w:r>
      <w:proofErr w:type="spellEnd"/>
      <w:r w:rsidRPr="00BC6952">
        <w:t>“, „Microsoft RDP“, „</w:t>
      </w:r>
      <w:proofErr w:type="spellStart"/>
      <w:r w:rsidRPr="00BC6952">
        <w:t>Apache</w:t>
      </w:r>
      <w:proofErr w:type="spellEnd"/>
      <w:r w:rsidRPr="00BC6952">
        <w:t xml:space="preserve"> </w:t>
      </w:r>
      <w:proofErr w:type="spellStart"/>
      <w:r w:rsidRPr="00BC6952">
        <w:t>Guacamole</w:t>
      </w:r>
      <w:proofErr w:type="spellEnd"/>
      <w:r w:rsidRPr="00BC6952">
        <w:t>“ ar kitą lygiavertę programinę įrangą.</w:t>
      </w:r>
    </w:p>
    <w:p w14:paraId="78189B7E" w14:textId="5E69E87C" w:rsidR="00BC6952" w:rsidRPr="00BC6952" w:rsidRDefault="0053202F" w:rsidP="00200706">
      <w:pPr>
        <w:jc w:val="both"/>
      </w:pPr>
      <w:r>
        <w:t xml:space="preserve">ATS.: </w:t>
      </w:r>
      <w:r w:rsidR="00BC6952" w:rsidRPr="00BC6952">
        <w:t xml:space="preserve">Perkančioji organizacija nenumato suteikti </w:t>
      </w:r>
      <w:r w:rsidR="00BC6952" w:rsidRPr="00BC6952">
        <w:rPr>
          <w:i/>
          <w:iCs/>
        </w:rPr>
        <w:t>nuolatinės</w:t>
      </w:r>
      <w:r w:rsidR="00BC6952" w:rsidRPr="00BC6952">
        <w:t xml:space="preserve"> nuotolinės prieigos jokiems tretiesiems asmenims, kadangi tai būtų visiškai nesuderinama su Lietuvos Respublikos kibernetinio saugumo įstatymo bei jį įgyvendinančių poįstatyminių teisės aktų reikalavimais Saugaus tinklo naudotojams.</w:t>
      </w:r>
    </w:p>
    <w:p w14:paraId="63122C54" w14:textId="77777777" w:rsidR="00BC6952" w:rsidRPr="00BC6952" w:rsidRDefault="00BC6952" w:rsidP="00200706">
      <w:pPr>
        <w:jc w:val="both"/>
      </w:pPr>
      <w:r w:rsidRPr="00BC6952">
        <w:t> </w:t>
      </w:r>
    </w:p>
    <w:p w14:paraId="4B3B8096" w14:textId="77777777" w:rsidR="00BC6952" w:rsidRPr="00BC6952" w:rsidRDefault="00BC6952" w:rsidP="00200706">
      <w:pPr>
        <w:jc w:val="both"/>
      </w:pPr>
      <w:r w:rsidRPr="00BC6952">
        <w:rPr>
          <w:b/>
          <w:bCs/>
        </w:rPr>
        <w:t>4.</w:t>
      </w:r>
      <w:r w:rsidRPr="00BC6952">
        <w:t xml:space="preserve">      </w:t>
      </w:r>
      <w:r w:rsidRPr="00BC6952">
        <w:rPr>
          <w:b/>
          <w:bCs/>
        </w:rPr>
        <w:t>Projekto skyriuje „Reikalavimai IS diegimo etapui“ 9 punkte reikalaujama: </w:t>
      </w:r>
    </w:p>
    <w:p w14:paraId="44C0CDD0" w14:textId="77777777" w:rsidR="00BC6952" w:rsidRPr="00BC6952" w:rsidRDefault="00BC6952" w:rsidP="00200706">
      <w:pPr>
        <w:jc w:val="both"/>
      </w:pPr>
      <w:r w:rsidRPr="00BC6952">
        <w:rPr>
          <w:i/>
          <w:iCs/>
        </w:rPr>
        <w:t>9. Reikalavimai Sistemos integravimui su Ligoninės informacine sistema (ESIS):</w:t>
      </w:r>
    </w:p>
    <w:p w14:paraId="33A47DCE" w14:textId="77777777" w:rsidR="00BC6952" w:rsidRPr="00BC6952" w:rsidRDefault="00BC6952" w:rsidP="00200706">
      <w:pPr>
        <w:jc w:val="both"/>
      </w:pPr>
      <w:r w:rsidRPr="00BC6952">
        <w:rPr>
          <w:i/>
          <w:iCs/>
        </w:rPr>
        <w:t>9.1. Tiekėjas yra atsakingas už visų integracinių sąsajų parengimą tiek IS, tiek ESIS pusėje,  nereikalaujant papildomų Ligoninės lėšų (visos integravimo išlaidos turi būti numatytos ir įskaičiuotos į darbų kainą);</w:t>
      </w:r>
    </w:p>
    <w:p w14:paraId="487B0820" w14:textId="77777777" w:rsidR="00BC6952" w:rsidRPr="00BC6952" w:rsidRDefault="00BC6952" w:rsidP="00200706">
      <w:pPr>
        <w:jc w:val="both"/>
      </w:pPr>
      <w:r w:rsidRPr="00BC6952">
        <w:rPr>
          <w:i/>
          <w:iCs/>
        </w:rPr>
        <w:t>9.2. Tiekėjas turės parengti ir sukonfigūruoti IS integravimo (duomenų mainų) sąsajas su ESIS;</w:t>
      </w:r>
    </w:p>
    <w:p w14:paraId="32F3879F" w14:textId="77777777" w:rsidR="00BC6952" w:rsidRPr="00BC6952" w:rsidRDefault="00BC6952" w:rsidP="00200706">
      <w:pPr>
        <w:jc w:val="both"/>
      </w:pPr>
      <w:r w:rsidRPr="00BC6952">
        <w:rPr>
          <w:i/>
          <w:iCs/>
        </w:rPr>
        <w:t>9.3. Tiekėjas turės sukonfigūruoti ir įdiegti integracinių duomenų mainų funkcijas.</w:t>
      </w:r>
    </w:p>
    <w:p w14:paraId="43A6A9FD" w14:textId="46051869" w:rsidR="00BC6952" w:rsidRPr="00BC6952" w:rsidRDefault="00BC6952" w:rsidP="00200706">
      <w:pPr>
        <w:jc w:val="both"/>
      </w:pPr>
      <w:r w:rsidRPr="00BC6952">
        <w:t>Tiekėjas siūlo pakeisti reikalavimus dėl Sistemos integracijos su Ligoninės informacine sistema (ESIS), kad LIS tiekėjas būtų atsakingas tik už LIS pusės integraciją, o ESIS tiekėjo indėlis būtų užtikrintas perkančiosios organizacijos, taip pat siūlo analogiškus pakeitimus integracijai su „</w:t>
      </w:r>
      <w:proofErr w:type="spellStart"/>
      <w:r w:rsidR="0021240F">
        <w:t>Affidea</w:t>
      </w:r>
      <w:proofErr w:type="spellEnd"/>
      <w:r w:rsidR="0021240F">
        <w:t xml:space="preserve"> laboratorija</w:t>
      </w:r>
      <w:r w:rsidRPr="00BC6952">
        <w:t>“.</w:t>
      </w:r>
    </w:p>
    <w:p w14:paraId="6BD436D5" w14:textId="02C9028E" w:rsidR="00BC6952" w:rsidRPr="00BC6952" w:rsidRDefault="000F6986" w:rsidP="00200706">
      <w:pPr>
        <w:jc w:val="both"/>
      </w:pPr>
      <w:r>
        <w:t xml:space="preserve">ATS.: </w:t>
      </w:r>
      <w:r w:rsidR="00BC6952" w:rsidRPr="00BC6952">
        <w:t>Perkančioji organizacija svarstys galimybę įtraukti šią techninę charakteristiką į ekonominio naudingumo vertinimo formulę.</w:t>
      </w:r>
    </w:p>
    <w:p w14:paraId="4748871C" w14:textId="30F53996" w:rsidR="00BC6952" w:rsidRPr="00BC6952" w:rsidRDefault="00BC6952" w:rsidP="00200706">
      <w:pPr>
        <w:jc w:val="both"/>
      </w:pPr>
    </w:p>
    <w:p w14:paraId="44740F38" w14:textId="77777777" w:rsidR="00BC6952" w:rsidRPr="00BC6952" w:rsidRDefault="00BC6952" w:rsidP="00200706">
      <w:pPr>
        <w:jc w:val="both"/>
      </w:pPr>
      <w:r w:rsidRPr="00BC6952">
        <w:rPr>
          <w:b/>
          <w:bCs/>
        </w:rPr>
        <w:t>5.</w:t>
      </w:r>
      <w:r w:rsidRPr="00BC6952">
        <w:t xml:space="preserve">      </w:t>
      </w:r>
      <w:r w:rsidRPr="00BC6952">
        <w:rPr>
          <w:b/>
          <w:bCs/>
        </w:rPr>
        <w:t>Projekto skyriuje „Reikalavimai pasiūlymų teikimui. Demonstracija“ 28.3.1 punkte numatyta:</w:t>
      </w:r>
    </w:p>
    <w:p w14:paraId="3378AD36" w14:textId="77777777" w:rsidR="00BC6952" w:rsidRPr="00BC6952" w:rsidRDefault="00BC6952" w:rsidP="00200706">
      <w:pPr>
        <w:jc w:val="both"/>
      </w:pPr>
      <w:r w:rsidRPr="00BC6952">
        <w:rPr>
          <w:i/>
          <w:iCs/>
        </w:rPr>
        <w:t>Tiekėjas privalo patvirtinti, kad tai egzistuojantis sistemos funkcionalumas, kurį galima vertinti demonstracijos metu. Teikiant pasiūlymą tokie funkcionalumai turi būti dokumentuoti analogiškai 40.1.1 punkto reikalavimams.</w:t>
      </w:r>
    </w:p>
    <w:p w14:paraId="3799D09A" w14:textId="77777777" w:rsidR="00BC6952" w:rsidRPr="00BC6952" w:rsidRDefault="00BC6952" w:rsidP="00200706">
      <w:pPr>
        <w:jc w:val="both"/>
      </w:pPr>
      <w:r w:rsidRPr="00BC6952">
        <w:t>Tiekėjas atkreipia dėmesį, kad 40.1.1. punkto Projekte nėra.</w:t>
      </w:r>
    </w:p>
    <w:p w14:paraId="22E47193" w14:textId="7537ECE5" w:rsidR="00BC6952" w:rsidRPr="00BC6952" w:rsidRDefault="004B60D2" w:rsidP="00200706">
      <w:pPr>
        <w:jc w:val="both"/>
      </w:pPr>
      <w:r>
        <w:t xml:space="preserve">ATS.: </w:t>
      </w:r>
      <w:r w:rsidR="00BC6952" w:rsidRPr="00BC6952">
        <w:t xml:space="preserve">Perkančioji organizacija </w:t>
      </w:r>
      <w:r w:rsidR="001B4689" w:rsidRPr="00BC6952">
        <w:t>atsižvelgs</w:t>
      </w:r>
      <w:r w:rsidR="00BC6952" w:rsidRPr="00BC6952">
        <w:t xml:space="preserve"> į pastabą ir atliks korekcijas.</w:t>
      </w:r>
    </w:p>
    <w:p w14:paraId="30E5CEC6" w14:textId="77777777" w:rsidR="00BC6952" w:rsidRPr="00BC6952" w:rsidRDefault="00BC6952" w:rsidP="00200706">
      <w:pPr>
        <w:jc w:val="both"/>
      </w:pPr>
      <w:r w:rsidRPr="00BC6952">
        <w:t> </w:t>
      </w:r>
    </w:p>
    <w:p w14:paraId="7B3A4882" w14:textId="77777777" w:rsidR="00BC6952" w:rsidRPr="00BC6952" w:rsidRDefault="00BC6952" w:rsidP="00200706">
      <w:pPr>
        <w:jc w:val="both"/>
      </w:pPr>
      <w:r w:rsidRPr="00BC6952">
        <w:rPr>
          <w:b/>
          <w:bCs/>
        </w:rPr>
        <w:t>6.</w:t>
      </w:r>
      <w:r w:rsidRPr="00BC6952">
        <w:t xml:space="preserve">      </w:t>
      </w:r>
      <w:r w:rsidRPr="00BC6952">
        <w:rPr>
          <w:b/>
          <w:bCs/>
        </w:rPr>
        <w:t>Projekto skyriuje „Reikalavimai pasiūlymų teikimui. Demonstracija“ 30.3 punkte numatyta:</w:t>
      </w:r>
    </w:p>
    <w:p w14:paraId="05FCA77B" w14:textId="77777777" w:rsidR="00BC6952" w:rsidRPr="00BC6952" w:rsidRDefault="00BC6952" w:rsidP="00200706">
      <w:pPr>
        <w:jc w:val="both"/>
      </w:pPr>
      <w:r w:rsidRPr="00BC6952">
        <w:rPr>
          <w:i/>
          <w:iCs/>
        </w:rPr>
        <w:t>Tiekėjas IS demonstraciją atlieka pagal Perkančiosios organizacijos pateiktą IS demonstracijos scenarijų, kuris bus vienodas visiems tiekėjams ir yra pateikiamas Pirkimo sąlygų priede pavadinimu „IS demonstracijos scenarijus“.</w:t>
      </w:r>
    </w:p>
    <w:p w14:paraId="48B1BDB9" w14:textId="77777777" w:rsidR="00BC6952" w:rsidRPr="00BC6952" w:rsidRDefault="00BC6952" w:rsidP="00200706">
      <w:pPr>
        <w:jc w:val="both"/>
      </w:pPr>
      <w:r w:rsidRPr="00BC6952">
        <w:t>Rinkos konsultacijos dokumentuose šis priedas nėra pateiktas. Prašome pateikti šį priedą, kad galėtumėme pateikti klausimus.</w:t>
      </w:r>
    </w:p>
    <w:p w14:paraId="65C84A35" w14:textId="18557FC5" w:rsidR="00BC6952" w:rsidRPr="00BC6952" w:rsidRDefault="00A80A17" w:rsidP="00200706">
      <w:pPr>
        <w:jc w:val="both"/>
      </w:pPr>
      <w:r>
        <w:t xml:space="preserve">ATS.: </w:t>
      </w:r>
      <w:r w:rsidR="00BC6952" w:rsidRPr="00BC6952">
        <w:t>Skelbiant Pirkimą, į šį prašymą bus atsižvelgta.</w:t>
      </w:r>
    </w:p>
    <w:p w14:paraId="4FD3B197" w14:textId="77777777" w:rsidR="00BC6952" w:rsidRPr="00BC6952" w:rsidRDefault="00BC6952" w:rsidP="00200706">
      <w:pPr>
        <w:jc w:val="both"/>
      </w:pPr>
      <w:r w:rsidRPr="00BC6952">
        <w:t> </w:t>
      </w:r>
    </w:p>
    <w:p w14:paraId="0750BBA3" w14:textId="77777777" w:rsidR="00BC6952" w:rsidRPr="00BC6952" w:rsidRDefault="00BC6952" w:rsidP="00200706">
      <w:pPr>
        <w:jc w:val="both"/>
      </w:pPr>
      <w:r w:rsidRPr="00BC6952">
        <w:rPr>
          <w:b/>
          <w:bCs/>
        </w:rPr>
        <w:lastRenderedPageBreak/>
        <w:t>7.</w:t>
      </w:r>
      <w:r w:rsidRPr="00BC6952">
        <w:t xml:space="preserve">      </w:t>
      </w:r>
      <w:r w:rsidRPr="00BC6952">
        <w:rPr>
          <w:b/>
          <w:bCs/>
        </w:rPr>
        <w:t>Projekto skyriuje „Reikalavimai pasiūlymų teikimui. Demonstracija“ 30.4 punkte nurodoma:</w:t>
      </w:r>
    </w:p>
    <w:p w14:paraId="3F3AFE28" w14:textId="77777777" w:rsidR="00BC6952" w:rsidRPr="00BC6952" w:rsidRDefault="00BC6952" w:rsidP="00200706">
      <w:pPr>
        <w:jc w:val="both"/>
      </w:pPr>
      <w:r w:rsidRPr="00BC6952">
        <w:rPr>
          <w:i/>
          <w:iCs/>
        </w:rPr>
        <w:t>Demonstracijos metu Tiekėjas turės pademonstruoti visus savo pasiūlyme nurodytus ir patvirtintus (pagal 40.3 p. reikalavimą) papildomus sistemos funkcionalumus.</w:t>
      </w:r>
    </w:p>
    <w:p w14:paraId="5535293C" w14:textId="77777777" w:rsidR="00BC6952" w:rsidRPr="00BC6952" w:rsidRDefault="00BC6952" w:rsidP="00200706">
      <w:pPr>
        <w:jc w:val="both"/>
      </w:pPr>
      <w:r w:rsidRPr="00BC6952">
        <w:t>Tiekėjas atkreipia dėmesį, kad 40.3. punkto Projekte nėra.</w:t>
      </w:r>
    </w:p>
    <w:p w14:paraId="737BC16E" w14:textId="53AEF14F" w:rsidR="00BC6952" w:rsidRPr="00BC6952" w:rsidRDefault="001F0339" w:rsidP="00200706">
      <w:pPr>
        <w:jc w:val="both"/>
      </w:pPr>
      <w:r>
        <w:t xml:space="preserve">ATS.: </w:t>
      </w:r>
      <w:r w:rsidR="00BC6952" w:rsidRPr="00BC6952">
        <w:t xml:space="preserve">Perkančioji organizacija </w:t>
      </w:r>
      <w:r w:rsidR="001B4689" w:rsidRPr="00BC6952">
        <w:t>atsižvelgs</w:t>
      </w:r>
      <w:r w:rsidR="00BC6952" w:rsidRPr="00BC6952">
        <w:t xml:space="preserve"> į pastabą ir atliks korekcijas.</w:t>
      </w:r>
    </w:p>
    <w:p w14:paraId="6DB8829B" w14:textId="77777777" w:rsidR="00BC6952" w:rsidRPr="00BC6952" w:rsidRDefault="00BC6952" w:rsidP="00200706">
      <w:pPr>
        <w:jc w:val="both"/>
      </w:pPr>
      <w:r w:rsidRPr="00BC6952">
        <w:t> </w:t>
      </w:r>
    </w:p>
    <w:p w14:paraId="5A777901" w14:textId="77777777" w:rsidR="00BC6952" w:rsidRPr="00BC6952" w:rsidRDefault="00BC6952" w:rsidP="00200706">
      <w:pPr>
        <w:jc w:val="both"/>
      </w:pPr>
      <w:r w:rsidRPr="00BC6952">
        <w:rPr>
          <w:b/>
          <w:bCs/>
        </w:rPr>
        <w:t>8.</w:t>
      </w:r>
      <w:r w:rsidRPr="00BC6952">
        <w:t xml:space="preserve">      </w:t>
      </w:r>
      <w:r w:rsidRPr="00BC6952">
        <w:rPr>
          <w:b/>
          <w:bCs/>
        </w:rPr>
        <w:t>Projekto skyriuje „Bendrieji reikalavimai, taikomi visai IS.“ lentelė 5 „Bendrieji reikalavimai, taikomi visai IS“ 22 p. nustatyta:</w:t>
      </w:r>
    </w:p>
    <w:p w14:paraId="346A0F94" w14:textId="77777777" w:rsidR="00BC6952" w:rsidRPr="00BC6952" w:rsidRDefault="00BC6952" w:rsidP="00200706">
      <w:pPr>
        <w:jc w:val="both"/>
      </w:pPr>
      <w:r w:rsidRPr="00BC6952">
        <w:rPr>
          <w:i/>
          <w:iCs/>
        </w:rPr>
        <w:t>Sistema turi automatiškai patikrinti įvedamų duomenų formato korektiškumą įvedamuose laukuose (tekstinė, skaitmeninė, datos, laiko formatai).”</w:t>
      </w:r>
    </w:p>
    <w:p w14:paraId="34A681EF" w14:textId="77777777" w:rsidR="006F77F4" w:rsidRDefault="00BC6952" w:rsidP="00200706">
      <w:pPr>
        <w:jc w:val="both"/>
      </w:pPr>
      <w:r w:rsidRPr="00BC6952">
        <w:t xml:space="preserve">Tiekėjas siūlo pakeisti reikalavimą dėl duomenų formato tikrinimo, kad sistema ne tik informuotų apie neteisingą įvestį, bet ir apribotų galimybę įvesti netinkamo formato duomenis. </w:t>
      </w:r>
    </w:p>
    <w:p w14:paraId="27BC577D" w14:textId="77777777" w:rsidR="007C4FF5" w:rsidRDefault="006F77F4" w:rsidP="00200706">
      <w:pPr>
        <w:jc w:val="both"/>
      </w:pPr>
      <w:r>
        <w:t xml:space="preserve">ATS.: </w:t>
      </w:r>
      <w:r w:rsidR="00BC6952" w:rsidRPr="00BC6952">
        <w:t>Perkančiajai organizacijai pasiūlymas priimtinas.</w:t>
      </w:r>
    </w:p>
    <w:p w14:paraId="4DAB1037" w14:textId="5ECE3461" w:rsidR="00BC6952" w:rsidRPr="00BC6952" w:rsidRDefault="00BC6952" w:rsidP="00200706">
      <w:pPr>
        <w:jc w:val="both"/>
      </w:pPr>
      <w:r w:rsidRPr="00BC6952">
        <w:t> </w:t>
      </w:r>
    </w:p>
    <w:p w14:paraId="3699ECFE" w14:textId="77777777" w:rsidR="00BC6952" w:rsidRPr="00BC6952" w:rsidRDefault="00BC6952" w:rsidP="00200706">
      <w:pPr>
        <w:jc w:val="both"/>
      </w:pPr>
      <w:r w:rsidRPr="00BC6952">
        <w:rPr>
          <w:b/>
          <w:bCs/>
        </w:rPr>
        <w:t>9.</w:t>
      </w:r>
      <w:r w:rsidRPr="00BC6952">
        <w:t xml:space="preserve">      </w:t>
      </w:r>
      <w:r w:rsidRPr="00BC6952">
        <w:rPr>
          <w:b/>
          <w:bCs/>
        </w:rPr>
        <w:t>Projekto skyriuje „Bendrieji reikalavimai taikomi visai IS“ lentelė 5 „Bendrieji reikalavimai, taikomi visai IS“ 96 p. numatyta:</w:t>
      </w:r>
    </w:p>
    <w:p w14:paraId="4A258C0A" w14:textId="77777777" w:rsidR="00BC6952" w:rsidRPr="00BC6952" w:rsidRDefault="00BC6952" w:rsidP="00200706">
      <w:pPr>
        <w:jc w:val="both"/>
      </w:pPr>
      <w:r w:rsidRPr="00BC6952">
        <w:rPr>
          <w:i/>
          <w:iCs/>
        </w:rPr>
        <w:t>Galimybė fiksuoti datą nuo kada yra taikoma neapibrėžtis kiekvienai analitei.</w:t>
      </w:r>
    </w:p>
    <w:p w14:paraId="43A04EDA" w14:textId="77777777" w:rsidR="00EF2F1A" w:rsidRDefault="00BC6952" w:rsidP="00200706">
      <w:pPr>
        <w:jc w:val="both"/>
      </w:pPr>
      <w:r w:rsidRPr="00BC6952">
        <w:t>Tiekėjas prašo patikslinti, ar datos rėžis turi būti taikomas duomenims, iš kurių bus skaičiuojama neapibrėžtis, ar šiuo pasirinkimu nustatoma data, nuo kada neapibrėžties rezultatas turi būti rodomas prie matuojamos</w:t>
      </w:r>
      <w:r w:rsidR="00EF2F1A">
        <w:t xml:space="preserve"> </w:t>
      </w:r>
      <w:r w:rsidRPr="00BC6952">
        <w:t>analitės.</w:t>
      </w:r>
    </w:p>
    <w:p w14:paraId="1D7A2537" w14:textId="703BDD29" w:rsidR="00BC6952" w:rsidRPr="00BC6952" w:rsidRDefault="00BC6952" w:rsidP="00200706">
      <w:pPr>
        <w:jc w:val="both"/>
      </w:pPr>
      <w:r w:rsidRPr="00BC6952">
        <w:br/>
      </w:r>
      <w:r w:rsidR="00EF2F1A">
        <w:t xml:space="preserve">ATS.: </w:t>
      </w:r>
      <w:r w:rsidRPr="00BC6952">
        <w:t>Perkančioji organizacija patikslina, turi būti fiksuojama data nuo kada neapibrėžties rezultatas turi būti rodomas prie matuojamos analitės.</w:t>
      </w:r>
    </w:p>
    <w:p w14:paraId="7CDA1B9A" w14:textId="610DB6D6" w:rsidR="00BC6952" w:rsidRPr="00BC6952" w:rsidRDefault="00BC6952" w:rsidP="00200706">
      <w:pPr>
        <w:jc w:val="both"/>
      </w:pPr>
      <w:r w:rsidRPr="00BC6952">
        <w:t> </w:t>
      </w:r>
    </w:p>
    <w:p w14:paraId="5661D2F6" w14:textId="77777777" w:rsidR="00BC6952" w:rsidRPr="00BC6952" w:rsidRDefault="00BC6952" w:rsidP="00200706">
      <w:pPr>
        <w:jc w:val="both"/>
      </w:pPr>
      <w:r w:rsidRPr="00BC6952">
        <w:rPr>
          <w:b/>
          <w:bCs/>
        </w:rPr>
        <w:t>10.</w:t>
      </w:r>
      <w:r w:rsidRPr="00BC6952">
        <w:t xml:space="preserve">  </w:t>
      </w:r>
      <w:r w:rsidRPr="00BC6952">
        <w:rPr>
          <w:b/>
          <w:bCs/>
        </w:rPr>
        <w:t>Projekto skyriuje „Bendrieji reikalavimai taikomi visai IS.“ lentelė 5 „Bendrieji reikalavimai, taikomi visai IS“ 146 p. numatyta, kad Sistema turi turėti:</w:t>
      </w:r>
    </w:p>
    <w:p w14:paraId="01E7167D" w14:textId="77777777" w:rsidR="00BC6952" w:rsidRPr="00BC6952" w:rsidRDefault="00BC6952" w:rsidP="00200706">
      <w:pPr>
        <w:jc w:val="both"/>
      </w:pPr>
      <w:r w:rsidRPr="00BC6952">
        <w:rPr>
          <w:i/>
          <w:iCs/>
        </w:rPr>
        <w:t>„…&gt;Galimybę suvesti ir koreguoti informaciją&lt;…”.</w:t>
      </w:r>
    </w:p>
    <w:p w14:paraId="22FD2554" w14:textId="77777777" w:rsidR="0075181F" w:rsidRDefault="00BC6952" w:rsidP="00200706">
      <w:pPr>
        <w:jc w:val="both"/>
      </w:pPr>
      <w:r w:rsidRPr="00BC6952">
        <w:t xml:space="preserve">Tiekėjas siūlo pakeisti reikalavimą dėl duomenų koregavimo, paliekant tik galimybę juos suvesti, kad būtų išvengta duomenų vientisumo pažeidimų ir laboratorijos darbo klaidų, ypač koreguojant automatiškai fiksuojamus veiksmų laikus. </w:t>
      </w:r>
    </w:p>
    <w:p w14:paraId="19567B33" w14:textId="54FEA06F" w:rsidR="00BC6952" w:rsidRPr="00BC6952" w:rsidRDefault="0075181F" w:rsidP="00200706">
      <w:pPr>
        <w:jc w:val="both"/>
      </w:pPr>
      <w:r>
        <w:t xml:space="preserve">ATS.: </w:t>
      </w:r>
      <w:r w:rsidR="00BC6952" w:rsidRPr="00BC6952">
        <w:t>Perkančioji organizacija nesutinka su tiekėjo pasiūlymu keisti reikalavimą apibrėžiant tik galimybę suvesti, bet nekoreguoti duomenis.</w:t>
      </w:r>
      <w:r w:rsidR="00567630">
        <w:t xml:space="preserve"> Į pastabą neatsižvelgta.</w:t>
      </w:r>
    </w:p>
    <w:p w14:paraId="25C11971" w14:textId="77777777" w:rsidR="00BC6952" w:rsidRPr="00BC6952" w:rsidRDefault="00BC6952" w:rsidP="00200706">
      <w:pPr>
        <w:jc w:val="both"/>
      </w:pPr>
      <w:r w:rsidRPr="00BC6952">
        <w:t> </w:t>
      </w:r>
    </w:p>
    <w:p w14:paraId="7BF9BA38" w14:textId="77777777" w:rsidR="00BC6952" w:rsidRPr="00BC6952" w:rsidRDefault="00BC6952" w:rsidP="00200706">
      <w:pPr>
        <w:jc w:val="both"/>
      </w:pPr>
      <w:r w:rsidRPr="00BC6952">
        <w:rPr>
          <w:b/>
          <w:bCs/>
        </w:rPr>
        <w:lastRenderedPageBreak/>
        <w:t>11.</w:t>
      </w:r>
      <w:r w:rsidRPr="00BC6952">
        <w:t xml:space="preserve">  </w:t>
      </w:r>
      <w:r w:rsidRPr="00BC6952">
        <w:rPr>
          <w:b/>
          <w:bCs/>
        </w:rPr>
        <w:t>Projekto skyriuje „Bendrieji reikalavimai taikomi visai IS.“ lentelė 5 „Bendrieji reikalavimai, taikomi visai IS“ 154 . numatyta, kad Sistema turi turėti:</w:t>
      </w:r>
    </w:p>
    <w:p w14:paraId="366A030F" w14:textId="77777777" w:rsidR="00BC6952" w:rsidRPr="00BC6952" w:rsidRDefault="00BC6952" w:rsidP="00200706">
      <w:pPr>
        <w:jc w:val="both"/>
      </w:pPr>
      <w:r w:rsidRPr="00BC6952">
        <w:rPr>
          <w:i/>
          <w:iCs/>
        </w:rPr>
        <w:t>„Galimybė sukurti mikroorganizmus, priskiriant juos grupei, genčiai, identifikavimo metodui (rankinis, automatinis nurodant prietaiso pavadinimą) grupei.“</w:t>
      </w:r>
    </w:p>
    <w:p w14:paraId="1C043516" w14:textId="77777777" w:rsidR="00BC6952" w:rsidRPr="00BC6952" w:rsidRDefault="00BC6952" w:rsidP="00200706">
      <w:pPr>
        <w:jc w:val="both"/>
      </w:pPr>
      <w:r w:rsidRPr="00BC6952">
        <w:t>Tiekėjas, referuodamas LR įsakymo Nr. 0962250ISAK00000178 1 priedo punktais 595, 596, 598, 599, 615, 616, 624, 625, pažymi, kad mikroorganizmų identifikacija gali būti atliekama tiek iki genties, tiek iki rūšies lygmens. Todėl siūloma nesiūlyti fiksuoto priskyrimo tik genčiai, o sudaryti galimybę vartotojui pasirinkti tinkamą lygmenį toje pačioje įvestyje.</w:t>
      </w:r>
    </w:p>
    <w:p w14:paraId="68755047" w14:textId="77777777" w:rsidR="00BC6952" w:rsidRPr="00BC6952" w:rsidRDefault="00BC6952" w:rsidP="00200706">
      <w:pPr>
        <w:jc w:val="both"/>
      </w:pPr>
      <w:r w:rsidRPr="00BC6952">
        <w:t>Taip pat siūloma nesieti mikroorganizmo su vienu identifikavimo metodu, nes praktikoje naudojami tiek automatiniai, tiek rankiniai būdai. Atsižvelgiant į tai, tiekėjas siūlo formuluotę: „Galimybė įtraukti mikroorganizmus ar jų gentis į sąrašą, kurti grupes, registruoti naudotą metodą (rankinis, automatinis).“</w:t>
      </w:r>
    </w:p>
    <w:p w14:paraId="779591FA" w14:textId="454FC78E" w:rsidR="00BC6952" w:rsidRPr="00BC6952" w:rsidRDefault="004C7004" w:rsidP="00200706">
      <w:pPr>
        <w:jc w:val="both"/>
      </w:pPr>
      <w:r>
        <w:t xml:space="preserve">ATS.: </w:t>
      </w:r>
      <w:r w:rsidR="00BC6952" w:rsidRPr="00BC6952">
        <w:t>Perkančioji organizacija susipažino su tiekėjo siūlymu dėl mikroorganizmų registravimo bei identifikavimo metodo nurodymo. Dėl pirmosios pastabos – informuojame, kad pasiūlymas keisti reikalavimą ir leisti tame pačiame įvesties lauke nurodyti tiek gentį, tiek rūšį nėra priimtinas. Mikroorganizmo priskyrimas genčiai yra būtinas ne tik identifikacijos tikslu, bet ir duomenų analizės bei ataskaitų rengimo kontekste.</w:t>
      </w:r>
    </w:p>
    <w:p w14:paraId="400E0A06" w14:textId="77777777" w:rsidR="00BC6952" w:rsidRPr="00BC6952" w:rsidRDefault="00BC6952" w:rsidP="00200706">
      <w:pPr>
        <w:jc w:val="both"/>
      </w:pPr>
      <w:r w:rsidRPr="00BC6952">
        <w:t>Dėl antrosios pastabos – perkančioji organizacija sutinka, kad identifikavimo metodas taikomas ne mikroorganizmui, o konkrečiam ištyrimui. Atsižvelgiant į tai, Perkančioji organizacija patikslins reikalavimą ir išdėstys jį taip: „Galimybė įtraukti mikroorganizmus ar jų gentis į sąrašą, kurti mikroorganizmų grupes, registruoti naudotą metodą (rankinis, automatinis) atlikus mikroorganizmo identifikaciją.“</w:t>
      </w:r>
    </w:p>
    <w:p w14:paraId="75A358BA" w14:textId="77777777" w:rsidR="00BC6952" w:rsidRPr="00BC6952" w:rsidRDefault="00BC6952" w:rsidP="00200706">
      <w:pPr>
        <w:jc w:val="both"/>
      </w:pPr>
      <w:r w:rsidRPr="00BC6952">
        <w:t> </w:t>
      </w:r>
    </w:p>
    <w:p w14:paraId="36D1210C" w14:textId="77777777" w:rsidR="00CA328E" w:rsidRDefault="00BC6952" w:rsidP="00200706">
      <w:pPr>
        <w:jc w:val="both"/>
        <w:rPr>
          <w:b/>
          <w:bCs/>
        </w:rPr>
      </w:pPr>
      <w:r w:rsidRPr="00BC6952">
        <w:rPr>
          <w:b/>
          <w:bCs/>
        </w:rPr>
        <w:t>12.</w:t>
      </w:r>
      <w:r w:rsidRPr="00BC6952">
        <w:t xml:space="preserve">  </w:t>
      </w:r>
      <w:r w:rsidRPr="00BC6952">
        <w:rPr>
          <w:b/>
          <w:bCs/>
        </w:rPr>
        <w:t>Projekto skyriuje „Bendrieji reikalavimai taikomi visai IS.“ lentelė 5 „Bendrieji reikalavimai, taikomi visai IS“ 155 p. numatyta, kad Sistema turi turėti:</w:t>
      </w:r>
    </w:p>
    <w:p w14:paraId="168FBB87" w14:textId="42078DA1" w:rsidR="00BC6952" w:rsidRPr="00BC6952" w:rsidRDefault="00BC6952" w:rsidP="00200706">
      <w:pPr>
        <w:jc w:val="both"/>
      </w:pPr>
      <w:r w:rsidRPr="00BC6952">
        <w:rPr>
          <w:b/>
          <w:bCs/>
        </w:rPr>
        <w:t xml:space="preserve"> </w:t>
      </w:r>
      <w:r w:rsidRPr="00BC6952">
        <w:rPr>
          <w:i/>
          <w:iCs/>
        </w:rPr>
        <w:t>„Galimybė sukurti mikrobiologinių tyrimų parinktis arba papildyti siūlomas.“</w:t>
      </w:r>
    </w:p>
    <w:p w14:paraId="2319E982" w14:textId="77777777" w:rsidR="00BC6952" w:rsidRPr="00BC6952" w:rsidRDefault="00BC6952" w:rsidP="00200706">
      <w:pPr>
        <w:jc w:val="both"/>
      </w:pPr>
      <w:r w:rsidRPr="00BC6952">
        <w:t>Tiekėjas prašo sukonkretinti reikalavimą, įvardinant, kas laikytina „mikrobiologinių tyrimų parinktimi“ – ar tai yra tyrimas, pasėlis, analitė ar kitas objektas? Taip pat prašoma patikslinti, kieno atsakomybė būtų siūlyti šias parinktis – perkančiosios organizacijos, SAM, sistemos tiekėjo ar kito subjekto.</w:t>
      </w:r>
    </w:p>
    <w:p w14:paraId="341FF44C" w14:textId="34C73DD8" w:rsidR="00BC6952" w:rsidRPr="00BC6952" w:rsidRDefault="00594AD4" w:rsidP="00200706">
      <w:pPr>
        <w:jc w:val="both"/>
      </w:pPr>
      <w:r>
        <w:t xml:space="preserve">ATS.: </w:t>
      </w:r>
      <w:r w:rsidR="00BC6952" w:rsidRPr="00BC6952">
        <w:t>Perkančioji organizacija patikslina, kad „mikrobiologinių tyrimų parinktimis“ laikomi visi galimi užsakyti mikrobiologiniai tyrimai ir analitės (pvz., šlapimo pasėlis, kraujo pasėlis ir pan.), kuriuos galima pasirinkti registruojant ar atnaujinant užsakymą sistemoje.</w:t>
      </w:r>
    </w:p>
    <w:p w14:paraId="48EBD9CE" w14:textId="77777777" w:rsidR="00BC6952" w:rsidRPr="00BC6952" w:rsidRDefault="00BC6952" w:rsidP="00200706">
      <w:pPr>
        <w:jc w:val="both"/>
      </w:pPr>
      <w:r w:rsidRPr="00BC6952">
        <w:t>Tyrimų parinkčių sąrašą sudaro ir nuolat atnaujina atsakingos institucijos – tai gali būti tiek Sveikatos apsaugos ministerija, tiek kitos institucijos, tačiau techninis parinkčių pateikimas ir valdymas turi būti užtikrinamas sistemos tiekėjo.</w:t>
      </w:r>
    </w:p>
    <w:p w14:paraId="1B0F97A5" w14:textId="77777777" w:rsidR="00BC6952" w:rsidRPr="00BC6952" w:rsidRDefault="00BC6952" w:rsidP="00200706">
      <w:pPr>
        <w:jc w:val="both"/>
      </w:pPr>
      <w:r w:rsidRPr="00BC6952">
        <w:t> </w:t>
      </w:r>
    </w:p>
    <w:p w14:paraId="40394652" w14:textId="77777777" w:rsidR="00BC6952" w:rsidRPr="00BC6952" w:rsidRDefault="00BC6952" w:rsidP="00200706">
      <w:pPr>
        <w:jc w:val="both"/>
      </w:pPr>
      <w:r w:rsidRPr="00BC6952">
        <w:rPr>
          <w:b/>
          <w:bCs/>
        </w:rPr>
        <w:t>13.</w:t>
      </w:r>
      <w:r w:rsidRPr="00BC6952">
        <w:t xml:space="preserve">  </w:t>
      </w:r>
      <w:r w:rsidRPr="00BC6952">
        <w:rPr>
          <w:b/>
          <w:bCs/>
        </w:rPr>
        <w:t>Projekto skyriuje „Bendrieji reikalavimai taikomi visai IS.“ lentelė 5 „Bendrieji reikalavimai, taikomi visai IS“ 157 p. numatyta, kad Sistema turi turėti:</w:t>
      </w:r>
    </w:p>
    <w:p w14:paraId="704B8629" w14:textId="77777777" w:rsidR="00BC6952" w:rsidRPr="00BC6952" w:rsidRDefault="00BC6952" w:rsidP="00200706">
      <w:pPr>
        <w:jc w:val="both"/>
      </w:pPr>
      <w:r w:rsidRPr="00BC6952">
        <w:rPr>
          <w:i/>
          <w:iCs/>
        </w:rPr>
        <w:lastRenderedPageBreak/>
        <w:t>„Jautrumo antimikrobiniams vaistams rezultatai pateikimas 3 reikšmėmis – J, JD, A. Galimybė įvesti ranka skaitines reikšmes.“</w:t>
      </w:r>
    </w:p>
    <w:p w14:paraId="1C66D2F3" w14:textId="77777777" w:rsidR="00BC6952" w:rsidRPr="00BC6952" w:rsidRDefault="00BC6952" w:rsidP="00200706">
      <w:pPr>
        <w:jc w:val="both"/>
      </w:pPr>
      <w:r w:rsidRPr="00BC6952">
        <w:t>Tiekėjas, atsižvelgdamas į EUCAST dokumentaciją dėl jautrumo vertinimo neapibrėžtumo, siūlo keisti reikalavimą ir jį suformuluoti taip: „Jautrumo antimikrobiniams vaistams rezultatų pateikimas keturiomis reikšmėmis – J, JD, A, N: J – Jautru; JD – Jautru dalinai; A – Atsparu; N – Negalimas vertinimas. Galimybė įvesti ranka skaitines reikšmes.“</w:t>
      </w:r>
    </w:p>
    <w:p w14:paraId="2FB77817" w14:textId="50D8DDD4" w:rsidR="00BC6952" w:rsidRPr="00BC6952" w:rsidRDefault="00292CBA" w:rsidP="00200706">
      <w:pPr>
        <w:jc w:val="both"/>
      </w:pPr>
      <w:r>
        <w:t xml:space="preserve">ATS.: </w:t>
      </w:r>
      <w:r w:rsidR="00BC6952" w:rsidRPr="00BC6952">
        <w:t>Perkančioji organizacija atsižvelgs į pastabą ir atliks korekcijas.</w:t>
      </w:r>
    </w:p>
    <w:p w14:paraId="2C86CC98" w14:textId="77777777" w:rsidR="00BC6952" w:rsidRPr="00BC6952" w:rsidRDefault="00BC6952" w:rsidP="00200706">
      <w:pPr>
        <w:jc w:val="both"/>
      </w:pPr>
      <w:r w:rsidRPr="00BC6952">
        <w:rPr>
          <w:b/>
          <w:bCs/>
        </w:rPr>
        <w:t>14.</w:t>
      </w:r>
      <w:r w:rsidRPr="00BC6952">
        <w:t xml:space="preserve">  </w:t>
      </w:r>
      <w:r w:rsidRPr="00BC6952">
        <w:rPr>
          <w:b/>
          <w:bCs/>
        </w:rPr>
        <w:t>Projekto skyriuje „Bendrieji reikalavimai taikomi visai IS.“ lentelė 5 „Bendrieji reikalavimai, taikomi visai IS“ 160 p . numatyta, kad Sistema turi turėti:</w:t>
      </w:r>
    </w:p>
    <w:p w14:paraId="4A63AC93" w14:textId="77777777" w:rsidR="00BC6952" w:rsidRPr="00BC6952" w:rsidRDefault="00BC6952" w:rsidP="00200706">
      <w:pPr>
        <w:jc w:val="both"/>
      </w:pPr>
      <w:r w:rsidRPr="00BC6952">
        <w:rPr>
          <w:i/>
          <w:iCs/>
        </w:rPr>
        <w:t>„Galimybė taikyti užsakymams dublikatų tikrinimą &lt;…”.</w:t>
      </w:r>
    </w:p>
    <w:p w14:paraId="6CE05692" w14:textId="77777777" w:rsidR="00BC6952" w:rsidRPr="00BC6952" w:rsidRDefault="00BC6952" w:rsidP="00200706">
      <w:pPr>
        <w:jc w:val="both"/>
      </w:pPr>
      <w:r w:rsidRPr="00BC6952">
        <w:t>Tiekėjas, siekdamas išvengti klaidingo techninės specifikacijos reikalavimų interpretavimo, prašo įvardinti ir paaiškinti, kas šiame kontekste laikoma „dublikatu“.</w:t>
      </w:r>
    </w:p>
    <w:p w14:paraId="756610B4" w14:textId="11A82240" w:rsidR="00BC6952" w:rsidRPr="00BC6952" w:rsidRDefault="00F01325" w:rsidP="00200706">
      <w:pPr>
        <w:jc w:val="both"/>
      </w:pPr>
      <w:r>
        <w:t xml:space="preserve">ATS.: </w:t>
      </w:r>
      <w:r w:rsidR="00BC6952" w:rsidRPr="00BC6952">
        <w:t>Perkančioji organizacija, atsakydama į tiekėjo klausimą, paaiškina, kad mikrobiologijoje „dublikatu“ laikomas pakartotinis to paties paciento tos pačios biologinės medžiagos tyrimas, kurio metu nustatomas tas pats mikroorganizmas per tam tikrą apibrėžtą laikotarpį, ir kurio jautrumo antimikrobiniams vaistams rezultatai reikšmingai nesiskiria (t. y. skirtumų skaičius neviršija nustatytos ribos). Tokie pakartotiniai įrašai sistemoje žymimi kaip dublikatai siekiant išvengti perteklinio duomenų kartojimo analizėje ir ataskaitose.</w:t>
      </w:r>
    </w:p>
    <w:p w14:paraId="679BB85B" w14:textId="77777777" w:rsidR="00BC6952" w:rsidRPr="00BC6952" w:rsidRDefault="00BC6952" w:rsidP="00200706">
      <w:pPr>
        <w:jc w:val="both"/>
      </w:pPr>
      <w:r w:rsidRPr="00BC6952">
        <w:t> </w:t>
      </w:r>
    </w:p>
    <w:p w14:paraId="5BFC7BB6" w14:textId="77777777" w:rsidR="00BC6952" w:rsidRPr="00BC6952" w:rsidRDefault="00BC6952" w:rsidP="00200706">
      <w:pPr>
        <w:jc w:val="both"/>
      </w:pPr>
      <w:r w:rsidRPr="00BC6952">
        <w:rPr>
          <w:b/>
          <w:bCs/>
        </w:rPr>
        <w:t>15.</w:t>
      </w:r>
      <w:r w:rsidRPr="00BC6952">
        <w:t xml:space="preserve">  </w:t>
      </w:r>
      <w:r w:rsidRPr="00BC6952">
        <w:rPr>
          <w:b/>
          <w:bCs/>
        </w:rPr>
        <w:t>Projekto skyriuje „Bendrieji reikalavimai, taikomi visai IS“ lentelė 5 „Bendrieji reikalavimai, taikomi visai IS“ 30 p. nustatyta taisyklė:</w:t>
      </w:r>
    </w:p>
    <w:p w14:paraId="0022CA3D" w14:textId="77777777" w:rsidR="00BC6952" w:rsidRPr="00BC6952" w:rsidRDefault="00BC6952" w:rsidP="00200706">
      <w:pPr>
        <w:jc w:val="both"/>
      </w:pPr>
      <w:r w:rsidRPr="00BC6952">
        <w:rPr>
          <w:i/>
          <w:iCs/>
        </w:rPr>
        <w:t>Informacinėje sistemoje duomenys tvarkomi vadovaujantis šiais galiojančiais teisės aktais: Lietuvos Respublikos asmens duomenų teisinės apsaugos įstatymu; Lietuvos Respublikos kibernetinio saugumo įstatymu; Bendruoju duomenų apsaugos reglamentu.</w:t>
      </w:r>
    </w:p>
    <w:p w14:paraId="51B546D3" w14:textId="77777777" w:rsidR="00BC6952" w:rsidRPr="00BC6952" w:rsidRDefault="00BC6952" w:rsidP="00200706">
      <w:pPr>
        <w:jc w:val="both"/>
      </w:pPr>
      <w:r w:rsidRPr="00BC6952">
        <w:t>Tiekėjas siūlo vietoje bendro reikalavimo laikytis Kibernetinio saugumo įstatymo į techninę specifikaciją įtraukti ir papildomus kibernetinio saugumo reikalavimus.</w:t>
      </w:r>
    </w:p>
    <w:p w14:paraId="326ADD21" w14:textId="2D5DB7EB" w:rsidR="00BC6952" w:rsidRPr="00BC6952" w:rsidRDefault="00DA341D" w:rsidP="00200706">
      <w:pPr>
        <w:jc w:val="both"/>
      </w:pPr>
      <w:r>
        <w:t xml:space="preserve">ATS.: </w:t>
      </w:r>
      <w:r w:rsidR="00BC6952" w:rsidRPr="00BC6952">
        <w:t>Lietuvos Respublikos kibernetinio saugumo įstatymas (toliau - KSĮ) yra taikomas kibernetinio saugumo subjektams. Vadovaudamasi Lietuvos Respublikos valstybės informacinių išteklių valdymo įstatymo 43</w:t>
      </w:r>
      <w:r w:rsidR="00BC6952" w:rsidRPr="00BC6952">
        <w:rPr>
          <w:vertAlign w:val="superscript"/>
        </w:rPr>
        <w:t>2</w:t>
      </w:r>
      <w:r w:rsidR="00BC6952" w:rsidRPr="00BC6952">
        <w:t xml:space="preserve"> straipsnio 1 dalimi, Lietuvos Respublikos Vyriausybė Respublikinę Klaipėdos ligoninę įtraukė į Saugiojo valstybinio duomenų perdavimo tinklo naudotojų sąrašą</w:t>
      </w:r>
      <w:hyperlink r:id="rId4" w:anchor="_ftn1" w:history="1">
        <w:r w:rsidR="00BC6952" w:rsidRPr="00BC6952">
          <w:rPr>
            <w:rStyle w:val="Hipersaitas"/>
          </w:rPr>
          <w:t>[1]</w:t>
        </w:r>
      </w:hyperlink>
      <w:r w:rsidR="00BC6952" w:rsidRPr="00BC6952">
        <w:t>, todėl KSĮ ir jį įgyvendinančių teisės aktų nustatyta pareigų visuma ir bus taikoma Laboratorijos informacinės sistemos įsigijimo, integravimo ir palaikymo paslaugų pirkimo sutarties vykdymo metu. Perkančioji organizacija nemato poreikio papildomai detalizuoti taikytinų teisės aktų pirkimo dokumentuose.</w:t>
      </w:r>
    </w:p>
    <w:p w14:paraId="50BC6DB9" w14:textId="49737DCD" w:rsidR="00BC6952" w:rsidRDefault="0074304A" w:rsidP="00200706">
      <w:pPr>
        <w:jc w:val="both"/>
      </w:pPr>
      <w:hyperlink r:id="rId5" w:history="1">
        <w:r w:rsidRPr="00265F8A">
          <w:rPr>
            <w:rStyle w:val="Hipersaitas"/>
          </w:rPr>
          <w:t>https://e-seimas.lrs.lt/portal/legalAct/lt/TAP/dbe591c06cd511e99684a7f33a9827ac?jfwid=t60yn02c1</w:t>
        </w:r>
      </w:hyperlink>
    </w:p>
    <w:p w14:paraId="10471268" w14:textId="77777777" w:rsidR="0074304A" w:rsidRDefault="0074304A" w:rsidP="00200706">
      <w:pPr>
        <w:jc w:val="both"/>
      </w:pPr>
    </w:p>
    <w:p w14:paraId="19969D8B" w14:textId="3FBE66EA" w:rsidR="0074304A" w:rsidRDefault="0074304A" w:rsidP="00200706">
      <w:pPr>
        <w:jc w:val="both"/>
        <w:rPr>
          <w:b/>
          <w:bCs/>
        </w:rPr>
      </w:pPr>
      <w:r w:rsidRPr="0074304A">
        <w:rPr>
          <w:b/>
          <w:bCs/>
        </w:rPr>
        <w:t xml:space="preserve">16. </w:t>
      </w:r>
      <w:r w:rsidR="00E94C49">
        <w:rPr>
          <w:b/>
          <w:bCs/>
        </w:rPr>
        <w:t>Tiekėjas klausia „</w:t>
      </w:r>
      <w:r w:rsidRPr="0074304A">
        <w:rPr>
          <w:b/>
          <w:bCs/>
        </w:rPr>
        <w:t xml:space="preserve">Ar reikalavimams 39-41 numatyta integracija su </w:t>
      </w:r>
      <w:proofErr w:type="spellStart"/>
      <w:r w:rsidRPr="0074304A">
        <w:rPr>
          <w:b/>
          <w:bCs/>
        </w:rPr>
        <w:t>Active</w:t>
      </w:r>
      <w:proofErr w:type="spellEnd"/>
      <w:r w:rsidRPr="0074304A">
        <w:rPr>
          <w:b/>
          <w:bCs/>
        </w:rPr>
        <w:t xml:space="preserve"> </w:t>
      </w:r>
      <w:proofErr w:type="spellStart"/>
      <w:r w:rsidRPr="0074304A">
        <w:rPr>
          <w:b/>
          <w:bCs/>
        </w:rPr>
        <w:t>Directory</w:t>
      </w:r>
      <w:proofErr w:type="spellEnd"/>
      <w:r w:rsidRPr="0074304A">
        <w:rPr>
          <w:b/>
          <w:bCs/>
        </w:rPr>
        <w:t xml:space="preserve"> arba LDAP ligoninėje, ir jei taip, kokio tipo tai yra?</w:t>
      </w:r>
      <w:r w:rsidR="00E94C49">
        <w:rPr>
          <w:b/>
          <w:bCs/>
        </w:rPr>
        <w:t>“</w:t>
      </w:r>
    </w:p>
    <w:p w14:paraId="57AB1A7F" w14:textId="5C702FF8" w:rsidR="003B2CA1" w:rsidRDefault="003B2CA1" w:rsidP="00200706">
      <w:pPr>
        <w:jc w:val="both"/>
      </w:pPr>
      <w:r w:rsidRPr="003B2CA1">
        <w:lastRenderedPageBreak/>
        <w:t xml:space="preserve">ATS.: </w:t>
      </w:r>
      <w:r>
        <w:t>Perkančioji organizacija patikslina</w:t>
      </w:r>
      <w:r w:rsidR="00AB16E6">
        <w:t>, kad nenumatyta.</w:t>
      </w:r>
    </w:p>
    <w:p w14:paraId="5A30FFEE" w14:textId="77777777" w:rsidR="00085504" w:rsidRDefault="00085504" w:rsidP="00200706">
      <w:pPr>
        <w:jc w:val="both"/>
      </w:pPr>
    </w:p>
    <w:p w14:paraId="5FE92841" w14:textId="24D73371" w:rsidR="00AB16E6" w:rsidRDefault="00085504" w:rsidP="00200706">
      <w:pPr>
        <w:jc w:val="both"/>
        <w:rPr>
          <w:b/>
          <w:bCs/>
        </w:rPr>
      </w:pPr>
      <w:r w:rsidRPr="00B94232">
        <w:rPr>
          <w:b/>
          <w:bCs/>
        </w:rPr>
        <w:t>17. Ar bus reikalinga integracija su etikečių spausdintuvais ir brūkšninio kodo skaitytuvais?</w:t>
      </w:r>
    </w:p>
    <w:p w14:paraId="52782201" w14:textId="0D960FC7" w:rsidR="00B94232" w:rsidRPr="00B94232" w:rsidRDefault="00B94232" w:rsidP="00200706">
      <w:pPr>
        <w:jc w:val="both"/>
      </w:pPr>
      <w:r w:rsidRPr="00B94232">
        <w:t xml:space="preserve">ATS.: </w:t>
      </w:r>
      <w:r>
        <w:t>Taip</w:t>
      </w:r>
      <w:r w:rsidR="00F0781B">
        <w:t>,</w:t>
      </w:r>
      <w:r>
        <w:t xml:space="preserve"> bus reikalinga.</w:t>
      </w:r>
    </w:p>
    <w:p w14:paraId="440EBE99" w14:textId="77777777" w:rsidR="003B2CA1" w:rsidRPr="0074304A" w:rsidRDefault="003B2CA1" w:rsidP="00200706">
      <w:pPr>
        <w:jc w:val="both"/>
        <w:rPr>
          <w:b/>
          <w:bCs/>
        </w:rPr>
      </w:pPr>
    </w:p>
    <w:p w14:paraId="6AEC6974" w14:textId="77777777" w:rsidR="006319BB" w:rsidRDefault="006319BB" w:rsidP="00200706">
      <w:pPr>
        <w:jc w:val="both"/>
      </w:pPr>
    </w:p>
    <w:sectPr w:rsidR="006319BB" w:rsidSect="00921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52"/>
    <w:rsid w:val="00085504"/>
    <w:rsid w:val="000908A1"/>
    <w:rsid w:val="000F6986"/>
    <w:rsid w:val="00142973"/>
    <w:rsid w:val="001B4689"/>
    <w:rsid w:val="001F0339"/>
    <w:rsid w:val="00200706"/>
    <w:rsid w:val="0021240F"/>
    <w:rsid w:val="00292CBA"/>
    <w:rsid w:val="003B2CA1"/>
    <w:rsid w:val="003C7FAC"/>
    <w:rsid w:val="004B60D2"/>
    <w:rsid w:val="004C7004"/>
    <w:rsid w:val="0053202F"/>
    <w:rsid w:val="00567630"/>
    <w:rsid w:val="00594AD4"/>
    <w:rsid w:val="006319BB"/>
    <w:rsid w:val="00681384"/>
    <w:rsid w:val="006857DD"/>
    <w:rsid w:val="006F77F4"/>
    <w:rsid w:val="0073517A"/>
    <w:rsid w:val="0074304A"/>
    <w:rsid w:val="0075181F"/>
    <w:rsid w:val="007C4FF5"/>
    <w:rsid w:val="0092159F"/>
    <w:rsid w:val="00934CC7"/>
    <w:rsid w:val="0099510F"/>
    <w:rsid w:val="009F37F7"/>
    <w:rsid w:val="00A029A7"/>
    <w:rsid w:val="00A80A17"/>
    <w:rsid w:val="00AB16E6"/>
    <w:rsid w:val="00AC1EA6"/>
    <w:rsid w:val="00B94232"/>
    <w:rsid w:val="00BC1F67"/>
    <w:rsid w:val="00BC6952"/>
    <w:rsid w:val="00CA328E"/>
    <w:rsid w:val="00CD3706"/>
    <w:rsid w:val="00D53756"/>
    <w:rsid w:val="00DA341D"/>
    <w:rsid w:val="00DA5FFC"/>
    <w:rsid w:val="00E94C49"/>
    <w:rsid w:val="00EF2F1A"/>
    <w:rsid w:val="00F01325"/>
    <w:rsid w:val="00F024CC"/>
    <w:rsid w:val="00F0781B"/>
    <w:rsid w:val="00F168C9"/>
    <w:rsid w:val="00F55F0D"/>
    <w:rsid w:val="00F87D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A8F5"/>
  <w15:chartTrackingRefBased/>
  <w15:docId w15:val="{68F6557E-F589-4942-95A3-44402A5B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C6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C6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C695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C695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C695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C695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695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695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695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695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695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695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695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695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69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69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69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69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69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69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69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69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6952"/>
    <w:rPr>
      <w:i/>
      <w:iCs/>
      <w:color w:val="404040" w:themeColor="text1" w:themeTint="BF"/>
    </w:rPr>
  </w:style>
  <w:style w:type="paragraph" w:styleId="Sraopastraipa">
    <w:name w:val="List Paragraph"/>
    <w:basedOn w:val="prastasis"/>
    <w:uiPriority w:val="34"/>
    <w:qFormat/>
    <w:rsid w:val="00BC6952"/>
    <w:pPr>
      <w:ind w:left="720"/>
      <w:contextualSpacing/>
    </w:pPr>
  </w:style>
  <w:style w:type="character" w:styleId="Rykuspabraukimas">
    <w:name w:val="Intense Emphasis"/>
    <w:basedOn w:val="Numatytasispastraiposriftas"/>
    <w:uiPriority w:val="21"/>
    <w:qFormat/>
    <w:rsid w:val="00BC6952"/>
    <w:rPr>
      <w:i/>
      <w:iCs/>
      <w:color w:val="2F5496" w:themeColor="accent1" w:themeShade="BF"/>
    </w:rPr>
  </w:style>
  <w:style w:type="paragraph" w:styleId="Iskirtacitata">
    <w:name w:val="Intense Quote"/>
    <w:basedOn w:val="prastasis"/>
    <w:next w:val="prastasis"/>
    <w:link w:val="IskirtacitataDiagrama"/>
    <w:uiPriority w:val="30"/>
    <w:qFormat/>
    <w:rsid w:val="00BC6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C6952"/>
    <w:rPr>
      <w:i/>
      <w:iCs/>
      <w:color w:val="2F5496" w:themeColor="accent1" w:themeShade="BF"/>
    </w:rPr>
  </w:style>
  <w:style w:type="character" w:styleId="Rykinuoroda">
    <w:name w:val="Intense Reference"/>
    <w:basedOn w:val="Numatytasispastraiposriftas"/>
    <w:uiPriority w:val="32"/>
    <w:qFormat/>
    <w:rsid w:val="00BC6952"/>
    <w:rPr>
      <w:b/>
      <w:bCs/>
      <w:smallCaps/>
      <w:color w:val="2F5496" w:themeColor="accent1" w:themeShade="BF"/>
      <w:spacing w:val="5"/>
    </w:rPr>
  </w:style>
  <w:style w:type="character" w:styleId="Hipersaitas">
    <w:name w:val="Hyperlink"/>
    <w:basedOn w:val="Numatytasispastraiposriftas"/>
    <w:uiPriority w:val="99"/>
    <w:unhideWhenUsed/>
    <w:rsid w:val="00BC6952"/>
    <w:rPr>
      <w:color w:val="0563C1" w:themeColor="hyperlink"/>
      <w:u w:val="single"/>
    </w:rPr>
  </w:style>
  <w:style w:type="character" w:styleId="Neapdorotaspaminjimas">
    <w:name w:val="Unresolved Mention"/>
    <w:basedOn w:val="Numatytasispastraiposriftas"/>
    <w:uiPriority w:val="99"/>
    <w:semiHidden/>
    <w:unhideWhenUsed/>
    <w:rsid w:val="00BC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580479">
      <w:bodyDiv w:val="1"/>
      <w:marLeft w:val="0"/>
      <w:marRight w:val="0"/>
      <w:marTop w:val="0"/>
      <w:marBottom w:val="0"/>
      <w:divBdr>
        <w:top w:val="none" w:sz="0" w:space="0" w:color="auto"/>
        <w:left w:val="none" w:sz="0" w:space="0" w:color="auto"/>
        <w:bottom w:val="none" w:sz="0" w:space="0" w:color="auto"/>
        <w:right w:val="none" w:sz="0" w:space="0" w:color="auto"/>
      </w:divBdr>
    </w:div>
    <w:div w:id="181733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lrs.lt/portal/legalAct/lt/TAP/dbe591c06cd511e99684a7f33a9827ac?jfwid=t60yn02c1" TargetMode="External"/><Relationship Id="rId4" Type="http://schemas.openxmlformats.org/officeDocument/2006/relationships/hyperlink" Target="https://labdatalt.sharepoint.com/sites/labdata.lt/Shared%20Documents/General/RKL%20-%20Respublikin%C4%97%20Klaip%C4%97dos%20ligonin%C4%97/dok/Pasi%C5%ABlymas_202503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8964</Words>
  <Characters>5110</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2025-03-25T09:08:00Z</dcterms:created>
  <dcterms:modified xsi:type="dcterms:W3CDTF">2025-03-25T09:08:00Z</dcterms:modified>
</cp:coreProperties>
</file>