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B7229D" w:rsidP="00B7229D">
          <w:pPr>
            <w:spacing w:line="240" w:lineRule="auto"/>
            <w:ind w:firstLine="0"/>
            <w:jc w:val="right"/>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PATVIRTINTA:</w:t>
          </w:r>
        </w:p>
        <w:p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7B0736">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45090F"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B0736">
            <w:rPr>
              <w:rFonts w:ascii="Times New Roman" w:eastAsia="Times New Roman" w:hAnsi="Times New Roman" w:cs="Times New Roman"/>
              <w:bCs/>
              <w:sz w:val="24"/>
              <w:szCs w:val="24"/>
            </w:rPr>
            <w:t>kovo</w:t>
          </w:r>
          <w:r w:rsidR="00446E3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25</w:t>
          </w:r>
          <w:r w:rsidR="0026311D" w:rsidRPr="00AF13BA">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Pr>
              <w:rFonts w:ascii="Times New Roman" w:eastAsia="Times New Roman" w:hAnsi="Times New Roman" w:cs="Times New Roman"/>
              <w:bCs/>
              <w:sz w:val="24"/>
              <w:szCs w:val="24"/>
            </w:rPr>
            <w:t>24</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bookmarkStart w:id="0" w:name="_GoBack"/>
          <w:bookmarkEnd w:id="0"/>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7B0736">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EF2BBC" w:rsidRPr="00EF2BBC">
            <w:rPr>
              <w:rFonts w:ascii="Times New Roman" w:hAnsi="Times New Roman" w:cs="Times New Roman"/>
              <w:b/>
              <w:sz w:val="24"/>
              <w:szCs w:val="24"/>
            </w:rPr>
            <w:t>KAIŠIADORIŲ APYLINKĖS SEN. KELIO KD5 (UTERNOS G.) NAVASODAI - PALOMENĖS KELIAS PAPRASTOJO REMONTO RANGOS DA</w:t>
          </w:r>
          <w:r w:rsidR="00EF2BBC">
            <w:rPr>
              <w:rFonts w:ascii="Times New Roman" w:hAnsi="Times New Roman" w:cs="Times New Roman"/>
              <w:b/>
              <w:sz w:val="24"/>
              <w:szCs w:val="24"/>
            </w:rPr>
            <w:t>RBAI</w:t>
          </w:r>
          <w:r w:rsidR="00D526C8" w:rsidRPr="002749D9">
            <w:rPr>
              <w:rFonts w:ascii="Times New Roman" w:hAnsi="Times New Roman" w:cs="Times New Roman"/>
              <w:b/>
              <w:bCs/>
              <w:sz w:val="24"/>
              <w:szCs w:val="24"/>
            </w:rPr>
            <w:t>“</w:t>
          </w:r>
          <w:r w:rsidR="007B0736">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EF2BBC" w:rsidRDefault="001630A3" w:rsidP="00EF2BBC">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EF2BBC" w:rsidRPr="00EF2BBC">
            <w:rPr>
              <w:rFonts w:ascii="Times New Roman" w:hAnsi="Times New Roman" w:cs="Times New Roman"/>
              <w:b/>
              <w:sz w:val="24"/>
              <w:szCs w:val="24"/>
            </w:rPr>
            <w:t>KAIŠIADORIŲ APYLINKĖS SEN. KELIO KD5 (UTERNOS G.) NAVASODAI - PALOMENĖS KELIAS PAPRASTOJO REMONTO RANGOS DARBAI</w:t>
          </w:r>
          <w:r w:rsidRPr="002749D9">
            <w:rPr>
              <w:rFonts w:ascii="Times New Roman" w:hAnsi="Times New Roman" w:cs="Times New Roman"/>
              <w:b/>
              <w:bCs/>
              <w:sz w:val="24"/>
              <w:szCs w:val="24"/>
            </w:rPr>
            <w:t>“</w:t>
          </w:r>
          <w:r w:rsidR="00EF2BBC">
            <w:rPr>
              <w:rFonts w:ascii="Times New Roman" w:hAnsi="Times New Roman" w:cs="Times New Roman"/>
              <w:b/>
              <w:bCs/>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8A07CA"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EF2BBC" w:rsidRPr="00EF2BBC">
        <w:rPr>
          <w:rFonts w:ascii="Times New Roman" w:eastAsia="Times New Roman" w:hAnsi="Times New Roman" w:cs="Times New Roman"/>
          <w:sz w:val="24"/>
          <w:szCs w:val="24"/>
          <w:lang w:eastAsia="ar-SA"/>
        </w:rPr>
        <w:t>Kaišiadorių apylinkės sen. kelio kd5 (Uterno</w:t>
      </w:r>
      <w:r w:rsidR="00EF2BBC">
        <w:rPr>
          <w:rFonts w:ascii="Times New Roman" w:eastAsia="Times New Roman" w:hAnsi="Times New Roman" w:cs="Times New Roman"/>
          <w:sz w:val="24"/>
          <w:szCs w:val="24"/>
          <w:lang w:eastAsia="ar-SA"/>
        </w:rPr>
        <w:t>s g.) Navasodai-Palomenės kelias paprastojo remonto rangos darbai</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143E8C">
        <w:rPr>
          <w:rFonts w:ascii="Times New Roman" w:hAnsi="Times New Roman" w:cs="Times New Roman"/>
          <w:bCs/>
          <w:i/>
          <w:color w:val="000000" w:themeColor="text1"/>
          <w:sz w:val="24"/>
          <w:szCs w:val="24"/>
        </w:rPr>
        <w:t>darbų</w:t>
      </w:r>
      <w:r w:rsidR="00143E8C"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A65C1A" w:rsidRDefault="005D0C03"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 </w:t>
      </w:r>
      <w:r w:rsidR="00A65C1A">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EF2BBC">
        <w:rPr>
          <w:rFonts w:ascii="Times New Roman" w:hAnsi="Times New Roman" w:cs="Times New Roman"/>
          <w:i/>
          <w:sz w:val="24"/>
          <w:szCs w:val="24"/>
        </w:rPr>
        <w:t xml:space="preserve"> </w:t>
      </w:r>
      <w:r w:rsidR="00EF2BBC" w:rsidRPr="00EF2BBC">
        <w:rPr>
          <w:rFonts w:ascii="Times New Roman" w:hAnsi="Times New Roman" w:cs="Times New Roman"/>
          <w:i/>
          <w:sz w:val="24"/>
          <w:szCs w:val="24"/>
        </w:rPr>
        <w:t xml:space="preserve">Kaišiadorių apylinkės sen. kelio kd5 (Uternos g.) Navasodai-Palomenės kelias </w:t>
      </w:r>
      <w:r w:rsidR="00EF2BBC">
        <w:rPr>
          <w:rFonts w:ascii="Times New Roman" w:hAnsi="Times New Roman" w:cs="Times New Roman"/>
          <w:i/>
          <w:sz w:val="24"/>
          <w:szCs w:val="24"/>
        </w:rPr>
        <w:t>paprastojo remonto rangos darbus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r w:rsidR="00EF2BBC">
        <w:rPr>
          <w:rFonts w:ascii="Times New Roman" w:hAnsi="Times New Roman" w:cs="Times New Roman"/>
          <w:bCs/>
          <w:sz w:val="24"/>
          <w:szCs w:val="24"/>
        </w:rPr>
        <w:t xml:space="preserve"> ir 8 priede</w:t>
      </w:r>
      <w:r w:rsidR="00AE2AEF" w:rsidRPr="005F0327">
        <w:rPr>
          <w:rFonts w:ascii="Times New Roman" w:hAnsi="Times New Roman" w:cs="Times New Roman"/>
          <w:bCs/>
          <w:sz w:val="24"/>
          <w:szCs w:val="24"/>
        </w:rPr>
        <w:t>.</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r w:rsidR="009F641E">
        <w:rPr>
          <w:rFonts w:ascii="Times New Roman" w:hAnsi="Times New Roman" w:cs="Times New Roman"/>
          <w:bCs/>
          <w:sz w:val="24"/>
          <w:szCs w:val="24"/>
        </w:rPr>
        <w:t xml:space="preserve"> ir 8 priede</w:t>
      </w:r>
      <w:r w:rsidR="00702B7B" w:rsidRPr="005F0327">
        <w:rPr>
          <w:rFonts w:ascii="Times New Roman" w:hAnsi="Times New Roman" w:cs="Times New Roman"/>
          <w:bCs/>
          <w:sz w:val="24"/>
          <w:szCs w:val="24"/>
        </w:rPr>
        <w:t>.</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3724DD" w:rsidRPr="000C5246" w:rsidRDefault="003724DD" w:rsidP="005F0327">
      <w:pPr>
        <w:pStyle w:val="Sraopastraipa"/>
        <w:spacing w:after="160" w:line="240" w:lineRule="auto"/>
        <w:ind w:left="0" w:firstLine="851"/>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EF2BBC">
        <w:rPr>
          <w:rFonts w:ascii="Times New Roman" w:hAnsi="Times New Roman" w:cs="Times New Roman"/>
          <w:b/>
          <w:bCs/>
          <w:sz w:val="24"/>
          <w:szCs w:val="24"/>
        </w:rPr>
        <w:t>os</w:t>
      </w:r>
      <w:r w:rsidR="00237DE1">
        <w:rPr>
          <w:rFonts w:ascii="Times New Roman" w:hAnsi="Times New Roman" w:cs="Times New Roman"/>
          <w:b/>
          <w:bCs/>
          <w:sz w:val="24"/>
          <w:szCs w:val="24"/>
        </w:rPr>
        <w:t xml:space="preserve"> </w:t>
      </w:r>
      <w:r w:rsidR="00EF2BBC">
        <w:rPr>
          <w:rFonts w:ascii="Times New Roman" w:hAnsi="Times New Roman" w:cs="Times New Roman"/>
          <w:b/>
          <w:bCs/>
          <w:sz w:val="24"/>
          <w:szCs w:val="24"/>
        </w:rPr>
        <w:t>sąmatos</w:t>
      </w:r>
      <w:r w:rsidR="00237DE1">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237DE1">
        <w:rPr>
          <w:rFonts w:ascii="Times New Roman" w:hAnsi="Times New Roman" w:cs="Times New Roman"/>
          <w:b/>
          <w:bCs/>
          <w:sz w:val="24"/>
          <w:szCs w:val="24"/>
        </w:rPr>
        <w:t>pirkimo sąlygų 9 priedas</w:t>
      </w:r>
      <w:r w:rsidRPr="000C5246">
        <w:rPr>
          <w:rFonts w:ascii="Times New Roman" w:hAnsi="Times New Roman" w:cs="Times New Roman"/>
          <w:b/>
          <w:bCs/>
          <w:sz w:val="24"/>
          <w:szCs w:val="24"/>
        </w:rPr>
        <w:t>) bus prašoma</w:t>
      </w:r>
      <w:r w:rsidR="00237DE1">
        <w:rPr>
          <w:rFonts w:ascii="Times New Roman" w:hAnsi="Times New Roman" w:cs="Times New Roman"/>
          <w:b/>
          <w:bCs/>
          <w:sz w:val="24"/>
          <w:szCs w:val="24"/>
        </w:rPr>
        <w:t>s</w:t>
      </w:r>
      <w:r w:rsidRPr="000C5246">
        <w:rPr>
          <w:rFonts w:ascii="Times New Roman" w:hAnsi="Times New Roman" w:cs="Times New Roman"/>
          <w:b/>
          <w:bCs/>
          <w:sz w:val="24"/>
          <w:szCs w:val="24"/>
        </w:rPr>
        <w:t xml:space="preserve"> tik iš galimo </w:t>
      </w:r>
      <w:r w:rsidR="00FB0B3E">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lastRenderedPageBreak/>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FD6D47" w:rsidRPr="00FD6D47">
        <w:rPr>
          <w:rFonts w:ascii="Times New Roman" w:hAnsi="Times New Roman" w:cs="Times New Roman"/>
          <w:bCs/>
          <w:i/>
          <w:sz w:val="24"/>
          <w:szCs w:val="24"/>
        </w:rPr>
        <w:t>netaikoma</w:t>
      </w:r>
      <w:r w:rsidR="00FD6D47"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2D1E9C">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E84384"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w:t>
      </w:r>
      <w:r w:rsidR="009B4549">
        <w:rPr>
          <w:rStyle w:val="Antrat1Diagrama"/>
          <w:rFonts w:ascii="Times New Roman" w:hAnsi="Times New Roman" w:cs="Times New Roman"/>
          <w:bCs/>
          <w:sz w:val="24"/>
          <w:szCs w:val="24"/>
        </w:rPr>
        <w:t xml:space="preserve"> </w:t>
      </w:r>
      <w:r w:rsidR="0085779C"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E84384">
        <w:rPr>
          <w:rStyle w:val="Antrat1Diagrama"/>
          <w:rFonts w:ascii="Times New Roman" w:hAnsi="Times New Roman" w:cs="Times New Roman"/>
          <w:bCs/>
          <w:sz w:val="24"/>
          <w:szCs w:val="24"/>
        </w:rPr>
        <w:t>;</w:t>
      </w:r>
    </w:p>
    <w:p w:rsidR="00895D5F" w:rsidRDefault="00E84384" w:rsidP="00895D5F">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8.8. </w:t>
      </w:r>
      <w:r w:rsidR="00481318">
        <w:rPr>
          <w:rStyle w:val="Antrat1Diagrama"/>
          <w:rFonts w:ascii="Times New Roman" w:hAnsi="Times New Roman" w:cs="Times New Roman"/>
          <w:bCs/>
          <w:sz w:val="24"/>
          <w:szCs w:val="24"/>
        </w:rPr>
        <w:t xml:space="preserve">Priedas Nr. 8 </w:t>
      </w:r>
      <w:r>
        <w:rPr>
          <w:rStyle w:val="Antrat1Diagrama"/>
          <w:rFonts w:ascii="Times New Roman" w:hAnsi="Times New Roman" w:cs="Times New Roman"/>
          <w:bCs/>
          <w:sz w:val="24"/>
          <w:szCs w:val="24"/>
        </w:rPr>
        <w:t>„Paprastojo remonto aprašas“.</w:t>
      </w:r>
    </w:p>
    <w:p w:rsidR="00E250DF" w:rsidRPr="002749D9" w:rsidRDefault="00895D5F" w:rsidP="00895D5F">
      <w:pPr>
        <w:pStyle w:val="Betarp"/>
        <w:ind w:firstLine="851"/>
        <w:contextualSpacing/>
        <w:rPr>
          <w:rFonts w:ascii="Times New Roman" w:eastAsiaTheme="minorHAnsi" w:hAnsi="Times New Roman" w:cs="Times New Roman"/>
          <w:sz w:val="24"/>
          <w:szCs w:val="24"/>
        </w:rPr>
      </w:pPr>
      <w:r>
        <w:rPr>
          <w:rStyle w:val="Antrat1Diagrama"/>
          <w:rFonts w:ascii="Times New Roman" w:hAnsi="Times New Roman" w:cs="Times New Roman"/>
          <w:bCs/>
          <w:sz w:val="24"/>
          <w:szCs w:val="24"/>
        </w:rPr>
        <w:t>8.9. Priedas Nr. 9 „</w:t>
      </w:r>
      <w:r w:rsidR="00EF2BBC">
        <w:rPr>
          <w:rStyle w:val="Antrat1Diagrama"/>
          <w:rFonts w:ascii="Times New Roman" w:hAnsi="Times New Roman" w:cs="Times New Roman"/>
          <w:bCs/>
          <w:sz w:val="24"/>
          <w:szCs w:val="24"/>
        </w:rPr>
        <w:t>Sąmata</w:t>
      </w:r>
      <w:r>
        <w:rPr>
          <w:rStyle w:val="Antrat1Diagrama"/>
          <w:rFonts w:ascii="Times New Roman" w:hAnsi="Times New Roman" w:cs="Times New Roman"/>
          <w:bCs/>
          <w:sz w:val="24"/>
          <w:szCs w:val="24"/>
        </w:rPr>
        <w:t>“.</w:t>
      </w:r>
      <w:r w:rsidR="00EE68F7"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8A07CA"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End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8472" w:type="dxa"/>
        <w:jc w:val="center"/>
        <w:tblLayout w:type="fixed"/>
        <w:tblCellMar>
          <w:left w:w="0" w:type="dxa"/>
          <w:right w:w="0" w:type="dxa"/>
        </w:tblCellMar>
        <w:tblLook w:val="04A0" w:firstRow="1" w:lastRow="0" w:firstColumn="1" w:lastColumn="0" w:noHBand="0" w:noVBand="1"/>
      </w:tblPr>
      <w:tblGrid>
        <w:gridCol w:w="699"/>
        <w:gridCol w:w="3930"/>
        <w:gridCol w:w="3843"/>
      </w:tblGrid>
      <w:tr w:rsidR="008C40D2" w:rsidRPr="008C40D2" w:rsidTr="00CF1BD8">
        <w:trPr>
          <w:trHeight w:val="555"/>
          <w:jc w:val="center"/>
        </w:trPr>
        <w:tc>
          <w:tcPr>
            <w:tcW w:w="69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39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8C40D2" w:rsidRPr="008C40D2" w:rsidTr="00CF1BD8">
        <w:trPr>
          <w:trHeight w:val="555"/>
          <w:jc w:val="center"/>
        </w:trPr>
        <w:tc>
          <w:tcPr>
            <w:tcW w:w="69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39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E05BB3" w:rsidRPr="00E05BB3" w:rsidRDefault="00E05BB3" w:rsidP="00E05BB3">
            <w:pPr>
              <w:spacing w:line="240" w:lineRule="auto"/>
              <w:ind w:firstLine="0"/>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E05BB3" w:rsidRPr="00E05BB3" w:rsidRDefault="00E05BB3" w:rsidP="00E05BB3">
            <w:pPr>
              <w:spacing w:line="240" w:lineRule="auto"/>
              <w:ind w:firstLine="0"/>
              <w:rPr>
                <w:rFonts w:ascii="Times New Roman" w:eastAsia="Times New Roman" w:hAnsi="Times New Roman" w:cs="Times New Roman"/>
                <w:sz w:val="22"/>
                <w:szCs w:val="22"/>
                <w:lang w:eastAsia="en-US"/>
              </w:rPr>
            </w:pPr>
          </w:p>
          <w:p w:rsidR="00E05BB3" w:rsidRPr="00E05BB3" w:rsidRDefault="00E05BB3" w:rsidP="00E05BB3">
            <w:pPr>
              <w:spacing w:line="240" w:lineRule="auto"/>
              <w:ind w:firstLine="0"/>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8C40D2" w:rsidRPr="008C40D2" w:rsidRDefault="008C40D2" w:rsidP="00E05BB3">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8C40D2" w:rsidRPr="008C40D2" w:rsidRDefault="008C40D2" w:rsidP="008C40D2">
            <w:pPr>
              <w:spacing w:line="240" w:lineRule="auto"/>
              <w:rPr>
                <w:rFonts w:ascii="Times New Roman" w:eastAsia="Times New Roman" w:hAnsi="Times New Roman" w:cs="Times New Roman"/>
                <w:color w:val="000000"/>
                <w:sz w:val="22"/>
                <w:szCs w:val="22"/>
                <w:lang w:eastAsia="ar-SA"/>
              </w:rPr>
            </w:pPr>
          </w:p>
          <w:p w:rsidR="008C40D2" w:rsidRPr="008C40D2" w:rsidRDefault="008C40D2" w:rsidP="008C40D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E05BB3">
              <w:rPr>
                <w:rFonts w:ascii="Times New Roman" w:eastAsia="Calibri" w:hAnsi="Times New Roman" w:cs="Times New Roman"/>
                <w:sz w:val="22"/>
                <w:szCs w:val="22"/>
                <w:lang w:eastAsia="en-US"/>
              </w:rPr>
              <w:t>remonto</w:t>
            </w:r>
            <w:r w:rsidR="00E05BB3" w:rsidRPr="00935B3F">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darbams (</w:t>
            </w:r>
            <w:r w:rsidR="00E05BB3" w:rsidRPr="00E05BB3">
              <w:rPr>
                <w:rFonts w:ascii="Times New Roman" w:eastAsia="Calibri" w:hAnsi="Times New Roman" w:cs="Times New Roman"/>
                <w:sz w:val="22"/>
                <w:szCs w:val="22"/>
                <w:lang w:eastAsia="en-US"/>
              </w:rPr>
              <w:t>statinių grupė: susiseikimo komunikacijos</w:t>
            </w:r>
            <w:r w:rsidR="00E05BB3">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C704BF">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895D5F"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 xml:space="preserve">ĖL </w:t>
      </w:r>
      <w:r w:rsidR="00070BD7" w:rsidRPr="00070BD7">
        <w:rPr>
          <w:rFonts w:ascii="Times New Roman" w:hAnsi="Times New Roman" w:cs="Times New Roman"/>
          <w:b/>
          <w:sz w:val="24"/>
          <w:szCs w:val="24"/>
        </w:rPr>
        <w:t>KAIŠIADORIŲ APYLINKĖS SEN. KELIO KD5 (UTERNOS G.) NAVASODAI - PALOMENĖS KELIAS PAPRASTOJO REMONTO RANGOS DA</w:t>
      </w:r>
      <w:r w:rsidR="00070BD7">
        <w:rPr>
          <w:rFonts w:ascii="Times New Roman" w:hAnsi="Times New Roman" w:cs="Times New Roman"/>
          <w:b/>
          <w:sz w:val="24"/>
          <w:szCs w:val="24"/>
        </w:rPr>
        <w:t>RBŲ</w:t>
      </w:r>
    </w:p>
    <w:p w:rsidR="00935B3F" w:rsidRPr="00895D5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r w:rsidRPr="00935B3F">
              <w:rPr>
                <w:rFonts w:ascii="Times New Roman" w:eastAsia="Times New Roman" w:hAnsi="Times New Roman" w:cs="Times New Roman"/>
                <w:spacing w:val="-6"/>
                <w:sz w:val="24"/>
                <w:szCs w:val="24"/>
              </w:rPr>
              <w:t xml:space="preserve">subtiekėjui </w:t>
            </w:r>
            <w:r w:rsidRPr="00935B3F">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r w:rsidRPr="00935B3F">
              <w:rPr>
                <w:rFonts w:ascii="Times New Roman" w:eastAsia="Times New Roman" w:hAnsi="Times New Roman" w:cs="Times New Roman"/>
                <w:spacing w:val="-6"/>
                <w:sz w:val="24"/>
                <w:szCs w:val="24"/>
              </w:rPr>
              <w:t>subtiekėją</w:t>
            </w:r>
            <w:r w:rsidRPr="00935B3F">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EF2BBC" w:rsidP="003427FD">
            <w:pPr>
              <w:spacing w:line="240" w:lineRule="auto"/>
              <w:ind w:firstLine="0"/>
              <w:rPr>
                <w:rFonts w:ascii="Times New Roman" w:eastAsia="Calibri" w:hAnsi="Times New Roman" w:cs="Times New Roman"/>
                <w:sz w:val="22"/>
                <w:szCs w:val="22"/>
              </w:rPr>
            </w:pPr>
            <w:r w:rsidRPr="00EF2BBC">
              <w:rPr>
                <w:rFonts w:ascii="Times New Roman" w:eastAsia="Calibri" w:hAnsi="Times New Roman" w:cs="Times New Roman"/>
                <w:sz w:val="22"/>
                <w:szCs w:val="22"/>
              </w:rPr>
              <w:t>Kaišiadorių apylinkės sen. kelio kd5 (Uternos g.) Navasodai-Palomenės kelias paprastojo remonto rangos darbai</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4F1E58" w:rsidRDefault="004F1E58"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Bendra pasiūlymo kaina Eur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895D5F" w:rsidRDefault="00895D5F" w:rsidP="00106ADF">
      <w:pPr>
        <w:spacing w:line="240" w:lineRule="auto"/>
        <w:ind w:firstLine="0"/>
        <w:rPr>
          <w:rFonts w:ascii="Times New Roman" w:hAnsi="Times New Roman" w:cs="Times New Roman"/>
          <w:sz w:val="24"/>
          <w:szCs w:val="24"/>
        </w:rPr>
      </w:pPr>
    </w:p>
    <w:p w:rsidR="00895D5F" w:rsidRDefault="00895D5F"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895D5F" w:rsidRDefault="00895D5F" w:rsidP="004F1E58">
      <w:pPr>
        <w:ind w:firstLine="0"/>
        <w:rPr>
          <w:rFonts w:ascii="Times New Roman" w:hAnsi="Times New Roman" w:cs="Times New Roman"/>
          <w:sz w:val="24"/>
          <w:szCs w:val="24"/>
        </w:rPr>
      </w:pPr>
    </w:p>
    <w:p w:rsidR="00106ADF" w:rsidRDefault="00106ADF" w:rsidP="00010244">
      <w:pPr>
        <w:ind w:firstLine="7371"/>
        <w:jc w:val="right"/>
        <w:rPr>
          <w:rFonts w:ascii="Times New Roman" w:hAnsi="Times New Roman" w:cs="Times New Roman"/>
          <w:sz w:val="24"/>
          <w:szCs w:val="24"/>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Aš,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(Tiekėjo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dalyvaujantis (-i)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(Perkančiosios organizacijos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atliekamame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skelbtame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atitinkame tiekėjų kvalifikaciją</w:t>
      </w:r>
      <w:r w:rsidR="007B0736">
        <w:rPr>
          <w:rFonts w:ascii="Times New Roman" w:eastAsia="Times New Roman" w:hAnsi="Times New Roman" w:cs="Times New Roman"/>
          <w:sz w:val="24"/>
          <w:szCs w:val="24"/>
          <w:lang w:eastAsia="en-US"/>
        </w:rPr>
        <w:t xml:space="preserve"> nustatyta specialiųjų sąlygų 3.1. p.</w:t>
      </w:r>
      <w:r w:rsidR="00E64C4D">
        <w:rPr>
          <w:rFonts w:ascii="Times New Roman" w:eastAsia="Times New Roman" w:hAnsi="Times New Roman" w:cs="Times New Roman"/>
          <w:sz w:val="24"/>
          <w:szCs w:val="24"/>
          <w:lang w:eastAsia="en-US"/>
        </w:rPr>
        <w:t xml:space="preserve">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r w:rsidR="002135EC">
        <w:rPr>
          <w:rFonts w:ascii="Times New Roman" w:eastAsia="Times New Roman" w:hAnsi="Times New Roman" w:cs="Times New Roman"/>
          <w:sz w:val="24"/>
          <w:szCs w:val="24"/>
          <w:lang w:eastAsia="en-US"/>
        </w:rPr>
        <w:t xml:space="preserve"> nustatytas specialiųjų sąlygų 4.1. p</w:t>
      </w:r>
      <w:r w:rsidRPr="002D3CD4">
        <w:rPr>
          <w:rFonts w:ascii="Times New Roman" w:eastAsia="Times New Roman" w:hAnsi="Times New Roman" w:cs="Times New Roman"/>
          <w:sz w:val="24"/>
          <w:szCs w:val="24"/>
          <w:lang w:eastAsia="en-US"/>
        </w:rPr>
        <w:t>.</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8</w:t>
      </w:r>
      <w:r w:rsidRPr="00E84384">
        <w:rPr>
          <w:rFonts w:ascii="Times New Roman" w:eastAsia="Times New Roman" w:hAnsi="Times New Roman" w:cs="Times New Roman"/>
          <w:sz w:val="24"/>
          <w:szCs w:val="24"/>
          <w:lang w:eastAsia="en-US"/>
        </w:rPr>
        <w:t xml:space="preserve"> priedas</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Paprastojo remonto aprašas</w:t>
      </w:r>
      <w:r w:rsidRPr="00E84384">
        <w:rPr>
          <w:rFonts w:ascii="Times New Roman" w:eastAsia="Times New Roman" w:hAnsi="Times New Roman" w:cs="Times New Roman"/>
          <w:sz w:val="24"/>
          <w:szCs w:val="24"/>
          <w:lang w:eastAsia="en-US"/>
        </w:rPr>
        <w:t xml:space="preserve">“ </w:t>
      </w:r>
    </w:p>
    <w:p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(pridedamas atskiru dokumentu)</w:t>
      </w: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Pr="00E84384" w:rsidRDefault="00895D5F" w:rsidP="00895D5F">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9</w:t>
      </w:r>
      <w:r w:rsidRPr="00E84384">
        <w:rPr>
          <w:rFonts w:ascii="Times New Roman" w:eastAsia="Times New Roman" w:hAnsi="Times New Roman" w:cs="Times New Roman"/>
          <w:sz w:val="24"/>
          <w:szCs w:val="24"/>
          <w:lang w:eastAsia="en-US"/>
        </w:rPr>
        <w:t xml:space="preserve"> priedas</w:t>
      </w:r>
    </w:p>
    <w:p w:rsidR="00895D5F" w:rsidRDefault="00895D5F" w:rsidP="00895D5F">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w:t>
      </w:r>
      <w:r w:rsidR="00106ADF">
        <w:rPr>
          <w:rFonts w:ascii="Times New Roman" w:eastAsia="Times New Roman" w:hAnsi="Times New Roman" w:cs="Times New Roman"/>
          <w:sz w:val="24"/>
          <w:szCs w:val="24"/>
          <w:lang w:eastAsia="en-US"/>
        </w:rPr>
        <w:t>Sąmata</w:t>
      </w:r>
      <w:r w:rsidRPr="00E84384">
        <w:rPr>
          <w:rFonts w:ascii="Times New Roman" w:eastAsia="Times New Roman" w:hAnsi="Times New Roman" w:cs="Times New Roman"/>
          <w:sz w:val="24"/>
          <w:szCs w:val="24"/>
          <w:lang w:eastAsia="en-US"/>
        </w:rPr>
        <w:t xml:space="preserve">“ </w:t>
      </w:r>
    </w:p>
    <w:p w:rsidR="00895D5F" w:rsidRDefault="00895D5F" w:rsidP="00895D5F">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(pridedamas atskiru dokumentu)</w:t>
      </w: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895D5F" w:rsidRPr="00E84384" w:rsidRDefault="00895D5F"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sectPr w:rsidR="00E84384" w:rsidRPr="00E84384"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7CA" w:rsidRDefault="008A07CA" w:rsidP="00D05666">
      <w:r>
        <w:separator/>
      </w:r>
    </w:p>
  </w:endnote>
  <w:endnote w:type="continuationSeparator" w:id="0">
    <w:p w:rsidR="008A07CA" w:rsidRDefault="008A07CA" w:rsidP="00D05666">
      <w:r>
        <w:continuationSeparator/>
      </w:r>
    </w:p>
  </w:endnote>
  <w:endnote w:type="continuationNotice" w:id="1">
    <w:p w:rsidR="008A07CA" w:rsidRDefault="008A07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7CA" w:rsidRDefault="008A07CA" w:rsidP="00D05666">
      <w:r>
        <w:separator/>
      </w:r>
    </w:p>
  </w:footnote>
  <w:footnote w:type="continuationSeparator" w:id="0">
    <w:p w:rsidR="008A07CA" w:rsidRDefault="008A07CA" w:rsidP="00D05666">
      <w:r>
        <w:continuationSeparator/>
      </w:r>
    </w:p>
  </w:footnote>
  <w:footnote w:type="continuationNotice" w:id="1">
    <w:p w:rsidR="008A07CA" w:rsidRDefault="008A07C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4A2E7C" w:rsidRDefault="008A07CA" w:rsidP="00D31477">
        <w:pPr>
          <w:pStyle w:val="Antrats"/>
          <w:ind w:firstLine="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15:restartNumberingAfterBreak="0">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5"/>
  </w:num>
  <w:num w:numId="3">
    <w:abstractNumId w:val="10"/>
  </w:num>
  <w:num w:numId="4">
    <w:abstractNumId w:val="18"/>
  </w:num>
  <w:num w:numId="5">
    <w:abstractNumId w:val="5"/>
  </w:num>
  <w:num w:numId="6">
    <w:abstractNumId w:val="2"/>
  </w:num>
  <w:num w:numId="7">
    <w:abstractNumId w:val="11"/>
  </w:num>
  <w:num w:numId="8">
    <w:abstractNumId w:val="1"/>
  </w:num>
  <w:num w:numId="9">
    <w:abstractNumId w:val="17"/>
  </w:num>
  <w:num w:numId="10">
    <w:abstractNumId w:val="14"/>
  </w:num>
  <w:num w:numId="11">
    <w:abstractNumId w:val="16"/>
  </w:num>
  <w:num w:numId="12">
    <w:abstractNumId w:val="13"/>
  </w:num>
  <w:num w:numId="13">
    <w:abstractNumId w:val="19"/>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0FFD"/>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0BD7"/>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5478"/>
    <w:rsid w:val="00085609"/>
    <w:rsid w:val="000859C8"/>
    <w:rsid w:val="0008617B"/>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6ADF"/>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11B3"/>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70"/>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621"/>
    <w:rsid w:val="00212882"/>
    <w:rsid w:val="00212C25"/>
    <w:rsid w:val="002135C6"/>
    <w:rsid w:val="002135EC"/>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DE1"/>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184"/>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11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38C"/>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929"/>
    <w:rsid w:val="00341D9A"/>
    <w:rsid w:val="00342130"/>
    <w:rsid w:val="00342631"/>
    <w:rsid w:val="003427FD"/>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8F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64F"/>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6E35"/>
    <w:rsid w:val="00447B36"/>
    <w:rsid w:val="00447D54"/>
    <w:rsid w:val="00450767"/>
    <w:rsid w:val="0045090F"/>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1E58"/>
    <w:rsid w:val="004F1F3A"/>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8DE"/>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2F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0D13"/>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AE"/>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E50"/>
    <w:rsid w:val="00764FD6"/>
    <w:rsid w:val="007654C6"/>
    <w:rsid w:val="00765F24"/>
    <w:rsid w:val="00766211"/>
    <w:rsid w:val="00766A3E"/>
    <w:rsid w:val="00771EC8"/>
    <w:rsid w:val="007720C2"/>
    <w:rsid w:val="007720C7"/>
    <w:rsid w:val="007724D3"/>
    <w:rsid w:val="007731F0"/>
    <w:rsid w:val="007738CF"/>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0736"/>
    <w:rsid w:val="007B12FF"/>
    <w:rsid w:val="007B185F"/>
    <w:rsid w:val="007B2A01"/>
    <w:rsid w:val="007B2E75"/>
    <w:rsid w:val="007B39E1"/>
    <w:rsid w:val="007B4DFE"/>
    <w:rsid w:val="007B617F"/>
    <w:rsid w:val="007B6219"/>
    <w:rsid w:val="007B6AEC"/>
    <w:rsid w:val="007B7938"/>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BB7"/>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D5F"/>
    <w:rsid w:val="00895FDB"/>
    <w:rsid w:val="008969D4"/>
    <w:rsid w:val="008A0157"/>
    <w:rsid w:val="008A07C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5284"/>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15A"/>
    <w:rsid w:val="009657AE"/>
    <w:rsid w:val="00965894"/>
    <w:rsid w:val="009666D7"/>
    <w:rsid w:val="00966703"/>
    <w:rsid w:val="009670AC"/>
    <w:rsid w:val="0096764F"/>
    <w:rsid w:val="009700A8"/>
    <w:rsid w:val="00970BA8"/>
    <w:rsid w:val="00971170"/>
    <w:rsid w:val="009716FC"/>
    <w:rsid w:val="00971D98"/>
    <w:rsid w:val="00973E16"/>
    <w:rsid w:val="009752F1"/>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07B"/>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1E"/>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12"/>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583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9D4"/>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DBC"/>
    <w:rsid w:val="00E83154"/>
    <w:rsid w:val="00E83222"/>
    <w:rsid w:val="00E8432A"/>
    <w:rsid w:val="00E84384"/>
    <w:rsid w:val="00E84989"/>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A708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2BBC"/>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58C1"/>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20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D47"/>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4FE0F7-EC62-4B21-AA65-7F3AF48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78082AA-F7D3-42D8-8A41-30BFE875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13256</Words>
  <Characters>7556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Brigita Kubeckienė</cp:lastModifiedBy>
  <cp:revision>8</cp:revision>
  <cp:lastPrinted>2024-03-21T11:21:00Z</cp:lastPrinted>
  <dcterms:created xsi:type="dcterms:W3CDTF">2025-03-24T12:06:00Z</dcterms:created>
  <dcterms:modified xsi:type="dcterms:W3CDTF">2025-03-25T09:25:00Z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