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1193B66B"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5657F4">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6EB1440D"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E15FA6">
        <w:rPr>
          <w:rFonts w:ascii="Times New Roman" w:hAnsi="Times New Roman"/>
          <w:b/>
          <w:sz w:val="24"/>
          <w:szCs w:val="24"/>
        </w:rPr>
        <w:t xml:space="preserve"> </w:t>
      </w:r>
      <w:r w:rsidR="002D7FCA">
        <w:rPr>
          <w:rFonts w:ascii="Times New Roman" w:hAnsi="Times New Roman"/>
          <w:b/>
          <w:sz w:val="24"/>
          <w:szCs w:val="24"/>
        </w:rPr>
        <w:t>MICAIČIŲ</w:t>
      </w:r>
      <w:r w:rsidR="00D01F86">
        <w:rPr>
          <w:rFonts w:ascii="Times New Roman" w:hAnsi="Times New Roman"/>
          <w:b/>
          <w:sz w:val="24"/>
          <w:szCs w:val="24"/>
        </w:rPr>
        <w:t xml:space="preserve"> K</w:t>
      </w:r>
      <w:r w:rsidR="00161C1C">
        <w:rPr>
          <w:rFonts w:ascii="Times New Roman" w:hAnsi="Times New Roman"/>
          <w:b/>
          <w:sz w:val="24"/>
          <w:szCs w:val="24"/>
        </w:rPr>
        <w:t xml:space="preserve">. </w:t>
      </w:r>
      <w:r w:rsidR="002D7FCA">
        <w:rPr>
          <w:rFonts w:ascii="Times New Roman" w:hAnsi="Times New Roman"/>
          <w:b/>
          <w:sz w:val="24"/>
          <w:szCs w:val="24"/>
        </w:rPr>
        <w:t>SAULĖS</w:t>
      </w:r>
      <w:r w:rsidR="0038122E">
        <w:rPr>
          <w:rFonts w:ascii="Times New Roman" w:hAnsi="Times New Roman"/>
          <w:b/>
          <w:sz w:val="24"/>
          <w:szCs w:val="24"/>
        </w:rPr>
        <w:t xml:space="preserve"> </w:t>
      </w:r>
      <w:r w:rsidRPr="000D59D9">
        <w:rPr>
          <w:rFonts w:ascii="Times New Roman" w:hAnsi="Times New Roman"/>
          <w:b/>
          <w:sz w:val="24"/>
          <w:szCs w:val="24"/>
        </w:rPr>
        <w:t>GATVĖ</w:t>
      </w:r>
      <w:r w:rsidR="00883D16">
        <w:rPr>
          <w:rFonts w:ascii="Times New Roman" w:hAnsi="Times New Roman"/>
          <w:b/>
          <w:sz w:val="24"/>
          <w:szCs w:val="24"/>
        </w:rPr>
        <w:t>S</w:t>
      </w:r>
      <w:r w:rsidR="009C5CB8">
        <w:rPr>
          <w:rFonts w:ascii="Times New Roman" w:hAnsi="Times New Roman"/>
          <w:b/>
          <w:sz w:val="24"/>
          <w:szCs w:val="24"/>
        </w:rPr>
        <w:t xml:space="preserve"> </w:t>
      </w:r>
    </w:p>
    <w:p w14:paraId="7B9A67FF" w14:textId="355917E1" w:rsidR="00AD283A" w:rsidRPr="00B91F67" w:rsidRDefault="008D1175"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6DA7B58A"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4A5825">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4B7846DC" w14:textId="77777777" w:rsidR="007243B4" w:rsidRPr="004E3884" w:rsidRDefault="007243B4" w:rsidP="007243B4">
      <w:pPr>
        <w:spacing w:before="120"/>
        <w:jc w:val="both"/>
        <w:rPr>
          <w:rFonts w:ascii="Times New Roman" w:eastAsia="Lucida Sans Unicode" w:hAnsi="Times New Roman"/>
          <w:kern w:val="1"/>
          <w:lang w:eastAsia="zh-CN" w:bidi="hi-IN"/>
        </w:rPr>
      </w:pPr>
      <w:r w:rsidRPr="00C84375">
        <w:rPr>
          <w:rFonts w:ascii="Times New Roman" w:eastAsia="Lucida Sans Unicode" w:hAnsi="Times New Roman"/>
          <w:kern w:val="1"/>
          <w:lang w:eastAsia="zh-CN" w:bidi="hi-IN"/>
        </w:rPr>
        <w:t xml:space="preserve">Biudžetinė įstaiga Šiaulių rajono savivaldybės administracija,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w:t>
      </w:r>
      <w:proofErr w:type="spellStart"/>
      <w:r w:rsidRPr="00C84375">
        <w:rPr>
          <w:rFonts w:ascii="Times New Roman" w:eastAsia="Lucida Sans Unicode" w:hAnsi="Times New Roman"/>
          <w:kern w:val="1"/>
          <w:lang w:eastAsia="zh-CN" w:bidi="hi-IN"/>
        </w:rPr>
        <w:t>Gipoldo</w:t>
      </w:r>
      <w:proofErr w:type="spellEnd"/>
      <w:r w:rsidRPr="00C84375">
        <w:rPr>
          <w:rFonts w:ascii="Times New Roman" w:eastAsia="Lucida Sans Unicode" w:hAnsi="Times New Roman"/>
          <w:kern w:val="1"/>
          <w:lang w:eastAsia="zh-CN" w:bidi="hi-IN"/>
        </w:rPr>
        <w:t xml:space="preserve"> Karklelio, veikiančio pagal Šiaulių rajono savivaldybės administracijos nuostatus, patvirtintus Šiaulių rajono savivaldybės tarybos 2024 m. vasario 6 d. sprendimu Nr. T-5 „Dėl Šiaulių rajono savivaldybės administracijos nuostatų patvirtinimo“, (toliau – Užsakovas)</w:t>
      </w:r>
      <w:r w:rsidRPr="004E3884">
        <w:rPr>
          <w:rFonts w:ascii="Times New Roman" w:eastAsia="Lucida Sans Unicode" w:hAnsi="Times New Roman"/>
          <w:kern w:val="1"/>
          <w:lang w:eastAsia="zh-CN" w:bidi="hi-IN"/>
        </w:rPr>
        <w:t>toliau kartu šioje sutartyje vadinami „Šalimis“, o kiekvienas atskirai – „Šalimi“,</w:t>
      </w:r>
    </w:p>
    <w:p w14:paraId="01FA4D23" w14:textId="378AF6D0"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w:t>
      </w:r>
      <w:r w:rsidR="003A4542" w:rsidRPr="003A4542">
        <w:rPr>
          <w:rFonts w:ascii="Times New Roman" w:eastAsia="Lucida Sans Unicode" w:hAnsi="Times New Roman"/>
          <w:kern w:val="1"/>
          <w:lang w:eastAsia="zh-CN" w:bidi="hi-IN"/>
        </w:rPr>
        <w:t>Šiaulių r. Micaičių k. Saulės gatvės paprastojo remonto darbai</w:t>
      </w:r>
      <w:r w:rsidR="00164FCE">
        <w:rPr>
          <w:rFonts w:ascii="Times New Roman" w:eastAsia="Lucida Sans Unicode" w:hAnsi="Times New Roman"/>
          <w:kern w:val="1"/>
          <w:lang w:eastAsia="zh-CN" w:bidi="hi-IN"/>
        </w:rPr>
        <w:t>“</w:t>
      </w:r>
      <w:r w:rsidRPr="004E3884">
        <w:rPr>
          <w:rFonts w:ascii="Times New Roman" w:eastAsia="Lucida Sans Unicode" w:hAnsi="Times New Roman"/>
          <w:kern w:val="1"/>
          <w:lang w:eastAsia="zh-CN" w:bidi="hi-IN"/>
        </w:rPr>
        <w:t xml:space="preserve"> (pirkimo Nr.</w:t>
      </w:r>
      <w:r w:rsidR="00ED0E5C">
        <w:rPr>
          <w:rFonts w:ascii="Times New Roman" w:eastAsia="Lucida Sans Unicode" w:hAnsi="Times New Roman"/>
          <w:kern w:val="1"/>
          <w:lang w:eastAsia="zh-CN" w:bidi="hi-IN"/>
        </w:rPr>
        <w:t xml:space="preserve"> </w:t>
      </w:r>
      <w:r w:rsidR="00ED0E5C" w:rsidRPr="00ED0E5C">
        <w:rPr>
          <w:rFonts w:ascii="Times New Roman" w:eastAsia="Lucida Sans Unicode" w:hAnsi="Times New Roman"/>
          <w:kern w:val="1"/>
          <w:lang w:eastAsia="zh-CN" w:bidi="hi-IN"/>
        </w:rPr>
        <w:t>1829436</w:t>
      </w:r>
      <w:r w:rsidRPr="004E3884">
        <w:rPr>
          <w:rFonts w:ascii="Times New Roman" w:eastAsia="Lucida Sans Unicode" w:hAnsi="Times New Roman"/>
          <w:kern w:val="1"/>
          <w:lang w:eastAsia="zh-CN" w:bidi="hi-IN"/>
        </w:rPr>
        <w:t>)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7E491C97"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2D7FCA">
                    <w:t>Micaičių</w:t>
                  </w:r>
                  <w:r w:rsidR="00D01F86">
                    <w:t xml:space="preserve"> k</w:t>
                  </w:r>
                  <w:r w:rsidR="00161C1C">
                    <w:t xml:space="preserve">. </w:t>
                  </w:r>
                  <w:r w:rsidR="002D7FCA">
                    <w:t>Saulės</w:t>
                  </w:r>
                  <w:r>
                    <w:t xml:space="preserve"> gatvė</w:t>
                  </w:r>
                  <w:r w:rsidR="00883D16">
                    <w:t>s</w:t>
                  </w:r>
                  <w:r w:rsidR="009C5CB8">
                    <w:t xml:space="preserve"> </w:t>
                  </w:r>
                  <w:r w:rsidR="008D1175">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Sutartyje numatyta tvarka priimti tinkamai </w:t>
                  </w:r>
                  <w:r w:rsidRPr="00892B13">
                    <w:lastRenderedPageBreak/>
                    <w:t>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BA1505">
            <w:pPr>
              <w:pStyle w:val="Sraopastraipa1"/>
              <w:numPr>
                <w:ilvl w:val="0"/>
                <w:numId w:val="42"/>
              </w:numPr>
              <w:ind w:left="1167" w:hanging="142"/>
              <w:jc w:val="both"/>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353083DE" w14:textId="0C649B25" w:rsidR="00D01F86" w:rsidRDefault="00D01F86" w:rsidP="00D01F86">
                  <w:pPr>
                    <w:pStyle w:val="Stilius3"/>
                    <w:jc w:val="left"/>
                  </w:pPr>
                  <w:r>
                    <w:t>Vaidas Baltrušaitis, Turto valdymo skyriaus vyriausiasis specialistas   tel. +370 41 59 66 64, mob. +370 620 69309,         el. p. vaidas.baltrusaitis@siauliuraj.lt</w:t>
                  </w:r>
                </w:p>
                <w:p w14:paraId="1A02BAE7" w14:textId="67C7BC86" w:rsidR="00161C1C" w:rsidRDefault="009C5CB8" w:rsidP="00161C1C">
                  <w:pPr>
                    <w:pStyle w:val="Stilius3"/>
                  </w:pPr>
                  <w:r>
                    <w:t xml:space="preserve">Audrius </w:t>
                  </w:r>
                  <w:proofErr w:type="spellStart"/>
                  <w:r>
                    <w:t>Zaturskas</w:t>
                  </w:r>
                  <w:proofErr w:type="spellEnd"/>
                  <w:r w:rsidR="00161C1C">
                    <w:t xml:space="preserve">, </w:t>
                  </w:r>
                  <w:r w:rsidR="00446BBB">
                    <w:t xml:space="preserve">Turto valdymo skyriaus vyriausiasis specialistas </w:t>
                  </w:r>
                  <w:r w:rsidR="00161C1C">
                    <w:t>tel. +370 41 59 66 64, mob. +370</w:t>
                  </w:r>
                  <w:r>
                    <w:t> </w:t>
                  </w:r>
                  <w:r w:rsidR="00161C1C">
                    <w:t>6</w:t>
                  </w:r>
                  <w:r>
                    <w:t>15 48914</w:t>
                  </w:r>
                  <w:r w:rsidR="00161C1C">
                    <w:t xml:space="preserve">, </w:t>
                  </w:r>
                </w:p>
                <w:p w14:paraId="113B8BA5" w14:textId="48C53969" w:rsidR="00446BBB" w:rsidRDefault="00161C1C" w:rsidP="00446BBB">
                  <w:pPr>
                    <w:pStyle w:val="Stilius3"/>
                    <w:spacing w:before="0"/>
                    <w:jc w:val="left"/>
                  </w:pPr>
                  <w:r>
                    <w:t xml:space="preserve">el. p. </w:t>
                  </w:r>
                  <w:r w:rsidR="00446BBB" w:rsidRPr="00012229">
                    <w:t>audrius.zaturskas@siauliuraj.lt</w:t>
                  </w:r>
                </w:p>
                <w:p w14:paraId="20719750" w14:textId="23C1C90F" w:rsidR="00D01F86" w:rsidRPr="00CF37B8" w:rsidRDefault="00D01F86" w:rsidP="00D01F86">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5C788683" w:rsidR="00BC51EB" w:rsidRPr="00EB7407" w:rsidRDefault="00751A3E" w:rsidP="00611FDC">
                  <w:pPr>
                    <w:pStyle w:val="Stilius3"/>
                    <w:ind w:right="420"/>
                    <w:jc w:val="left"/>
                  </w:pPr>
                  <w:r>
                    <w:t>5</w:t>
                  </w:r>
                  <w:r w:rsidR="00F42A46" w:rsidRPr="00945A04">
                    <w:t xml:space="preserve"> </w:t>
                  </w:r>
                  <w:r>
                    <w:t>mėnesiai</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592B5118" w:rsidR="007A05B1" w:rsidRPr="007A05B1" w:rsidRDefault="007A05B1" w:rsidP="00170B86">
                  <w:pPr>
                    <w:pStyle w:val="Stilius3"/>
                    <w:ind w:right="420"/>
                    <w:jc w:val="left"/>
                  </w:pPr>
                  <w:r w:rsidRPr="00945A04">
                    <w:t xml:space="preserve">Per </w:t>
                  </w:r>
                  <w:r w:rsidR="00A10635">
                    <w:t>1</w:t>
                  </w:r>
                  <w:r w:rsidR="00F42A46" w:rsidRPr="00945A04">
                    <w:t>5</w:t>
                  </w:r>
                  <w:r w:rsidRPr="00945A04">
                    <w:t xml:space="preserve"> dien</w:t>
                  </w:r>
                  <w:r w:rsidR="00A10635">
                    <w:t>ų</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23BECD29" w:rsidR="005C2FD7" w:rsidRPr="007A05B1" w:rsidRDefault="00F42A46" w:rsidP="00170B86">
                  <w:pPr>
                    <w:pStyle w:val="Stilius3"/>
                    <w:ind w:right="420"/>
                    <w:jc w:val="left"/>
                  </w:pPr>
                  <w:r>
                    <w:t xml:space="preserve">Per </w:t>
                  </w:r>
                  <w:r w:rsidR="00751A3E">
                    <w:t>5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77777777" w:rsidR="00170B86" w:rsidRPr="007A05B1" w:rsidRDefault="00170B86" w:rsidP="00170B86">
                  <w:pPr>
                    <w:pStyle w:val="Stilius3"/>
                  </w:pPr>
                  <w:r w:rsidRPr="007A05B1">
                    <w:t>6.4</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149DE3EF" w:rsidR="00170B86" w:rsidRPr="00892B13" w:rsidRDefault="00170B86" w:rsidP="00170B86">
                  <w:pPr>
                    <w:pStyle w:val="Stilius3"/>
                  </w:pPr>
                  <w:r w:rsidRPr="00892B13">
                    <w:t>6.</w:t>
                  </w:r>
                  <w:r w:rsidR="00192FE4">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D0160D">
        <w:tc>
          <w:tcPr>
            <w:tcW w:w="743" w:type="dxa"/>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058DD7B" w14:textId="77777777" w:rsidR="00737666" w:rsidRDefault="0049376C" w:rsidP="00737666">
            <w:pPr>
              <w:pStyle w:val="Stilius3"/>
              <w:numPr>
                <w:ilvl w:val="2"/>
                <w:numId w:val="52"/>
              </w:numPr>
              <w:spacing w:before="0"/>
              <w:ind w:left="741" w:hanging="764"/>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5B16609C" w14:textId="77777777" w:rsidR="00737666" w:rsidRDefault="0049376C" w:rsidP="00737666">
            <w:pPr>
              <w:pStyle w:val="Stilius3"/>
              <w:numPr>
                <w:ilvl w:val="2"/>
                <w:numId w:val="52"/>
              </w:numPr>
              <w:spacing w:before="0"/>
              <w:ind w:left="741" w:hanging="764"/>
            </w:pPr>
            <w:r w:rsidRPr="00892B13">
              <w:t xml:space="preserve">Pakeitimų, atliekamų vadovaujantis Sutarties sąlygų </w:t>
            </w:r>
            <w:r>
              <w:t>10 skyriaus</w:t>
            </w:r>
            <w:r w:rsidRPr="00901E90">
              <w:t xml:space="preserve"> </w:t>
            </w:r>
            <w:r w:rsidRPr="00892B13">
              <w:t>nuostatomis;</w:t>
            </w:r>
          </w:p>
          <w:p w14:paraId="34896DE1" w14:textId="75F5359B" w:rsidR="0049376C" w:rsidRPr="00892B13" w:rsidRDefault="0049376C" w:rsidP="00737666">
            <w:pPr>
              <w:pStyle w:val="Stilius3"/>
              <w:numPr>
                <w:ilvl w:val="2"/>
                <w:numId w:val="52"/>
              </w:numPr>
              <w:spacing w:before="0"/>
              <w:ind w:left="741" w:hanging="764"/>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2E20D7" w:rsidRPr="00945A04" w14:paraId="582EDED5" w14:textId="77777777" w:rsidTr="00D0160D">
        <w:tc>
          <w:tcPr>
            <w:tcW w:w="743" w:type="dxa"/>
            <w:tcBorders>
              <w:top w:val="nil"/>
              <w:left w:val="nil"/>
              <w:bottom w:val="nil"/>
              <w:right w:val="nil"/>
            </w:tcBorders>
            <w:shd w:val="clear" w:color="auto" w:fill="auto"/>
          </w:tcPr>
          <w:p w14:paraId="7ADB2953" w14:textId="77777777" w:rsidR="002E20D7" w:rsidRPr="00892B13" w:rsidRDefault="002E20D7" w:rsidP="002E20D7">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2D7E4122" w14:textId="77777777" w:rsidR="002E20D7" w:rsidRPr="00945A04" w:rsidRDefault="002E20D7" w:rsidP="002E20D7">
            <w:pPr>
              <w:pStyle w:val="Stilius3"/>
              <w:spacing w:before="0" w:after="120"/>
            </w:pPr>
            <w:r w:rsidRPr="00945A04">
              <w:t>Sutarties įvykdymas privalo būti užtikrintas viena iš žemiau nurodytų formų:</w:t>
            </w:r>
          </w:p>
          <w:p w14:paraId="5F958D51" w14:textId="2E8162AE"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 banko ar kredito įstaigos besąlygine garantija;</w:t>
            </w:r>
          </w:p>
          <w:p w14:paraId="075B3FB6" w14:textId="77777777" w:rsidR="002E20D7" w:rsidRPr="00945A04" w:rsidRDefault="002E20D7" w:rsidP="002E20D7">
            <w:pPr>
              <w:pStyle w:val="Stilius3"/>
              <w:numPr>
                <w:ilvl w:val="1"/>
                <w:numId w:val="50"/>
              </w:numPr>
              <w:tabs>
                <w:tab w:val="left" w:pos="1025"/>
              </w:tabs>
              <w:spacing w:before="0"/>
              <w:ind w:left="458" w:hanging="458"/>
            </w:pPr>
            <w:r w:rsidRPr="00945A04">
              <w:t>Lietuvos Respublikoje ar užsienyje registruotos draudimo bendrovės besąlyginiu laidavimo draudimu,</w:t>
            </w:r>
          </w:p>
          <w:p w14:paraId="7428B183" w14:textId="52A7D014" w:rsidR="002E20D7" w:rsidRPr="00945A04" w:rsidRDefault="002E20D7" w:rsidP="002E20D7">
            <w:pPr>
              <w:pStyle w:val="Stilius3"/>
              <w:numPr>
                <w:ilvl w:val="1"/>
                <w:numId w:val="50"/>
              </w:numPr>
              <w:tabs>
                <w:tab w:val="left" w:pos="1025"/>
              </w:tabs>
              <w:spacing w:before="0"/>
              <w:ind w:left="458" w:hanging="458"/>
            </w:pPr>
            <w:bookmarkStart w:id="2" w:name="_Hlk505172197"/>
            <w:r w:rsidRPr="00945A04">
              <w:t>užstatu, kuris pervedamas į Šiaulių rajono savivaldybės administracijos sąskaitą Nr. LT544010044200030055, esančią banke „</w:t>
            </w:r>
            <w:proofErr w:type="spellStart"/>
            <w:r w:rsidRPr="00945A04">
              <w:t>Luminor</w:t>
            </w:r>
            <w:proofErr w:type="spellEnd"/>
            <w:r w:rsidRPr="00945A04">
              <w:t xml:space="preserve"> Bank“, AS, Lietuvos skyriuje</w:t>
            </w:r>
            <w:bookmarkEnd w:id="2"/>
            <w:r w:rsidRPr="00945A04">
              <w:t>.</w:t>
            </w:r>
          </w:p>
        </w:tc>
      </w:tr>
      <w:tr w:rsidR="002E20D7" w:rsidRPr="000E0DB7" w14:paraId="2D059629" w14:textId="77777777" w:rsidTr="00D0160D">
        <w:tc>
          <w:tcPr>
            <w:tcW w:w="743" w:type="dxa"/>
            <w:tcBorders>
              <w:top w:val="nil"/>
              <w:left w:val="nil"/>
              <w:bottom w:val="nil"/>
              <w:right w:val="nil"/>
            </w:tcBorders>
            <w:shd w:val="clear" w:color="auto" w:fill="auto"/>
          </w:tcPr>
          <w:p w14:paraId="19276F1E"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9130896" w:rsidR="002E20D7" w:rsidRPr="000E0DB7" w:rsidRDefault="002E20D7" w:rsidP="002E20D7">
            <w:pPr>
              <w:pStyle w:val="Stilius3"/>
            </w:pPr>
            <w:r w:rsidRPr="000E0DB7">
              <w:t xml:space="preserve">Užtikrinimo suma nurodyta 3.4 papunktyje. </w:t>
            </w:r>
          </w:p>
        </w:tc>
      </w:tr>
      <w:tr w:rsidR="002E20D7" w:rsidRPr="00892B13" w14:paraId="639BB57F" w14:textId="77777777" w:rsidTr="00D0160D">
        <w:tc>
          <w:tcPr>
            <w:tcW w:w="743" w:type="dxa"/>
            <w:tcBorders>
              <w:top w:val="nil"/>
              <w:left w:val="nil"/>
              <w:bottom w:val="nil"/>
              <w:right w:val="nil"/>
            </w:tcBorders>
            <w:shd w:val="clear" w:color="auto" w:fill="auto"/>
          </w:tcPr>
          <w:p w14:paraId="6A0F584F" w14:textId="77777777" w:rsidR="002E20D7" w:rsidRPr="000E0DB7"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0D7375CB" w:rsidR="002E20D7" w:rsidRPr="00945A04" w:rsidRDefault="002E20D7" w:rsidP="002E20D7">
            <w:pPr>
              <w:pStyle w:val="Stilius3"/>
            </w:pPr>
            <w:r w:rsidRPr="00945A04">
              <w:t xml:space="preserve">Sutarties įvykdymo užtikrinimą (banko ar kredito įstaigos garantiją arba draudimo bendrovės draudimo laidavimo raštą) Rangovas privalo pateikti Užsakovui, arba užstatą pervesti į Užsakovo nurodytą banko sąskaitą ne vėliau kaip per </w:t>
            </w:r>
            <w:r w:rsidR="00E731CB">
              <w:t xml:space="preserve">5 </w:t>
            </w:r>
            <w:r w:rsidRPr="00945A04">
              <w:t>darbo dien</w:t>
            </w:r>
            <w:r w:rsidR="00E731CB">
              <w:t>as</w:t>
            </w:r>
            <w:r w:rsidRPr="00945A04">
              <w:t xml:space="preserve"> nuo Sutarties pasirašymo. Jei Rangovas per šį laikotarpį Sutarties įvykdymo užtikrinimo nepateikia, laikoma, kad Rangovas atsisakė sudaryti Sutartį, ir Užsakovas turi teisę pasinaudoti rangos darbų pirkimui Rangovo pateiktu pasiūlymo galiojimo užtikrinimu. Sutarties įvykdymo užtikrinimas jo pateikimo Užsakovui dieną privalo būti įsigaliojęs, ir jo galiojimo terminas turi būti 40 dienų ilgesnis už šios Sutarties 3.4 papunktyje nurodytą Darbų atlikimo terminą. Jei Sutartis </w:t>
            </w:r>
            <w:r w:rsidRPr="00945A04">
              <w:lastRenderedPageBreak/>
              <w:t>pratęsiama, arba Darbai sustabdomi, arba Rangovas vėluoja užbaigti Darbus, atitinkamai turi būti pratęstas ir Sutarties įvykdymo užtikrinimo galiojimas</w:t>
            </w:r>
            <w:r w:rsidR="009A4D6A" w:rsidRPr="00945A04">
              <w:t>.</w:t>
            </w:r>
          </w:p>
        </w:tc>
      </w:tr>
      <w:tr w:rsidR="002E20D7" w:rsidRPr="00892B13" w14:paraId="666CEEFB" w14:textId="77777777" w:rsidTr="00D0160D">
        <w:tc>
          <w:tcPr>
            <w:tcW w:w="743" w:type="dxa"/>
            <w:tcBorders>
              <w:top w:val="nil"/>
              <w:left w:val="nil"/>
              <w:bottom w:val="nil"/>
              <w:right w:val="nil"/>
            </w:tcBorders>
          </w:tcPr>
          <w:p w14:paraId="4A5E5E3D"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4BC359EC" w:rsidR="002E20D7" w:rsidRPr="00892B13" w:rsidRDefault="009A4D6A" w:rsidP="002E20D7">
            <w:pPr>
              <w:pStyle w:val="Stilius3"/>
            </w:pPr>
            <w:r w:rsidRPr="00945A04">
              <w:t>Sutarties įvykdymo užtikrinimu garantuojama, kad Užsakovui bus atlyginti nuostoliai, atsiradę dėl to, kad Rangovas neįvykdė įsipareigojimų pagal Sutartį ar vykdė juos netinkamai. Sutarties įvykdymo užtikrinimo dydis laikomas minimaliais Užsakovo nuostoliais, kurių įrodinėti Užsakovas neprivalo</w:t>
            </w:r>
            <w:r w:rsidR="002E20D7" w:rsidRPr="00945A04">
              <w:t>.</w:t>
            </w:r>
          </w:p>
        </w:tc>
      </w:tr>
      <w:tr w:rsidR="002E20D7" w:rsidRPr="00892B13" w14:paraId="03A32022" w14:textId="77777777" w:rsidTr="00D0160D">
        <w:tc>
          <w:tcPr>
            <w:tcW w:w="743" w:type="dxa"/>
            <w:tcBorders>
              <w:top w:val="nil"/>
              <w:left w:val="nil"/>
              <w:bottom w:val="nil"/>
              <w:right w:val="nil"/>
            </w:tcBorders>
            <w:shd w:val="clear" w:color="auto" w:fill="auto"/>
          </w:tcPr>
          <w:p w14:paraId="7C1908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77777777" w:rsidR="002E20D7" w:rsidRPr="00892B13" w:rsidRDefault="002E20D7" w:rsidP="002E20D7">
            <w:pPr>
              <w:pStyle w:val="Stilius3"/>
            </w:pPr>
            <w:r w:rsidRPr="00892B13">
              <w:t xml:space="preserve">Jei Sutarties vykdymo metu užtikrinimą išdavęs juridinis asmuo negali įvykdyti savo įsipareigojimų, Užsakovas raštu turi pareikalauti Rangovo per 10 dienų pateikti naują užtikrinimą. </w:t>
            </w:r>
          </w:p>
        </w:tc>
      </w:tr>
      <w:tr w:rsidR="002E20D7" w:rsidRPr="00892B13" w14:paraId="5AF2C6FB" w14:textId="77777777" w:rsidTr="00D0160D">
        <w:tc>
          <w:tcPr>
            <w:tcW w:w="743" w:type="dxa"/>
            <w:tcBorders>
              <w:top w:val="nil"/>
              <w:left w:val="nil"/>
              <w:bottom w:val="nil"/>
              <w:right w:val="nil"/>
            </w:tcBorders>
          </w:tcPr>
          <w:p w14:paraId="241477BE" w14:textId="77777777" w:rsidR="002E20D7" w:rsidRPr="00892B13" w:rsidRDefault="002E20D7" w:rsidP="002E20D7">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1758B9C0" w:rsidR="002E20D7" w:rsidRPr="003C3022" w:rsidRDefault="002E20D7" w:rsidP="002E20D7">
            <w:pPr>
              <w:pStyle w:val="Stilius3"/>
            </w:pPr>
            <w:r w:rsidRPr="003C3022">
              <w:t>Sutarties įvykdymo užtikrinimas</w:t>
            </w:r>
            <w:r>
              <w:t>, Rangovui raštu pareikalavus,</w:t>
            </w:r>
            <w:r w:rsidRPr="003C3022">
              <w:t xml:space="preserve"> grąžinamas Rangovui per 10 dienų </w:t>
            </w:r>
            <w:r w:rsidRPr="00EB7CAD">
              <w:t>nuo Darbų pabaigos, nurodytos Sutarties 6.5 papunktyje.</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sidR="00012229">
              <w:rPr>
                <w:rFonts w:ascii="Times New Roman" w:hAnsi="Times New Roman"/>
              </w:rPr>
              <w:t xml:space="preserve"> parengimo</w:t>
            </w:r>
            <w:r w:rsidRPr="00554727">
              <w:rPr>
                <w:rFonts w:ascii="Times New Roman" w:hAnsi="Times New Roman"/>
              </w:rPr>
              <w: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31B67BD0"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lastRenderedPageBreak/>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3BBC312" w:rsidR="002E20D7" w:rsidRPr="00892B13" w:rsidRDefault="002E20D7" w:rsidP="002E20D7">
            <w:pPr>
              <w:pStyle w:val="Stilius3"/>
            </w:pPr>
            <w:r>
              <w:t xml:space="preserve">Terminas, per kurį Užsakovas privalo mokėti Rangovui, yra skaičiuojamas nuo PVM sąskaitos faktūros priėmimo patvirtinimo </w:t>
            </w:r>
            <w:r w:rsidR="0075444C">
              <w:t>Sąskaitų administravimo bendrojoje informacinėje sistemoje (toliau – SABIS)</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 xml:space="preserve">nustatant aukščiau esančio būdo taikymo prioritetą, </w:t>
            </w:r>
            <w:proofErr w:type="spellStart"/>
            <w:r w:rsidRPr="00AE3159">
              <w:rPr>
                <w:rFonts w:ascii="Times New Roman" w:hAnsi="Times New Roman"/>
              </w:rPr>
              <w:t>t.y</w:t>
            </w:r>
            <w:proofErr w:type="spellEnd"/>
            <w:r w:rsidRPr="00AE3159">
              <w:rPr>
                <w:rFonts w:ascii="Times New Roman" w:hAnsi="Times New Roman"/>
              </w:rPr>
              <w:t>.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65pt;height:48.2pt" o:ole="">
                  <v:imagedata r:id="rId8" o:title=""/>
                </v:shape>
                <o:OLEObject Type="Embed" ProgID="Equation.3" ShapeID="_x0000_i1025" DrawAspect="Content" ObjectID="_1804417882"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8pt;height:18.8pt" o:ole="">
                  <v:imagedata r:id="rId10" o:title=""/>
                </v:shape>
                <o:OLEObject Type="Embed" ProgID="Equation.3" ShapeID="_x0000_i1026" DrawAspect="Content" ObjectID="_1804417883"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00" w:dyaOrig="360" w14:anchorId="3CB77151">
                <v:shape id="_x0000_i1027" type="#_x0000_t75" style="width:18.8pt;height:18.8pt" o:ole="">
                  <v:imagedata r:id="rId12" o:title=""/>
                </v:shape>
                <o:OLEObject Type="Embed" ProgID="Equation.3" ShapeID="_x0000_i1027" DrawAspect="Content" ObjectID="_1804417884"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1.9pt;height:18.8pt" o:ole="">
                  <v:imagedata r:id="rId14" o:title=""/>
                </v:shape>
                <o:OLEObject Type="Embed" ProgID="Equation.3" ShapeID="_x0000_i1028" DrawAspect="Content" ObjectID="_1804417885"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8pt;height:18.8pt" o:ole="">
                  <v:imagedata r:id="rId16" o:title=""/>
                </v:shape>
                <o:OLEObject Type="Embed" ProgID="Equation.3" ShapeID="_x0000_i1029" DrawAspect="Content" ObjectID="_1804417886"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w:t>
            </w:r>
            <w:r w:rsidRPr="00D3194F">
              <w:lastRenderedPageBreak/>
              <w:t xml:space="preserve">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0B1B9DE6" w:rsidR="002E20D7" w:rsidRDefault="002E20D7" w:rsidP="002E20D7">
            <w:pPr>
              <w:pStyle w:val="Stilius3"/>
            </w:pPr>
            <w:r>
              <w:t xml:space="preserve">PVM sąskaitos faktūros pagal šią Sutartį turi būti teikiamos per </w:t>
            </w:r>
            <w:r w:rsidR="00836635">
              <w:t>SABIS</w:t>
            </w:r>
            <w:r>
              <w:t xml:space="preserve">. PVM sąskaitos faktūros gali būti teikiamos tik po to, kai abi Šalys pasirašo atliktų Darbų aktą. Atliktų Darbų aktas privalo būti vizuotas Techninio prižiūrėtojo. Prie </w:t>
            </w:r>
            <w:r w:rsidR="00836635">
              <w:t>SABIS</w:t>
            </w:r>
            <w:r>
              <w:t xml:space="preserve">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3A897528"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836635">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dokumentais (pvz. defektiniu (pakeitimų) aktu, brėžiniais (</w:t>
            </w:r>
            <w:proofErr w:type="spellStart"/>
            <w:r w:rsidRPr="00892B13">
              <w:rPr>
                <w:sz w:val="22"/>
                <w:szCs w:val="22"/>
              </w:rPr>
              <w:t>įsk</w:t>
            </w:r>
            <w:proofErr w:type="spellEnd"/>
            <w:r w:rsidRPr="00892B13">
              <w:rPr>
                <w:sz w:val="22"/>
                <w:szCs w:val="22"/>
              </w:rPr>
              <w:t xml:space="preserve">.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 xml:space="preserve">y. vietoje nevykdomų Darbų siūlomų atlikti </w:t>
            </w:r>
            <w:r w:rsidRPr="00892B13">
              <w:rPr>
                <w:rFonts w:ascii="Times New Roman" w:hAnsi="Times New Roman"/>
              </w:rPr>
              <w:lastRenderedPageBreak/>
              <w:t>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w:t>
            </w:r>
            <w:proofErr w:type="spellStart"/>
            <w:r w:rsidRPr="00B238A3">
              <w:rPr>
                <w:rFonts w:ascii="Times New Roman" w:eastAsia="Calibri" w:hAnsi="Times New Roman"/>
                <w:szCs w:val="24"/>
              </w:rPr>
              <w:t>įsk</w:t>
            </w:r>
            <w:proofErr w:type="spellEnd"/>
            <w:r w:rsidRPr="00B238A3">
              <w:rPr>
                <w:rFonts w:ascii="Times New Roman" w:eastAsia="Calibri" w:hAnsi="Times New Roman"/>
                <w:szCs w:val="24"/>
              </w:rPr>
              <w:t xml:space="preserve">.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7CE374E7"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 xml:space="preserve">24, patvirtintų Lietuvos automobilių kelių direkcijos generalinio direktoriaus 2024 m. vasario 14 d. įsakymu Nr. VE-30, </w:t>
            </w:r>
            <w:r w:rsidR="00F31FDC">
              <w:t xml:space="preserve">307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2777F846"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rsidR="00012229">
              <w:t xml:space="preserve"> parengimo</w:t>
            </w:r>
            <w:r w:rsidRPr="00755E3C">
              <w:t>)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lastRenderedPageBreak/>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rsidR="007B075B">
              <w:t>5</w:t>
            </w:r>
            <w:r w:rsidRPr="00AA4D97">
              <w:t xml:space="preserve">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lastRenderedPageBreak/>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058B9B15" w:rsidR="002E20D7" w:rsidRPr="00814A1D" w:rsidRDefault="002E20D7" w:rsidP="002E20D7">
            <w:pPr>
              <w:pStyle w:val="Stilius3"/>
              <w:rPr>
                <w:rFonts w:eastAsia="Calibri"/>
                <w:szCs w:val="24"/>
              </w:rPr>
            </w:pPr>
            <w:r w:rsidRPr="00375AC3">
              <w:t>Jeigu Rangovas, įgyvendindamas Sutartį, padaro bet kurį esminį Sutarties pažeidimą, aptartą šios Sutarties 12.3.3 punkt</w:t>
            </w:r>
            <w:r w:rsidR="00DE7712">
              <w:t>e</w:t>
            </w:r>
            <w:r w:rsidRPr="00375AC3">
              <w:t xml:space="preserv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lastRenderedPageBreak/>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30DC5ED"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w:t>
                  </w:r>
                  <w:proofErr w:type="spellStart"/>
                  <w:r>
                    <w:rPr>
                      <w:rFonts w:ascii="Times New Roman" w:hAnsi="Times New Roman"/>
                    </w:rPr>
                    <w:t>Luminor</w:t>
                  </w:r>
                  <w:proofErr w:type="spellEnd"/>
                  <w:r>
                    <w:rPr>
                      <w:rFonts w:ascii="Times New Roman" w:hAnsi="Times New Roman"/>
                    </w:rPr>
                    <w:t xml:space="preserve">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lastRenderedPageBreak/>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AFE2" w14:textId="77777777" w:rsidR="007E4E5A" w:rsidRDefault="007E4E5A">
      <w:r>
        <w:separator/>
      </w:r>
    </w:p>
  </w:endnote>
  <w:endnote w:type="continuationSeparator" w:id="0">
    <w:p w14:paraId="04A3B52E" w14:textId="77777777" w:rsidR="007E4E5A" w:rsidRDefault="007E4E5A">
      <w:r>
        <w:continuationSeparator/>
      </w:r>
    </w:p>
  </w:endnote>
  <w:endnote w:type="continuationNotice" w:id="1">
    <w:p w14:paraId="6511E1F0" w14:textId="77777777" w:rsidR="007E4E5A" w:rsidRDefault="007E4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748FB" w14:textId="77777777" w:rsidR="007E4E5A" w:rsidRDefault="007E4E5A">
      <w:r>
        <w:separator/>
      </w:r>
    </w:p>
  </w:footnote>
  <w:footnote w:type="continuationSeparator" w:id="0">
    <w:p w14:paraId="5D475EBF" w14:textId="77777777" w:rsidR="007E4E5A" w:rsidRDefault="007E4E5A">
      <w:r>
        <w:continuationSeparator/>
      </w:r>
    </w:p>
  </w:footnote>
  <w:footnote w:type="continuationNotice" w:id="1">
    <w:p w14:paraId="32C46C23" w14:textId="77777777" w:rsidR="007E4E5A" w:rsidRDefault="007E4E5A"/>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t>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BE5560A"/>
    <w:multiLevelType w:val="multilevel"/>
    <w:tmpl w:val="272E5B66"/>
    <w:lvl w:ilvl="0">
      <w:start w:val="6"/>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9"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6"/>
  </w:num>
  <w:num w:numId="8" w16cid:durableId="1101216395">
    <w:abstractNumId w:val="51"/>
  </w:num>
  <w:num w:numId="9" w16cid:durableId="1521236379">
    <w:abstractNumId w:val="39"/>
  </w:num>
  <w:num w:numId="10" w16cid:durableId="655646404">
    <w:abstractNumId w:val="46"/>
  </w:num>
  <w:num w:numId="11" w16cid:durableId="701058592">
    <w:abstractNumId w:val="17"/>
  </w:num>
  <w:num w:numId="12" w16cid:durableId="93090319">
    <w:abstractNumId w:val="16"/>
  </w:num>
  <w:num w:numId="13" w16cid:durableId="438567123">
    <w:abstractNumId w:val="11"/>
  </w:num>
  <w:num w:numId="14" w16cid:durableId="1102458439">
    <w:abstractNumId w:val="44"/>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5"/>
  </w:num>
  <w:num w:numId="21" w16cid:durableId="1127548985">
    <w:abstractNumId w:val="0"/>
  </w:num>
  <w:num w:numId="22" w16cid:durableId="330644653">
    <w:abstractNumId w:val="49"/>
  </w:num>
  <w:num w:numId="23" w16cid:durableId="1291016675">
    <w:abstractNumId w:val="33"/>
  </w:num>
  <w:num w:numId="24" w16cid:durableId="290553674">
    <w:abstractNumId w:val="27"/>
  </w:num>
  <w:num w:numId="25" w16cid:durableId="1437292084">
    <w:abstractNumId w:val="37"/>
  </w:num>
  <w:num w:numId="26" w16cid:durableId="1702896372">
    <w:abstractNumId w:val="47"/>
  </w:num>
  <w:num w:numId="27" w16cid:durableId="1069769998">
    <w:abstractNumId w:val="20"/>
  </w:num>
  <w:num w:numId="28" w16cid:durableId="1300644750">
    <w:abstractNumId w:val="3"/>
  </w:num>
  <w:num w:numId="29" w16cid:durableId="85346087">
    <w:abstractNumId w:val="40"/>
  </w:num>
  <w:num w:numId="30" w16cid:durableId="2001889674">
    <w:abstractNumId w:val="38"/>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50"/>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1"/>
  </w:num>
  <w:num w:numId="42" w16cid:durableId="1228807190">
    <w:abstractNumId w:val="35"/>
  </w:num>
  <w:num w:numId="43" w16cid:durableId="885334846">
    <w:abstractNumId w:val="42"/>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3"/>
  </w:num>
  <w:num w:numId="52" w16cid:durableId="1590112250">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171"/>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426A"/>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2FE4"/>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D7FCA"/>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0E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4542"/>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19A6"/>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825"/>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7F4"/>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4608"/>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8A0"/>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8DB"/>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43B4"/>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37666"/>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32F8"/>
    <w:rsid w:val="00753F6E"/>
    <w:rsid w:val="0075444C"/>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081E"/>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41A0"/>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4E5A"/>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635"/>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175"/>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D0E"/>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536"/>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505"/>
    <w:rsid w:val="00BA1968"/>
    <w:rsid w:val="00BA1B9D"/>
    <w:rsid w:val="00BA22E8"/>
    <w:rsid w:val="00BA2332"/>
    <w:rsid w:val="00BA2D99"/>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27E"/>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23CF"/>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12"/>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434"/>
    <w:rsid w:val="00E17525"/>
    <w:rsid w:val="00E17937"/>
    <w:rsid w:val="00E17AE8"/>
    <w:rsid w:val="00E2019C"/>
    <w:rsid w:val="00E20264"/>
    <w:rsid w:val="00E207F7"/>
    <w:rsid w:val="00E21546"/>
    <w:rsid w:val="00E22263"/>
    <w:rsid w:val="00E222F2"/>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EAB"/>
    <w:rsid w:val="00E420A1"/>
    <w:rsid w:val="00E428F7"/>
    <w:rsid w:val="00E43F63"/>
    <w:rsid w:val="00E4494E"/>
    <w:rsid w:val="00E45214"/>
    <w:rsid w:val="00E46B8D"/>
    <w:rsid w:val="00E47A54"/>
    <w:rsid w:val="00E50B50"/>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1CB"/>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0E5C"/>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5953"/>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6CE0"/>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7836</Words>
  <Characters>54170</Characters>
  <Application>Microsoft Office Word</Application>
  <DocSecurity>0</DocSecurity>
  <Lines>451</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61883</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Viešųjų pirkimų skyrius</cp:lastModifiedBy>
  <cp:revision>30</cp:revision>
  <cp:lastPrinted>2016-09-14T08:14:00Z</cp:lastPrinted>
  <dcterms:created xsi:type="dcterms:W3CDTF">2025-03-25T06:53:00Z</dcterms:created>
  <dcterms:modified xsi:type="dcterms:W3CDTF">2025-03-25T12:24:00Z</dcterms:modified>
</cp:coreProperties>
</file>