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CA5664" w:rsidRDefault="000F17D6" w:rsidP="00CA5664">
      <w:pPr>
        <w:jc w:val="both"/>
        <w:rPr>
          <w:rFonts w:ascii="Joost" w:hAnsi="Joost" w:cs="Calibri"/>
          <w:sz w:val="23"/>
          <w:szCs w:val="23"/>
        </w:rPr>
      </w:pPr>
      <w:r w:rsidRPr="00CA5664">
        <w:rPr>
          <w:rFonts w:ascii="Joost" w:hAnsi="Joost" w:cs="Calibri"/>
          <w:sz w:val="23"/>
          <w:szCs w:val="23"/>
        </w:rPr>
        <w:t xml:space="preserve"> </w:t>
      </w:r>
    </w:p>
    <w:p w14:paraId="058888F4" w14:textId="77777777" w:rsidR="000F17D6" w:rsidRPr="00CA5664" w:rsidRDefault="000F17D6" w:rsidP="00CA5664">
      <w:pPr>
        <w:jc w:val="both"/>
        <w:rPr>
          <w:rFonts w:ascii="Joost" w:hAnsi="Joost" w:cs="Calibri"/>
          <w:sz w:val="23"/>
          <w:szCs w:val="23"/>
        </w:rPr>
      </w:pPr>
    </w:p>
    <w:p w14:paraId="61FAB302" w14:textId="77777777" w:rsidR="000F17D6" w:rsidRPr="00CA5664" w:rsidRDefault="000F17D6" w:rsidP="00CA5664">
      <w:pPr>
        <w:jc w:val="both"/>
        <w:rPr>
          <w:rFonts w:ascii="Joost" w:hAnsi="Joost" w:cs="Calibri"/>
          <w:i/>
          <w:iCs/>
          <w:sz w:val="23"/>
          <w:szCs w:val="23"/>
        </w:rPr>
      </w:pPr>
      <w:r w:rsidRPr="00CA5664">
        <w:rPr>
          <w:rFonts w:ascii="Joost" w:hAnsi="Joost" w:cs="Calibri"/>
          <w:i/>
          <w:iCs/>
          <w:sz w:val="23"/>
          <w:szCs w:val="23"/>
        </w:rPr>
        <w:t>Tiekėjams</w:t>
      </w:r>
    </w:p>
    <w:p w14:paraId="69B240AC" w14:textId="77777777" w:rsidR="000F17D6" w:rsidRPr="00CA5664" w:rsidRDefault="000F17D6" w:rsidP="00CA5664">
      <w:pPr>
        <w:jc w:val="both"/>
        <w:rPr>
          <w:rFonts w:ascii="Joost" w:hAnsi="Joost" w:cs="Calibri"/>
          <w:i/>
          <w:iCs/>
          <w:sz w:val="23"/>
          <w:szCs w:val="23"/>
        </w:rPr>
      </w:pPr>
      <w:r w:rsidRPr="00CA5664">
        <w:rPr>
          <w:rFonts w:ascii="Joost" w:hAnsi="Joost" w:cs="Calibri"/>
          <w:i/>
          <w:iCs/>
          <w:sz w:val="23"/>
          <w:szCs w:val="23"/>
        </w:rPr>
        <w:t>Siunčiama CVP IS priemonėmis</w:t>
      </w:r>
    </w:p>
    <w:p w14:paraId="7667E45E" w14:textId="77777777" w:rsidR="000F17D6" w:rsidRPr="00CA5664" w:rsidRDefault="000F17D6" w:rsidP="00CA5664">
      <w:pPr>
        <w:jc w:val="both"/>
        <w:rPr>
          <w:rFonts w:ascii="Joost" w:hAnsi="Joost" w:cs="Calibri"/>
          <w:b/>
          <w:bCs/>
          <w:sz w:val="23"/>
          <w:szCs w:val="23"/>
        </w:rPr>
      </w:pPr>
    </w:p>
    <w:p w14:paraId="3DC84B23" w14:textId="77A5E8CF" w:rsidR="000F17D6" w:rsidRPr="00CA5664" w:rsidRDefault="000F17D6" w:rsidP="00CA5664">
      <w:pPr>
        <w:jc w:val="both"/>
        <w:rPr>
          <w:rFonts w:ascii="Joost" w:hAnsi="Joost" w:cs="Calibri"/>
          <w:b/>
          <w:bCs/>
          <w:sz w:val="23"/>
          <w:szCs w:val="23"/>
        </w:rPr>
      </w:pPr>
      <w:r w:rsidRPr="00CA5664">
        <w:rPr>
          <w:rFonts w:ascii="Joost" w:hAnsi="Joost" w:cs="Calibri"/>
          <w:b/>
          <w:bCs/>
          <w:sz w:val="23"/>
          <w:szCs w:val="23"/>
        </w:rPr>
        <w:t>DĖL PATEIKT</w:t>
      </w:r>
      <w:r w:rsidR="00BB5620" w:rsidRPr="00CA5664">
        <w:rPr>
          <w:rFonts w:ascii="Joost" w:hAnsi="Joost" w:cs="Calibri"/>
          <w:b/>
          <w:bCs/>
          <w:caps/>
          <w:sz w:val="23"/>
          <w:szCs w:val="23"/>
        </w:rPr>
        <w:t>ų</w:t>
      </w:r>
      <w:r w:rsidRPr="00CA5664">
        <w:rPr>
          <w:rFonts w:ascii="Joost" w:hAnsi="Joost" w:cs="Calibri"/>
          <w:b/>
          <w:bCs/>
          <w:sz w:val="23"/>
          <w:szCs w:val="23"/>
        </w:rPr>
        <w:t xml:space="preserve"> PAKLAUSIM</w:t>
      </w:r>
      <w:r w:rsidR="00BB5620" w:rsidRPr="00CA5664">
        <w:rPr>
          <w:rFonts w:ascii="Joost" w:hAnsi="Joost" w:cs="Calibri"/>
          <w:b/>
          <w:bCs/>
          <w:caps/>
          <w:sz w:val="23"/>
          <w:szCs w:val="23"/>
        </w:rPr>
        <w:t>ų</w:t>
      </w:r>
      <w:r w:rsidR="00CA5664">
        <w:rPr>
          <w:rFonts w:ascii="Joost" w:hAnsi="Joost" w:cs="Calibri"/>
          <w:b/>
          <w:bCs/>
          <w:caps/>
          <w:sz w:val="23"/>
          <w:szCs w:val="23"/>
        </w:rPr>
        <w:t xml:space="preserve"> ir pasiūlymų pateikimo termino</w:t>
      </w:r>
    </w:p>
    <w:p w14:paraId="47F7602C" w14:textId="77777777" w:rsidR="000F17D6" w:rsidRPr="00CA5664" w:rsidRDefault="000F17D6" w:rsidP="00CA5664">
      <w:pPr>
        <w:jc w:val="both"/>
        <w:rPr>
          <w:rFonts w:ascii="Joost" w:hAnsi="Joost" w:cs="Calibri"/>
          <w:b/>
          <w:bCs/>
          <w:sz w:val="23"/>
          <w:szCs w:val="23"/>
        </w:rPr>
      </w:pPr>
    </w:p>
    <w:p w14:paraId="398D9FD3" w14:textId="07CA2C04" w:rsidR="004724B7" w:rsidRPr="00CA5664" w:rsidRDefault="004724B7" w:rsidP="00CA5664">
      <w:pPr>
        <w:ind w:firstLine="567"/>
        <w:jc w:val="both"/>
        <w:rPr>
          <w:rFonts w:ascii="Joost" w:hAnsi="Joost" w:cs="Calibri"/>
          <w:sz w:val="23"/>
          <w:szCs w:val="23"/>
        </w:rPr>
      </w:pPr>
      <w:r w:rsidRPr="00CA5664">
        <w:rPr>
          <w:rFonts w:ascii="Joost" w:hAnsi="Joost" w:cs="Calibri"/>
          <w:sz w:val="23"/>
          <w:szCs w:val="23"/>
        </w:rPr>
        <w:t xml:space="preserve">Viešoji įstaiga CPO LT (toliau – CPO LT), </w:t>
      </w:r>
      <w:bookmarkStart w:id="0" w:name="_Hlk120190959"/>
      <w:r w:rsidRPr="00CA5664">
        <w:rPr>
          <w:rFonts w:ascii="Joost" w:hAnsi="Joost" w:cs="Calibri"/>
          <w:sz w:val="23"/>
          <w:szCs w:val="23"/>
        </w:rPr>
        <w:t xml:space="preserve">vykdydama viešąjį pirkimą </w:t>
      </w:r>
      <w:r w:rsidR="00BB5620" w:rsidRPr="00CA5664">
        <w:rPr>
          <w:rStyle w:val="normaltextrun"/>
          <w:rFonts w:ascii="Joost" w:hAnsi="Joost" w:cs="Arial Unicode MS"/>
          <w:b/>
          <w:bCs/>
          <w:sz w:val="23"/>
          <w:szCs w:val="23"/>
        </w:rPr>
        <w:t>„</w:t>
      </w:r>
      <w:r w:rsidR="00BB5620" w:rsidRPr="00CA5664">
        <w:rPr>
          <w:rFonts w:ascii="Joost" w:hAnsi="Joost" w:cstheme="minorHAnsi"/>
          <w:b/>
          <w:bCs/>
          <w:i/>
          <w:iCs/>
          <w:noProof/>
          <w:sz w:val="23"/>
          <w:szCs w:val="23"/>
        </w:rPr>
        <w:t>Teisinės paslaugos ir Teisinės paslaugos susijusios su skolos vertybinių popierių išleidimu</w:t>
      </w:r>
      <w:r w:rsidR="00AF4F6B">
        <w:rPr>
          <w:rStyle w:val="normaltextrun"/>
          <w:rFonts w:ascii="Joost" w:hAnsi="Joost" w:cs="Arial Unicode MS"/>
          <w:b/>
          <w:bCs/>
          <w:sz w:val="23"/>
          <w:szCs w:val="23"/>
        </w:rPr>
        <w:t>“</w:t>
      </w:r>
      <w:r w:rsidR="00BB5620" w:rsidRPr="00CA5664">
        <w:rPr>
          <w:rStyle w:val="normaltextrun"/>
          <w:rFonts w:ascii="Joost" w:hAnsi="Joost" w:cs="Arial Unicode MS"/>
          <w:sz w:val="23"/>
          <w:szCs w:val="23"/>
        </w:rPr>
        <w:t xml:space="preserve"> </w:t>
      </w:r>
      <w:r w:rsidRPr="00CA5664">
        <w:rPr>
          <w:rFonts w:ascii="Joost" w:hAnsi="Joost" w:cs="Calibri"/>
          <w:sz w:val="23"/>
          <w:szCs w:val="23"/>
        </w:rPr>
        <w:t>atviro (</w:t>
      </w:r>
      <w:r w:rsidR="00BB5620" w:rsidRPr="00CA5664">
        <w:rPr>
          <w:rFonts w:ascii="Joost" w:hAnsi="Joost" w:cs="Calibri"/>
          <w:sz w:val="23"/>
          <w:szCs w:val="23"/>
        </w:rPr>
        <w:t>supaprastinto</w:t>
      </w:r>
      <w:r w:rsidRPr="00CA5664">
        <w:rPr>
          <w:rFonts w:ascii="Joost" w:hAnsi="Joost" w:cs="Calibri"/>
          <w:sz w:val="23"/>
          <w:szCs w:val="23"/>
        </w:rPr>
        <w:t>) konkurso būdu</w:t>
      </w:r>
      <w:r w:rsidR="00F71DC1" w:rsidRPr="00CA5664">
        <w:rPr>
          <w:rFonts w:ascii="Joost" w:hAnsi="Joost" w:cs="Calibri"/>
          <w:sz w:val="23"/>
          <w:szCs w:val="23"/>
        </w:rPr>
        <w:t xml:space="preserve"> </w:t>
      </w:r>
      <w:r w:rsidR="00F71DC1" w:rsidRPr="00CA5664">
        <w:rPr>
          <w:rFonts w:ascii="Joost" w:hAnsi="Joost"/>
          <w:sz w:val="23"/>
          <w:szCs w:val="23"/>
        </w:rPr>
        <w:t xml:space="preserve">(pirkimo Nr. </w:t>
      </w:r>
      <w:r w:rsidR="00BB5620" w:rsidRPr="00CA5664">
        <w:rPr>
          <w:rFonts w:ascii="Joost" w:hAnsi="Joost"/>
          <w:sz w:val="23"/>
          <w:szCs w:val="23"/>
        </w:rPr>
        <w:t>1664930</w:t>
      </w:r>
      <w:r w:rsidR="00F71DC1" w:rsidRPr="00CA5664">
        <w:rPr>
          <w:rFonts w:ascii="Joost" w:hAnsi="Joost" w:cs="Calibri"/>
          <w:sz w:val="23"/>
          <w:szCs w:val="23"/>
        </w:rPr>
        <w:t>, toliau – Pirkimas)</w:t>
      </w:r>
      <w:r w:rsidRPr="00CA5664">
        <w:rPr>
          <w:rFonts w:ascii="Joost" w:hAnsi="Joost" w:cs="Calibri"/>
          <w:sz w:val="23"/>
          <w:szCs w:val="23"/>
        </w:rPr>
        <w:t xml:space="preserve">, </w:t>
      </w:r>
      <w:bookmarkEnd w:id="0"/>
      <w:r w:rsidR="00322AFC" w:rsidRPr="00CA5664">
        <w:rPr>
          <w:rFonts w:ascii="Joost" w:hAnsi="Joost" w:cs="Calibri"/>
          <w:sz w:val="23"/>
          <w:szCs w:val="23"/>
        </w:rPr>
        <w:t>2025-0</w:t>
      </w:r>
      <w:r w:rsidR="00BB5620" w:rsidRPr="00CA5664">
        <w:rPr>
          <w:rFonts w:ascii="Joost" w:hAnsi="Joost" w:cs="Calibri"/>
          <w:sz w:val="23"/>
          <w:szCs w:val="23"/>
        </w:rPr>
        <w:t>3</w:t>
      </w:r>
      <w:r w:rsidR="00322AFC" w:rsidRPr="00CA5664">
        <w:rPr>
          <w:rFonts w:ascii="Joost" w:hAnsi="Joost" w:cs="Calibri"/>
          <w:sz w:val="23"/>
          <w:szCs w:val="23"/>
        </w:rPr>
        <w:t>-</w:t>
      </w:r>
      <w:r w:rsidR="00B87E5A" w:rsidRPr="00CA5664">
        <w:rPr>
          <w:rFonts w:ascii="Joost" w:hAnsi="Joost" w:cs="Calibri"/>
          <w:sz w:val="23"/>
          <w:szCs w:val="23"/>
        </w:rPr>
        <w:t>2</w:t>
      </w:r>
      <w:r w:rsidR="00BB5620" w:rsidRPr="00CA5664">
        <w:rPr>
          <w:rFonts w:ascii="Joost" w:hAnsi="Joost" w:cs="Calibri"/>
          <w:sz w:val="23"/>
          <w:szCs w:val="23"/>
        </w:rPr>
        <w:t>1</w:t>
      </w:r>
      <w:r w:rsidR="00275ADA" w:rsidRPr="00CA5664">
        <w:rPr>
          <w:rFonts w:ascii="Joost" w:hAnsi="Joost" w:cs="Calibri"/>
          <w:sz w:val="23"/>
          <w:szCs w:val="23"/>
        </w:rPr>
        <w:t xml:space="preserve"> ir 2024-0</w:t>
      </w:r>
      <w:r w:rsidR="00BB5620" w:rsidRPr="00CA5664">
        <w:rPr>
          <w:rFonts w:ascii="Joost" w:hAnsi="Joost" w:cs="Calibri"/>
          <w:sz w:val="23"/>
          <w:szCs w:val="23"/>
        </w:rPr>
        <w:t>3-22</w:t>
      </w:r>
      <w:r w:rsidRPr="00CA5664">
        <w:rPr>
          <w:rFonts w:ascii="Joost" w:hAnsi="Joost" w:cs="Calibri"/>
          <w:sz w:val="23"/>
          <w:szCs w:val="23"/>
        </w:rPr>
        <w:t xml:space="preserve"> CVP IS priemonėmis gavo potencia</w:t>
      </w:r>
      <w:r w:rsidR="00BB5620" w:rsidRPr="00CA5664">
        <w:rPr>
          <w:rFonts w:ascii="Joost" w:hAnsi="Joost" w:cs="Calibri"/>
          <w:sz w:val="23"/>
          <w:szCs w:val="23"/>
        </w:rPr>
        <w:t>laus</w:t>
      </w:r>
      <w:r w:rsidRPr="00CA5664">
        <w:rPr>
          <w:rFonts w:ascii="Joost" w:hAnsi="Joost" w:cs="Calibri"/>
          <w:sz w:val="23"/>
          <w:szCs w:val="23"/>
        </w:rPr>
        <w:t xml:space="preserve"> tiekėj</w:t>
      </w:r>
      <w:r w:rsidR="00BB5620" w:rsidRPr="00CA5664">
        <w:rPr>
          <w:rFonts w:ascii="Joost" w:hAnsi="Joost" w:cs="Calibri"/>
          <w:sz w:val="23"/>
          <w:szCs w:val="23"/>
        </w:rPr>
        <w:t>o</w:t>
      </w:r>
      <w:r w:rsidRPr="00CA5664">
        <w:rPr>
          <w:rFonts w:ascii="Joost" w:hAnsi="Joost" w:cs="Calibri"/>
          <w:sz w:val="23"/>
          <w:szCs w:val="23"/>
        </w:rPr>
        <w:t xml:space="preserve"> paklausim</w:t>
      </w:r>
      <w:r w:rsidR="00275ADA" w:rsidRPr="00CA5664">
        <w:rPr>
          <w:rFonts w:ascii="Joost" w:hAnsi="Joost" w:cs="Calibri"/>
          <w:sz w:val="23"/>
          <w:szCs w:val="23"/>
        </w:rPr>
        <w:t>us</w:t>
      </w:r>
      <w:r w:rsidRPr="00CA5664">
        <w:rPr>
          <w:rFonts w:ascii="Joost" w:hAnsi="Joost" w:cs="Calibri"/>
          <w:sz w:val="23"/>
          <w:szCs w:val="23"/>
        </w:rPr>
        <w:t xml:space="preserve">. </w:t>
      </w:r>
    </w:p>
    <w:p w14:paraId="0939295D" w14:textId="382A6939" w:rsidR="004724B7" w:rsidRPr="00CA5664" w:rsidRDefault="004724B7" w:rsidP="00CA5664">
      <w:pPr>
        <w:ind w:firstLine="567"/>
        <w:jc w:val="both"/>
        <w:rPr>
          <w:rFonts w:ascii="Joost" w:hAnsi="Joost" w:cs="Calibri"/>
          <w:sz w:val="23"/>
          <w:szCs w:val="23"/>
        </w:rPr>
      </w:pPr>
      <w:r w:rsidRPr="00CA5664">
        <w:rPr>
          <w:rFonts w:ascii="Joost" w:hAnsi="Joost" w:cs="Calibri"/>
          <w:sz w:val="23"/>
          <w:szCs w:val="23"/>
        </w:rPr>
        <w:t>Paklausima</w:t>
      </w:r>
      <w:r w:rsidR="00275ADA" w:rsidRPr="00CA5664">
        <w:rPr>
          <w:rFonts w:ascii="Joost" w:hAnsi="Joost" w:cs="Calibri"/>
          <w:sz w:val="23"/>
          <w:szCs w:val="23"/>
        </w:rPr>
        <w:t>i</w:t>
      </w:r>
      <w:r w:rsidRPr="00CA5664">
        <w:rPr>
          <w:rFonts w:ascii="Joost" w:hAnsi="Joost" w:cs="Calibri"/>
          <w:sz w:val="23"/>
          <w:szCs w:val="23"/>
        </w:rPr>
        <w:t xml:space="preserve"> pateikt</w:t>
      </w:r>
      <w:r w:rsidR="00275ADA" w:rsidRPr="00CA5664">
        <w:rPr>
          <w:rFonts w:ascii="Joost" w:hAnsi="Joost" w:cs="Calibri"/>
          <w:sz w:val="23"/>
          <w:szCs w:val="23"/>
        </w:rPr>
        <w:t>i</w:t>
      </w:r>
      <w:r w:rsidRPr="00CA5664">
        <w:rPr>
          <w:rFonts w:ascii="Joost" w:hAnsi="Joost" w:cs="Calibri"/>
          <w:sz w:val="23"/>
          <w:szCs w:val="23"/>
        </w:rPr>
        <w:t xml:space="preserve"> laikantis Pirkimo dokumentų Specialiųjų sąlygų 1 priedo „Terminai“ lentelės 3 eil. nustatyto termino </w:t>
      </w:r>
      <w:r w:rsidRPr="00CA5664">
        <w:rPr>
          <w:rFonts w:ascii="Joost" w:hAnsi="Joost" w:cs="Calibri"/>
          <w:i/>
          <w:iCs/>
          <w:sz w:val="23"/>
          <w:szCs w:val="23"/>
        </w:rPr>
        <w:t xml:space="preserve">„Prašymą paaiškinti, patikslinti pirkimo sąlygas tiekėjas turi pateikti ne vėliau kaip: </w:t>
      </w:r>
      <w:r w:rsidR="00BB5620" w:rsidRPr="00CA5664">
        <w:rPr>
          <w:rFonts w:ascii="Joost" w:hAnsi="Joost" w:cs="Calibri"/>
          <w:i/>
          <w:iCs/>
          <w:sz w:val="23"/>
          <w:szCs w:val="23"/>
        </w:rPr>
        <w:t>6</w:t>
      </w:r>
      <w:r w:rsidRPr="00CA5664">
        <w:rPr>
          <w:rFonts w:ascii="Joost" w:hAnsi="Joost" w:cs="Calibri"/>
          <w:i/>
          <w:iCs/>
          <w:sz w:val="23"/>
          <w:szCs w:val="23"/>
        </w:rPr>
        <w:t xml:space="preserve"> (</w:t>
      </w:r>
      <w:r w:rsidR="00BB5620" w:rsidRPr="00CA5664">
        <w:rPr>
          <w:rFonts w:ascii="Joost" w:hAnsi="Joost" w:cs="Calibri"/>
          <w:i/>
          <w:iCs/>
          <w:sz w:val="23"/>
          <w:szCs w:val="23"/>
        </w:rPr>
        <w:t>šešios</w:t>
      </w:r>
      <w:r w:rsidRPr="00CA5664">
        <w:rPr>
          <w:rFonts w:ascii="Joost" w:hAnsi="Joost" w:cs="Calibri"/>
          <w:i/>
          <w:iCs/>
          <w:sz w:val="23"/>
          <w:szCs w:val="23"/>
        </w:rPr>
        <w:t xml:space="preserve">) dienos iki pasiūlymų pateikimo dienos.“, </w:t>
      </w:r>
      <w:r w:rsidRPr="00CA5664">
        <w:rPr>
          <w:rFonts w:ascii="Joost" w:hAnsi="Joost" w:cs="Calibri"/>
          <w:sz w:val="23"/>
          <w:szCs w:val="23"/>
        </w:rPr>
        <w:t>t. y. pateikt</w:t>
      </w:r>
      <w:r w:rsidR="00275ADA" w:rsidRPr="00CA5664">
        <w:rPr>
          <w:rFonts w:ascii="Joost" w:hAnsi="Joost" w:cs="Calibri"/>
          <w:sz w:val="23"/>
          <w:szCs w:val="23"/>
        </w:rPr>
        <w:t>i</w:t>
      </w:r>
      <w:r w:rsidRPr="00CA5664">
        <w:rPr>
          <w:rFonts w:ascii="Joost" w:hAnsi="Joost" w:cs="Calibri"/>
          <w:sz w:val="23"/>
          <w:szCs w:val="23"/>
        </w:rPr>
        <w:t xml:space="preserve"> laiku.</w:t>
      </w:r>
    </w:p>
    <w:p w14:paraId="70F481BD" w14:textId="3FFAB0E1" w:rsidR="004724B7" w:rsidRPr="00CA5664" w:rsidRDefault="004724B7" w:rsidP="00CA5664">
      <w:pPr>
        <w:ind w:firstLine="567"/>
        <w:jc w:val="both"/>
        <w:rPr>
          <w:rFonts w:ascii="Joost" w:hAnsi="Joost" w:cs="Calibri"/>
          <w:sz w:val="23"/>
          <w:szCs w:val="23"/>
        </w:rPr>
      </w:pPr>
      <w:r w:rsidRPr="00CA5664">
        <w:rPr>
          <w:rFonts w:ascii="Joost" w:hAnsi="Joost" w:cs="Calibri"/>
          <w:sz w:val="23"/>
          <w:szCs w:val="23"/>
        </w:rPr>
        <w:t>CPO LT viešojo pirkimo komisija (toliau – Komisija), vadovaujantis Lietuvos Respublikos viešųjų pirkimų įstatymo 36 str. 5</w:t>
      </w:r>
      <w:r w:rsidR="00F02276" w:rsidRPr="00CA5664">
        <w:rPr>
          <w:rFonts w:ascii="Joost" w:hAnsi="Joost" w:cs="Calibri"/>
          <w:sz w:val="23"/>
          <w:szCs w:val="23"/>
        </w:rPr>
        <w:t xml:space="preserve"> </w:t>
      </w:r>
      <w:r w:rsidRPr="00CA5664">
        <w:rPr>
          <w:rFonts w:ascii="Joost" w:hAnsi="Joost" w:cs="Calibri"/>
          <w:sz w:val="23"/>
          <w:szCs w:val="23"/>
        </w:rPr>
        <w:t>d.</w:t>
      </w:r>
      <w:r w:rsidR="00B87E5A" w:rsidRPr="00CA5664">
        <w:rPr>
          <w:rFonts w:ascii="Joost" w:hAnsi="Joost" w:cs="Calibri"/>
          <w:sz w:val="23"/>
          <w:szCs w:val="23"/>
        </w:rPr>
        <w:t xml:space="preserve"> </w:t>
      </w:r>
      <w:r w:rsidRPr="00CA5664">
        <w:rPr>
          <w:rFonts w:ascii="Joost" w:hAnsi="Joost" w:cs="Calibri"/>
          <w:sz w:val="23"/>
          <w:szCs w:val="23"/>
        </w:rPr>
        <w:t>ir Pirkimo dokumentų Bendrųjų sąlygų 5.2</w:t>
      </w:r>
      <w:r w:rsidR="00B87E5A" w:rsidRPr="00CA5664">
        <w:rPr>
          <w:rFonts w:ascii="Joost" w:hAnsi="Joost" w:cs="Calibri"/>
          <w:sz w:val="23"/>
          <w:szCs w:val="23"/>
        </w:rPr>
        <w:t xml:space="preserve"> </w:t>
      </w:r>
      <w:r w:rsidRPr="00CA5664">
        <w:rPr>
          <w:rFonts w:ascii="Joost" w:hAnsi="Joost" w:cs="Calibri"/>
          <w:sz w:val="23"/>
          <w:szCs w:val="23"/>
        </w:rPr>
        <w:t>p., teikia atsakym</w:t>
      </w:r>
      <w:r w:rsidR="00275ADA" w:rsidRPr="00CA5664">
        <w:rPr>
          <w:rFonts w:ascii="Joost" w:hAnsi="Joost" w:cs="Calibri"/>
          <w:sz w:val="23"/>
          <w:szCs w:val="23"/>
        </w:rPr>
        <w:t>us</w:t>
      </w:r>
      <w:r w:rsidRPr="00CA5664">
        <w:rPr>
          <w:rFonts w:ascii="Joost" w:hAnsi="Joost" w:cs="Calibri"/>
          <w:sz w:val="23"/>
          <w:szCs w:val="23"/>
        </w:rPr>
        <w:t xml:space="preserve"> į pateikt</w:t>
      </w:r>
      <w:r w:rsidR="00275ADA" w:rsidRPr="00CA5664">
        <w:rPr>
          <w:rFonts w:ascii="Joost" w:hAnsi="Joost" w:cs="Calibri"/>
          <w:sz w:val="23"/>
          <w:szCs w:val="23"/>
        </w:rPr>
        <w:t>us</w:t>
      </w:r>
      <w:r w:rsidRPr="00CA5664">
        <w:rPr>
          <w:rFonts w:ascii="Joost" w:hAnsi="Joost" w:cs="Calibri"/>
          <w:sz w:val="23"/>
          <w:szCs w:val="23"/>
        </w:rPr>
        <w:t xml:space="preserve"> paklausim</w:t>
      </w:r>
      <w:r w:rsidR="00275ADA" w:rsidRPr="00CA5664">
        <w:rPr>
          <w:rFonts w:ascii="Joost" w:hAnsi="Joost" w:cs="Calibri"/>
          <w:sz w:val="23"/>
          <w:szCs w:val="23"/>
        </w:rPr>
        <w:t>us</w:t>
      </w:r>
      <w:r w:rsidRPr="00CA5664">
        <w:rPr>
          <w:rFonts w:ascii="Joost" w:hAnsi="Joost" w:cs="Calibri"/>
          <w:sz w:val="23"/>
          <w:szCs w:val="23"/>
        </w:rPr>
        <w:t>:</w:t>
      </w:r>
    </w:p>
    <w:p w14:paraId="04932CAF" w14:textId="77777777" w:rsidR="00BE1CB6" w:rsidRPr="00CA5664" w:rsidRDefault="00BE1CB6" w:rsidP="00CA5664">
      <w:pPr>
        <w:ind w:firstLine="720"/>
        <w:jc w:val="both"/>
        <w:rPr>
          <w:rFonts w:ascii="Joost" w:hAnsi="Joost" w:cs="Calibri"/>
          <w:sz w:val="23"/>
          <w:szCs w:val="23"/>
        </w:rPr>
      </w:pPr>
    </w:p>
    <w:tbl>
      <w:tblPr>
        <w:tblStyle w:val="TableGrid"/>
        <w:tblW w:w="9781" w:type="dxa"/>
        <w:tblLook w:val="04A0" w:firstRow="1" w:lastRow="0" w:firstColumn="1" w:lastColumn="0" w:noHBand="0" w:noVBand="1"/>
      </w:tblPr>
      <w:tblGrid>
        <w:gridCol w:w="9781"/>
      </w:tblGrid>
      <w:tr w:rsidR="00CA5664" w:rsidRPr="00CA5664" w14:paraId="0D7C0412" w14:textId="77777777" w:rsidTr="00A035F0">
        <w:trPr>
          <w:trHeight w:val="368"/>
        </w:trPr>
        <w:tc>
          <w:tcPr>
            <w:tcW w:w="9781" w:type="dxa"/>
            <w:shd w:val="clear" w:color="auto" w:fill="DAE9F7" w:themeFill="text2" w:themeFillTint="1A"/>
            <w:vAlign w:val="center"/>
          </w:tcPr>
          <w:p w14:paraId="6F222F43" w14:textId="74E44D54" w:rsidR="004724B7" w:rsidRPr="00CA5664" w:rsidRDefault="005F1E34" w:rsidP="00CA5664">
            <w:pPr>
              <w:jc w:val="both"/>
              <w:rPr>
                <w:rFonts w:ascii="Joost" w:hAnsi="Joost" w:cs="Calibri"/>
                <w:b/>
                <w:bCs/>
                <w:sz w:val="23"/>
                <w:szCs w:val="23"/>
                <w:lang w:val="lt-LT"/>
              </w:rPr>
            </w:pPr>
            <w:r w:rsidRPr="00CA5664">
              <w:rPr>
                <w:rFonts w:ascii="Joost" w:hAnsi="Joost" w:cs="Calibri"/>
                <w:b/>
                <w:bCs/>
                <w:sz w:val="23"/>
                <w:szCs w:val="23"/>
                <w:lang w:val="lt-LT"/>
              </w:rPr>
              <w:t xml:space="preserve">1 </w:t>
            </w:r>
            <w:r w:rsidR="004724B7" w:rsidRPr="00CA5664">
              <w:rPr>
                <w:rFonts w:ascii="Joost" w:hAnsi="Joost" w:cs="Calibri"/>
                <w:b/>
                <w:bCs/>
                <w:sz w:val="23"/>
                <w:szCs w:val="23"/>
                <w:lang w:val="lt-LT"/>
              </w:rPr>
              <w:t xml:space="preserve">Klausimas </w:t>
            </w:r>
            <w:r w:rsidR="004724B7" w:rsidRPr="00CA5664">
              <w:rPr>
                <w:rFonts w:ascii="Joost" w:hAnsi="Joost" w:cs="Calibri"/>
                <w:sz w:val="23"/>
                <w:szCs w:val="23"/>
                <w:lang w:val="lt-LT"/>
              </w:rPr>
              <w:t>(klausimo tekstas netaisytas)</w:t>
            </w:r>
          </w:p>
        </w:tc>
      </w:tr>
      <w:tr w:rsidR="00CA5664" w:rsidRPr="00CA5664" w14:paraId="7B2B4C43" w14:textId="77777777" w:rsidTr="00A035F0">
        <w:trPr>
          <w:trHeight w:val="750"/>
        </w:trPr>
        <w:tc>
          <w:tcPr>
            <w:tcW w:w="9781" w:type="dxa"/>
            <w:shd w:val="clear" w:color="auto" w:fill="auto"/>
          </w:tcPr>
          <w:p w14:paraId="5A4A9B0E" w14:textId="2591D7F4" w:rsidR="009D4C8E" w:rsidRPr="00CA5664" w:rsidRDefault="0024081F" w:rsidP="00CA5664">
            <w:pPr>
              <w:tabs>
                <w:tab w:val="num" w:pos="462"/>
              </w:tabs>
              <w:jc w:val="both"/>
              <w:rPr>
                <w:rFonts w:ascii="Joost" w:hAnsi="Joost" w:cs="Calibri"/>
                <w:sz w:val="23"/>
                <w:szCs w:val="23"/>
                <w:lang w:val="lt-LT"/>
              </w:rPr>
            </w:pPr>
            <w:r w:rsidRPr="00CA5664">
              <w:rPr>
                <w:rFonts w:ascii="Joost" w:hAnsi="Joost" w:cs="Calibri"/>
                <w:sz w:val="23"/>
                <w:szCs w:val="23"/>
                <w:lang w:val="lt-LT"/>
              </w:rPr>
              <w:t xml:space="preserve">Prašome patikslinti, ar advokatų kontora („advokatai partnerystės pagrindais, neįsteigę juridinio asmens, veikia sudarę jungtinės veiklos (partnerystės) sutartį ir įkūrę advokatų darbo vietą“, kaip tai apibrėžia Lietuvos Respublikos advokatūros įstatymo 27 straipsnio 1 dalyje) bus laikoma pavieniu tiekėju (organizacija), kuriam, grindžiant atitiktį Pirkimo dokumentų reikalavimams, bus taikytini reikalavimai, taikomi pavieniam ūkio subjektui, teikiančiam pasiūlymą, ar vis dėl to ji bus traktuojama, kaip bendrai veikianti ūkio subjektų grupė teikianti bendrą pasiūlymą, kuriai kvalifikacijos reikalavimai bus taikomi, kaip ūkio subjektų grupei? Jei advokatų kontora bus laikoma bendrai veikianti ūkio subjektų grupė, ar tokiu atveju reikia pateikti advokatų kontoros kiekvieno partnerio, pasirašiusio advokatų kontoros partnerystės sutartį, užpildytą Europos bendrojo viešųjų pirkimų dokumentą (toliau - </w:t>
            </w:r>
            <w:r w:rsidRPr="00CA5664">
              <w:rPr>
                <w:rFonts w:ascii="Joost" w:hAnsi="Joost" w:cs="Calibri"/>
                <w:b/>
                <w:bCs/>
                <w:sz w:val="23"/>
                <w:szCs w:val="23"/>
                <w:lang w:val="lt-LT"/>
              </w:rPr>
              <w:t>EBVPD</w:t>
            </w:r>
            <w:r w:rsidRPr="00CA5664">
              <w:rPr>
                <w:rFonts w:ascii="Joost" w:hAnsi="Joost" w:cs="Calibri"/>
                <w:sz w:val="23"/>
                <w:szCs w:val="23"/>
                <w:lang w:val="lt-LT"/>
              </w:rPr>
              <w:t>)? Tiekėjas šiuos raštu norėtų atkreipti Perkančiosios organizacijos dėmesį į kitų perkančiųjų organizacijų ir perkančiųjų subjektų taikomą praktiką, kai jie, atsižvelgdami į advokatų veiklos specifiką, nereikalauja pateikti advokatų kontoros kiekvieno partnerio užpildyto EBVPD ir pašalinimo pagrindų nebuvimą patvirtinančių dokumentų. To reikalaujama tik iš advokatų kontoros vadovaujančio partnerio (jeigu kartu pateiktoje partnerystės sutarties kopijoje ar išraše aiškiai ir nedviprasmiškai numatyta jo turimų įgaliojimų viršenybę kitų partnerių atžvilgiu), pasiūlymo teikiančio asmens ir asmens, atsakingo už buhalterinę apskaitą.</w:t>
            </w:r>
          </w:p>
        </w:tc>
      </w:tr>
      <w:tr w:rsidR="00CA5664" w:rsidRPr="00CA5664" w14:paraId="3D3F5DDE" w14:textId="77777777" w:rsidTr="00A035F0">
        <w:trPr>
          <w:trHeight w:val="366"/>
        </w:trPr>
        <w:tc>
          <w:tcPr>
            <w:tcW w:w="9781" w:type="dxa"/>
            <w:shd w:val="clear" w:color="auto" w:fill="auto"/>
          </w:tcPr>
          <w:p w14:paraId="4719A0EC" w14:textId="03DA79BD" w:rsidR="004724B7" w:rsidRPr="00CA5664" w:rsidRDefault="005F1E34" w:rsidP="00CA5664">
            <w:pPr>
              <w:jc w:val="both"/>
              <w:rPr>
                <w:rFonts w:ascii="Joost" w:hAnsi="Joost" w:cs="Calibri"/>
                <w:sz w:val="23"/>
                <w:szCs w:val="23"/>
                <w:lang w:val="lt-LT"/>
              </w:rPr>
            </w:pPr>
            <w:r w:rsidRPr="00CA5664">
              <w:rPr>
                <w:rFonts w:ascii="Joost" w:hAnsi="Joost" w:cs="Calibri"/>
                <w:b/>
                <w:bCs/>
                <w:sz w:val="23"/>
                <w:szCs w:val="23"/>
                <w:lang w:val="lt-LT"/>
              </w:rPr>
              <w:t xml:space="preserve">1 </w:t>
            </w:r>
            <w:r w:rsidR="004724B7" w:rsidRPr="00CA5664">
              <w:rPr>
                <w:rFonts w:ascii="Joost" w:hAnsi="Joost" w:cs="Calibri"/>
                <w:b/>
                <w:bCs/>
                <w:sz w:val="23"/>
                <w:szCs w:val="23"/>
                <w:lang w:val="lt-LT"/>
              </w:rPr>
              <w:t>Atsakymas</w:t>
            </w:r>
          </w:p>
        </w:tc>
      </w:tr>
      <w:tr w:rsidR="00CA5664" w:rsidRPr="00CA5664" w14:paraId="14FF951C" w14:textId="77777777" w:rsidTr="00A035F0">
        <w:trPr>
          <w:trHeight w:val="400"/>
        </w:trPr>
        <w:tc>
          <w:tcPr>
            <w:tcW w:w="9781" w:type="dxa"/>
            <w:tcBorders>
              <w:bottom w:val="single" w:sz="4" w:space="0" w:color="auto"/>
            </w:tcBorders>
            <w:shd w:val="clear" w:color="auto" w:fill="auto"/>
          </w:tcPr>
          <w:p w14:paraId="4300E936" w14:textId="79D01177" w:rsidR="009D4C8E" w:rsidRPr="00CA5664" w:rsidRDefault="0024081F" w:rsidP="00CA5664">
            <w:pPr>
              <w:pBdr>
                <w:top w:val="none" w:sz="0" w:space="0" w:color="auto"/>
                <w:left w:val="none" w:sz="0" w:space="0" w:color="auto"/>
                <w:bottom w:val="none" w:sz="0" w:space="0" w:color="auto"/>
                <w:right w:val="none" w:sz="0" w:space="0" w:color="auto"/>
                <w:between w:val="none" w:sz="0" w:space="0" w:color="auto"/>
                <w:bar w:val="none" w:sz="0" w:color="auto"/>
              </w:pBdr>
              <w:tabs>
                <w:tab w:val="left" w:pos="352"/>
                <w:tab w:val="left" w:pos="456"/>
              </w:tabs>
              <w:jc w:val="both"/>
              <w:rPr>
                <w:rFonts w:ascii="Joost" w:eastAsia="Times New Roman" w:hAnsi="Joost"/>
                <w:i/>
                <w:iCs/>
                <w:sz w:val="23"/>
                <w:szCs w:val="23"/>
                <w:lang w:val="lt-LT"/>
              </w:rPr>
            </w:pPr>
            <w:r w:rsidRPr="00CA5664">
              <w:rPr>
                <w:rFonts w:ascii="Joost" w:hAnsi="Joost"/>
                <w:sz w:val="23"/>
                <w:szCs w:val="23"/>
                <w:lang w:val="lt-LT"/>
              </w:rPr>
              <w:t>Advokatų kontora bus laikoma pavieniu tiekėju,</w:t>
            </w:r>
            <w:r w:rsidR="00147C0D" w:rsidRPr="00CA5664">
              <w:rPr>
                <w:rFonts w:ascii="Joost" w:hAnsi="Joost"/>
                <w:sz w:val="23"/>
                <w:szCs w:val="23"/>
                <w:lang w:val="lt-LT"/>
              </w:rPr>
              <w:t xml:space="preserve"> </w:t>
            </w:r>
            <w:r w:rsidR="00147C0D" w:rsidRPr="00CA5664">
              <w:rPr>
                <w:rFonts w:ascii="Joost" w:hAnsi="Joost" w:cs="Calibri"/>
                <w:sz w:val="23"/>
                <w:szCs w:val="23"/>
                <w:lang w:val="lt-LT"/>
              </w:rPr>
              <w:t>EBVPD ir pašalinimo pagrindų nebuvimą patvirtinanči</w:t>
            </w:r>
            <w:r w:rsidR="00E0067E">
              <w:rPr>
                <w:rFonts w:ascii="Joost" w:hAnsi="Joost" w:cs="Calibri"/>
                <w:sz w:val="23"/>
                <w:szCs w:val="23"/>
                <w:lang w:val="lt-LT"/>
              </w:rPr>
              <w:t>us</w:t>
            </w:r>
            <w:r w:rsidR="00147C0D" w:rsidRPr="00CA5664">
              <w:rPr>
                <w:rFonts w:ascii="Joost" w:hAnsi="Joost" w:cs="Calibri"/>
                <w:sz w:val="23"/>
                <w:szCs w:val="23"/>
                <w:lang w:val="lt-LT"/>
              </w:rPr>
              <w:t xml:space="preserve"> dokument</w:t>
            </w:r>
            <w:r w:rsidR="00E0067E">
              <w:rPr>
                <w:rFonts w:ascii="Joost" w:hAnsi="Joost" w:cs="Calibri"/>
                <w:sz w:val="23"/>
                <w:szCs w:val="23"/>
                <w:lang w:val="lt-LT"/>
              </w:rPr>
              <w:t>us</w:t>
            </w:r>
            <w:r w:rsidR="00147C0D" w:rsidRPr="00CA5664">
              <w:rPr>
                <w:rFonts w:ascii="Joost" w:hAnsi="Joost" w:cs="Calibri"/>
                <w:sz w:val="23"/>
                <w:szCs w:val="23"/>
                <w:lang w:val="lt-LT"/>
              </w:rPr>
              <w:t xml:space="preserve"> turės pateikti advokatų kontoros</w:t>
            </w:r>
            <w:r w:rsidRPr="00CA5664">
              <w:rPr>
                <w:rFonts w:ascii="Joost" w:hAnsi="Joost"/>
                <w:sz w:val="23"/>
                <w:szCs w:val="23"/>
                <w:lang w:val="lt-LT"/>
              </w:rPr>
              <w:t xml:space="preserve"> vadovaujan</w:t>
            </w:r>
            <w:r w:rsidR="00147C0D" w:rsidRPr="00CA5664">
              <w:rPr>
                <w:rFonts w:ascii="Joost" w:hAnsi="Joost"/>
                <w:sz w:val="23"/>
                <w:szCs w:val="23"/>
                <w:lang w:val="lt-LT"/>
              </w:rPr>
              <w:t>tis partneris</w:t>
            </w:r>
            <w:r w:rsidRPr="00CA5664">
              <w:rPr>
                <w:rFonts w:ascii="Joost" w:hAnsi="Joost"/>
                <w:sz w:val="23"/>
                <w:szCs w:val="23"/>
                <w:lang w:val="lt-LT"/>
              </w:rPr>
              <w:t xml:space="preserve"> </w:t>
            </w:r>
            <w:r w:rsidR="00147C0D" w:rsidRPr="00CA5664">
              <w:rPr>
                <w:rFonts w:ascii="Joost" w:hAnsi="Joost" w:cs="Calibri"/>
                <w:sz w:val="23"/>
                <w:szCs w:val="23"/>
                <w:lang w:val="lt-LT"/>
              </w:rPr>
              <w:t>(jeigu kartu pateiktoje partnerystės sutarties kopijoje ar išraše aiškiai ir nedviprasmiškai numatyta jo turimų įgaliojimų viršenybę kitų partnerių atžvilgiu)</w:t>
            </w:r>
            <w:r w:rsidRPr="00CA5664">
              <w:rPr>
                <w:rFonts w:ascii="Joost" w:hAnsi="Joost"/>
                <w:sz w:val="23"/>
                <w:szCs w:val="23"/>
                <w:lang w:val="lt-LT"/>
              </w:rPr>
              <w:t>.</w:t>
            </w:r>
          </w:p>
        </w:tc>
      </w:tr>
      <w:tr w:rsidR="00CA5664" w:rsidRPr="00CA5664" w14:paraId="044C684F" w14:textId="77777777" w:rsidTr="00A035F0">
        <w:trPr>
          <w:trHeight w:val="400"/>
        </w:trPr>
        <w:tc>
          <w:tcPr>
            <w:tcW w:w="9781" w:type="dxa"/>
            <w:shd w:val="clear" w:color="auto" w:fill="DAE9F7" w:themeFill="text2" w:themeFillTint="1A"/>
          </w:tcPr>
          <w:p w14:paraId="0D9E1305" w14:textId="4BA9BF2F" w:rsidR="005F1E34" w:rsidRPr="00CA5664" w:rsidRDefault="005F1E34" w:rsidP="00CA5664">
            <w:pPr>
              <w:jc w:val="both"/>
              <w:rPr>
                <w:rFonts w:ascii="Joost" w:hAnsi="Joost" w:cs="Calibri"/>
                <w:sz w:val="23"/>
                <w:szCs w:val="23"/>
                <w:lang w:val="lt-LT"/>
              </w:rPr>
            </w:pPr>
            <w:r w:rsidRPr="00CA5664">
              <w:rPr>
                <w:rFonts w:ascii="Joost" w:hAnsi="Joost" w:cs="Calibri"/>
                <w:b/>
                <w:bCs/>
                <w:sz w:val="23"/>
                <w:szCs w:val="23"/>
                <w:lang w:val="lt-LT"/>
              </w:rPr>
              <w:t xml:space="preserve">2 Klausimas </w:t>
            </w:r>
            <w:r w:rsidRPr="00CA5664">
              <w:rPr>
                <w:rFonts w:ascii="Joost" w:hAnsi="Joost" w:cs="Calibri"/>
                <w:sz w:val="23"/>
                <w:szCs w:val="23"/>
                <w:lang w:val="lt-LT"/>
              </w:rPr>
              <w:t>(klausimo tekstas netaisytas)</w:t>
            </w:r>
          </w:p>
        </w:tc>
      </w:tr>
      <w:tr w:rsidR="00CA5664" w:rsidRPr="00CA5664" w14:paraId="6AC52CFB" w14:textId="77777777" w:rsidTr="00A035F0">
        <w:trPr>
          <w:trHeight w:val="400"/>
        </w:trPr>
        <w:tc>
          <w:tcPr>
            <w:tcW w:w="9781" w:type="dxa"/>
            <w:shd w:val="clear" w:color="auto" w:fill="auto"/>
          </w:tcPr>
          <w:p w14:paraId="76D52A50" w14:textId="756B5730" w:rsidR="009D4C8E" w:rsidRPr="00CA5664" w:rsidRDefault="0024081F" w:rsidP="00CA5664">
            <w:pPr>
              <w:jc w:val="both"/>
              <w:rPr>
                <w:rFonts w:ascii="Joost" w:hAnsi="Joost" w:cs="Calibri"/>
                <w:sz w:val="23"/>
                <w:szCs w:val="23"/>
                <w:lang w:val="lt-LT"/>
              </w:rPr>
            </w:pPr>
            <w:r w:rsidRPr="00CA5664">
              <w:rPr>
                <w:rFonts w:ascii="Joost" w:hAnsi="Joost" w:cs="Calibri"/>
                <w:sz w:val="23"/>
                <w:szCs w:val="23"/>
                <w:lang w:val="lt-LT"/>
              </w:rPr>
              <w:t xml:space="preserve">Prašome patikslinti, jei pasiūlymą Pirkimui teikia advokatai, neįsteigę juridinio asmens, o veikiantys partnerystės pagrindais, t. y. sudarę jungtinės veiklos (partnerystės) sutartį ir įkūrę advokatų darbo vietą (advokatų kontorą), ar tokiu atveju atitinkamoje advokatų kontoroje (be partnerių) dirbantys advokatai ir advokatų padėjėjai, sudarę išimtinio teisinių paslaugų teikimo (asociacijos) sutartis (pagal Lietuvos Respublikos advokatūros įstatymo 26 str. 6 d.), bus laikomi tiekėjo darbuotojais ar </w:t>
            </w:r>
            <w:proofErr w:type="spellStart"/>
            <w:r w:rsidRPr="00CA5664">
              <w:rPr>
                <w:rFonts w:ascii="Joost" w:hAnsi="Joost" w:cs="Calibri"/>
                <w:sz w:val="23"/>
                <w:szCs w:val="23"/>
                <w:lang w:val="lt-LT"/>
              </w:rPr>
              <w:t>kvazisubtiekėjais</w:t>
            </w:r>
            <w:proofErr w:type="spellEnd"/>
            <w:r w:rsidRPr="00CA5664">
              <w:rPr>
                <w:rFonts w:ascii="Joost" w:hAnsi="Joost" w:cs="Calibri"/>
                <w:sz w:val="23"/>
                <w:szCs w:val="23"/>
                <w:lang w:val="lt-LT"/>
              </w:rPr>
              <w:t>?</w:t>
            </w:r>
          </w:p>
        </w:tc>
      </w:tr>
      <w:tr w:rsidR="00CA5664" w:rsidRPr="00CA5664" w14:paraId="6A9F57AB" w14:textId="77777777" w:rsidTr="00A035F0">
        <w:trPr>
          <w:trHeight w:val="400"/>
        </w:trPr>
        <w:tc>
          <w:tcPr>
            <w:tcW w:w="9781" w:type="dxa"/>
            <w:shd w:val="clear" w:color="auto" w:fill="auto"/>
          </w:tcPr>
          <w:p w14:paraId="049531AC" w14:textId="0F90DD65" w:rsidR="00573462" w:rsidRPr="00CA5664" w:rsidRDefault="00573462" w:rsidP="00CA5664">
            <w:pPr>
              <w:jc w:val="both"/>
              <w:rPr>
                <w:rFonts w:ascii="Joost" w:hAnsi="Joost" w:cs="Calibri"/>
                <w:sz w:val="23"/>
                <w:szCs w:val="23"/>
                <w:lang w:val="lt-LT"/>
              </w:rPr>
            </w:pPr>
            <w:r w:rsidRPr="00CA5664">
              <w:rPr>
                <w:rFonts w:ascii="Joost" w:hAnsi="Joost" w:cs="Calibri"/>
                <w:b/>
                <w:bCs/>
                <w:sz w:val="23"/>
                <w:szCs w:val="23"/>
                <w:lang w:val="lt-LT"/>
              </w:rPr>
              <w:t>2 Atsakymas</w:t>
            </w:r>
          </w:p>
        </w:tc>
      </w:tr>
      <w:tr w:rsidR="00CA5664" w:rsidRPr="00CA5664" w14:paraId="3ECE2145" w14:textId="77777777" w:rsidTr="00A035F0">
        <w:trPr>
          <w:trHeight w:val="400"/>
        </w:trPr>
        <w:tc>
          <w:tcPr>
            <w:tcW w:w="9781" w:type="dxa"/>
            <w:shd w:val="clear" w:color="auto" w:fill="auto"/>
          </w:tcPr>
          <w:p w14:paraId="52F5E7E5" w14:textId="5D14E81C" w:rsidR="009D4C8E" w:rsidRPr="00CA5664" w:rsidRDefault="0024081F" w:rsidP="00CA5664">
            <w:pPr>
              <w:jc w:val="both"/>
              <w:rPr>
                <w:rFonts w:ascii="Joost" w:eastAsia="Times New Roman" w:hAnsi="Joost"/>
                <w:sz w:val="23"/>
                <w:szCs w:val="23"/>
                <w:lang w:val="lt-LT"/>
              </w:rPr>
            </w:pPr>
            <w:r w:rsidRPr="00CA5664">
              <w:rPr>
                <w:rFonts w:ascii="Joost" w:hAnsi="Joost"/>
                <w:sz w:val="23"/>
                <w:szCs w:val="23"/>
                <w:lang w:val="lt-LT"/>
              </w:rPr>
              <w:t>Advokatai bus laikomi tiekėjo darbuotojais</w:t>
            </w:r>
            <w:r w:rsidR="00147C0D" w:rsidRPr="00CA5664">
              <w:rPr>
                <w:rFonts w:ascii="Joost" w:hAnsi="Joost"/>
                <w:sz w:val="23"/>
                <w:szCs w:val="23"/>
                <w:lang w:val="lt-LT"/>
              </w:rPr>
              <w:t>.</w:t>
            </w:r>
          </w:p>
        </w:tc>
      </w:tr>
      <w:tr w:rsidR="00CA5664" w:rsidRPr="00CA5664" w14:paraId="63CEED33" w14:textId="77777777" w:rsidTr="00A035F0">
        <w:trPr>
          <w:trHeight w:val="400"/>
        </w:trPr>
        <w:tc>
          <w:tcPr>
            <w:tcW w:w="9781" w:type="dxa"/>
            <w:shd w:val="clear" w:color="auto" w:fill="DAE9F7" w:themeFill="text2" w:themeFillTint="1A"/>
          </w:tcPr>
          <w:p w14:paraId="39469500" w14:textId="5B8D3455" w:rsidR="00573462" w:rsidRPr="00CA5664" w:rsidRDefault="00573462" w:rsidP="00CA5664">
            <w:pPr>
              <w:jc w:val="both"/>
              <w:rPr>
                <w:rFonts w:ascii="Joost" w:hAnsi="Joost" w:cs="Calibri"/>
                <w:sz w:val="23"/>
                <w:szCs w:val="23"/>
                <w:lang w:val="lt-LT"/>
              </w:rPr>
            </w:pPr>
            <w:r w:rsidRPr="00CA5664">
              <w:rPr>
                <w:rFonts w:ascii="Joost" w:hAnsi="Joost" w:cs="Calibri"/>
                <w:b/>
                <w:bCs/>
                <w:sz w:val="23"/>
                <w:szCs w:val="23"/>
                <w:lang w:val="lt-LT"/>
              </w:rPr>
              <w:lastRenderedPageBreak/>
              <w:t xml:space="preserve">3 Klausimas </w:t>
            </w:r>
            <w:r w:rsidRPr="00CA5664">
              <w:rPr>
                <w:rFonts w:ascii="Joost" w:hAnsi="Joost" w:cs="Calibri"/>
                <w:sz w:val="23"/>
                <w:szCs w:val="23"/>
                <w:lang w:val="lt-LT"/>
              </w:rPr>
              <w:t>(klausimo tekstas netaisytas)</w:t>
            </w:r>
          </w:p>
        </w:tc>
      </w:tr>
      <w:tr w:rsidR="00CA5664" w:rsidRPr="00CA5664" w14:paraId="75428D25" w14:textId="77777777" w:rsidTr="00A035F0">
        <w:trPr>
          <w:trHeight w:val="400"/>
        </w:trPr>
        <w:tc>
          <w:tcPr>
            <w:tcW w:w="9781" w:type="dxa"/>
            <w:shd w:val="clear" w:color="auto" w:fill="auto"/>
          </w:tcPr>
          <w:p w14:paraId="5E1F63BF" w14:textId="7EF6C59A" w:rsidR="009D4C8E" w:rsidRPr="00CA5664" w:rsidRDefault="0024081F" w:rsidP="00CA5664">
            <w:pPr>
              <w:pStyle w:val="ListParagraph"/>
              <w:tabs>
                <w:tab w:val="left" w:pos="318"/>
              </w:tabs>
              <w:spacing w:after="0" w:line="240" w:lineRule="auto"/>
              <w:ind w:left="34"/>
              <w:jc w:val="both"/>
              <w:rPr>
                <w:rFonts w:ascii="Joost" w:hAnsi="Joost" w:cs="Calibri"/>
                <w:sz w:val="23"/>
                <w:szCs w:val="23"/>
                <w:lang w:val="lt-LT"/>
              </w:rPr>
            </w:pPr>
            <w:r w:rsidRPr="00CA5664">
              <w:rPr>
                <w:rFonts w:ascii="Joost" w:hAnsi="Joost" w:cs="Calibri"/>
                <w:sz w:val="23"/>
                <w:szCs w:val="23"/>
                <w:lang w:val="lt-LT"/>
              </w:rPr>
              <w:t>Ar ekspertais tiek I, tiek II Pirkimo dalyse gali būti siūlomi tie patys asmenys, jei jie atitinka SPS priede Kvalifikacijos reikalavimai (toliau – Kvalifikacijos reikalavimai) nurytus kiekvienos dalies ekspertų patirties reikalavimus?</w:t>
            </w:r>
          </w:p>
        </w:tc>
      </w:tr>
      <w:tr w:rsidR="00CA5664" w:rsidRPr="00CA5664" w14:paraId="174B2636" w14:textId="77777777" w:rsidTr="00A035F0">
        <w:trPr>
          <w:trHeight w:val="400"/>
        </w:trPr>
        <w:tc>
          <w:tcPr>
            <w:tcW w:w="9781" w:type="dxa"/>
            <w:shd w:val="clear" w:color="auto" w:fill="auto"/>
          </w:tcPr>
          <w:p w14:paraId="152DC0D3" w14:textId="33D9D745" w:rsidR="00573462" w:rsidRPr="00CA5664" w:rsidRDefault="00573462" w:rsidP="00CA5664">
            <w:pPr>
              <w:pStyle w:val="ListParagraph"/>
              <w:tabs>
                <w:tab w:val="left" w:pos="318"/>
              </w:tabs>
              <w:spacing w:after="0" w:line="240" w:lineRule="auto"/>
              <w:ind w:left="34"/>
              <w:jc w:val="both"/>
              <w:rPr>
                <w:rFonts w:ascii="Joost" w:hAnsi="Joost" w:cs="Calibri"/>
                <w:sz w:val="23"/>
                <w:szCs w:val="23"/>
                <w:lang w:val="lt-LT"/>
              </w:rPr>
            </w:pPr>
            <w:r w:rsidRPr="00CA5664">
              <w:rPr>
                <w:rFonts w:ascii="Joost" w:hAnsi="Joost" w:cs="Calibri"/>
                <w:b/>
                <w:bCs/>
                <w:sz w:val="23"/>
                <w:szCs w:val="23"/>
                <w:lang w:val="lt-LT"/>
              </w:rPr>
              <w:t>3 Atsakymas</w:t>
            </w:r>
          </w:p>
        </w:tc>
      </w:tr>
      <w:tr w:rsidR="00CA5664" w:rsidRPr="00CA5664" w14:paraId="297E007C" w14:textId="77777777" w:rsidTr="00A035F0">
        <w:trPr>
          <w:trHeight w:val="400"/>
        </w:trPr>
        <w:tc>
          <w:tcPr>
            <w:tcW w:w="9781" w:type="dxa"/>
            <w:tcBorders>
              <w:bottom w:val="single" w:sz="4" w:space="0" w:color="auto"/>
            </w:tcBorders>
            <w:shd w:val="clear" w:color="auto" w:fill="auto"/>
          </w:tcPr>
          <w:p w14:paraId="3905AB00" w14:textId="58748DD8" w:rsidR="009D4C8E" w:rsidRPr="00CA5664" w:rsidRDefault="0024081F" w:rsidP="00CA5664">
            <w:pPr>
              <w:pStyle w:val="ListParagraph"/>
              <w:tabs>
                <w:tab w:val="left" w:pos="318"/>
              </w:tabs>
              <w:spacing w:after="0" w:line="240" w:lineRule="auto"/>
              <w:ind w:left="34"/>
              <w:jc w:val="both"/>
              <w:rPr>
                <w:rFonts w:ascii="Joost" w:hAnsi="Joost" w:cs="Calibri"/>
                <w:iCs/>
                <w:sz w:val="23"/>
                <w:szCs w:val="23"/>
                <w:lang w:val="lt-LT"/>
              </w:rPr>
            </w:pPr>
            <w:r w:rsidRPr="00E0067E">
              <w:rPr>
                <w:rFonts w:ascii="Joost" w:hAnsi="Joost"/>
                <w:sz w:val="23"/>
                <w:szCs w:val="23"/>
                <w:lang w:val="lt-LT"/>
              </w:rPr>
              <w:t>Taip, gali</w:t>
            </w:r>
            <w:r w:rsidR="00E0067E" w:rsidRPr="00E0067E">
              <w:rPr>
                <w:rFonts w:ascii="Joost" w:hAnsi="Joost"/>
                <w:sz w:val="23"/>
                <w:szCs w:val="23"/>
                <w:lang w:val="lt-LT"/>
              </w:rPr>
              <w:t xml:space="preserve"> </w:t>
            </w:r>
            <w:r w:rsidR="00E0067E" w:rsidRPr="00C43A81">
              <w:rPr>
                <w:rFonts w:ascii="Joost" w:hAnsi="Joost"/>
                <w:sz w:val="23"/>
                <w:szCs w:val="23"/>
                <w:lang w:val="lt-LT"/>
              </w:rPr>
              <w:t>būti siūlomi tie patys asmenys</w:t>
            </w:r>
            <w:r w:rsidR="00E0067E" w:rsidRPr="00F76C94">
              <w:rPr>
                <w:rFonts w:ascii="Joost" w:hAnsi="Joost"/>
                <w:sz w:val="23"/>
                <w:szCs w:val="23"/>
                <w:lang w:val="lt-LT"/>
              </w:rPr>
              <w:t xml:space="preserve"> (</w:t>
            </w:r>
            <w:r w:rsidR="00E0067E" w:rsidRPr="00CA5664">
              <w:rPr>
                <w:rFonts w:ascii="Joost" w:hAnsi="Joost" w:cs="Calibri"/>
                <w:sz w:val="23"/>
                <w:szCs w:val="23"/>
                <w:lang w:val="lt-LT"/>
              </w:rPr>
              <w:t>ekspertai</w:t>
            </w:r>
            <w:r w:rsidR="00E0067E">
              <w:rPr>
                <w:rFonts w:ascii="Joost" w:hAnsi="Joost" w:cs="Calibri"/>
                <w:sz w:val="23"/>
                <w:szCs w:val="23"/>
                <w:lang w:val="lt-LT"/>
              </w:rPr>
              <w:t>)</w:t>
            </w:r>
            <w:r w:rsidR="00E0067E" w:rsidRPr="00CA5664">
              <w:rPr>
                <w:rFonts w:ascii="Joost" w:hAnsi="Joost" w:cs="Calibri"/>
                <w:sz w:val="23"/>
                <w:szCs w:val="23"/>
                <w:lang w:val="lt-LT"/>
              </w:rPr>
              <w:t xml:space="preserve"> tiek I, tiek II Pirkimo dalyse</w:t>
            </w:r>
            <w:r w:rsidR="00E0067E">
              <w:rPr>
                <w:rFonts w:ascii="Joost" w:hAnsi="Joost" w:cs="Calibri"/>
                <w:sz w:val="23"/>
                <w:szCs w:val="23"/>
                <w:lang w:val="lt-LT"/>
              </w:rPr>
              <w:t>.</w:t>
            </w:r>
          </w:p>
        </w:tc>
      </w:tr>
      <w:tr w:rsidR="00CA5664" w:rsidRPr="00CA5664" w14:paraId="35EAD988" w14:textId="77777777" w:rsidTr="00A035F0">
        <w:trPr>
          <w:trHeight w:val="400"/>
        </w:trPr>
        <w:tc>
          <w:tcPr>
            <w:tcW w:w="9781" w:type="dxa"/>
            <w:shd w:val="clear" w:color="auto" w:fill="DAE9F7" w:themeFill="text2" w:themeFillTint="1A"/>
          </w:tcPr>
          <w:p w14:paraId="61E55496" w14:textId="06427778" w:rsidR="006C728C" w:rsidRPr="00CA5664" w:rsidRDefault="008264D1" w:rsidP="00CA566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Joost" w:hAnsi="Joost" w:cs="Calibri"/>
                <w:b/>
                <w:bCs/>
                <w:sz w:val="23"/>
                <w:szCs w:val="23"/>
                <w:lang w:val="lt-LT"/>
              </w:rPr>
            </w:pPr>
            <w:r w:rsidRPr="00CA5664">
              <w:rPr>
                <w:rFonts w:ascii="Joost" w:hAnsi="Joost" w:cs="Calibri"/>
                <w:b/>
                <w:bCs/>
                <w:sz w:val="23"/>
                <w:szCs w:val="23"/>
                <w:lang w:val="lt-LT"/>
              </w:rPr>
              <w:t xml:space="preserve">4 </w:t>
            </w:r>
            <w:r w:rsidR="006C728C" w:rsidRPr="00CA5664">
              <w:rPr>
                <w:rFonts w:ascii="Joost" w:hAnsi="Joost" w:cs="Calibri"/>
                <w:b/>
                <w:bCs/>
                <w:sz w:val="23"/>
                <w:szCs w:val="23"/>
                <w:lang w:val="lt-LT"/>
              </w:rPr>
              <w:t xml:space="preserve">Klausimas </w:t>
            </w:r>
            <w:r w:rsidR="006C728C" w:rsidRPr="00CA5664">
              <w:rPr>
                <w:rFonts w:ascii="Joost" w:hAnsi="Joost" w:cs="Calibri"/>
                <w:sz w:val="23"/>
                <w:szCs w:val="23"/>
                <w:lang w:val="lt-LT"/>
              </w:rPr>
              <w:t>(klausimo tekstas netaisytas)</w:t>
            </w:r>
          </w:p>
        </w:tc>
      </w:tr>
      <w:tr w:rsidR="00CA5664" w:rsidRPr="00CA5664" w14:paraId="65709301" w14:textId="77777777" w:rsidTr="00A035F0">
        <w:trPr>
          <w:trHeight w:val="400"/>
        </w:trPr>
        <w:tc>
          <w:tcPr>
            <w:tcW w:w="9781" w:type="dxa"/>
            <w:shd w:val="clear" w:color="auto" w:fill="auto"/>
          </w:tcPr>
          <w:p w14:paraId="4DF5B012" w14:textId="33720A9E" w:rsidR="009D4C8E" w:rsidRPr="00CA5664" w:rsidRDefault="0024081F" w:rsidP="00CA5664">
            <w:pPr>
              <w:pStyle w:val="ListParagraph"/>
              <w:tabs>
                <w:tab w:val="left" w:pos="318"/>
              </w:tabs>
              <w:spacing w:after="0" w:line="240" w:lineRule="auto"/>
              <w:ind w:left="34"/>
              <w:jc w:val="both"/>
              <w:rPr>
                <w:rFonts w:ascii="Joost" w:hAnsi="Joost" w:cs="Calibri"/>
                <w:iCs/>
                <w:sz w:val="23"/>
                <w:szCs w:val="23"/>
                <w:lang w:val="lt-LT"/>
              </w:rPr>
            </w:pPr>
            <w:r w:rsidRPr="00CA5664">
              <w:rPr>
                <w:rFonts w:ascii="Joost" w:hAnsi="Joost" w:cs="Calibri"/>
                <w:iCs/>
                <w:sz w:val="23"/>
                <w:szCs w:val="23"/>
                <w:lang w:val="lt-LT"/>
              </w:rPr>
              <w:t>Ar teisingai suprantame, kad Kvalifikacijos reikalavimų 1.2. p. atitikimui galima nurodyti ne mažiau kaip 3 teisinių paslaugų sutartis/projektus, kuriuose buvo teikiamos teisinės konsultacijos dėl ne mažesnės kaip 25 000 000,00 EUR dydžio skolos vertybinių popierių emisijos (programos) išleidimo pagal prospektą ir visuose tuose pačiuose projektuose paslaugas teikė siūlomi ekspertai, t. y. skirtingų ekspertų patirtį galima grįsti tais pačiais projektais/sutartimis?</w:t>
            </w:r>
          </w:p>
        </w:tc>
      </w:tr>
      <w:tr w:rsidR="00CA5664" w:rsidRPr="00CA5664" w14:paraId="4F69BD03" w14:textId="77777777" w:rsidTr="00A035F0">
        <w:trPr>
          <w:trHeight w:val="400"/>
        </w:trPr>
        <w:tc>
          <w:tcPr>
            <w:tcW w:w="9781" w:type="dxa"/>
            <w:shd w:val="clear" w:color="auto" w:fill="auto"/>
          </w:tcPr>
          <w:p w14:paraId="2AC47FDB" w14:textId="64E9C5B4" w:rsidR="006C728C" w:rsidRPr="00CA5664" w:rsidRDefault="008264D1" w:rsidP="00CA5664">
            <w:pPr>
              <w:pStyle w:val="ListParagraph"/>
              <w:tabs>
                <w:tab w:val="left" w:pos="318"/>
              </w:tabs>
              <w:spacing w:after="0" w:line="240" w:lineRule="auto"/>
              <w:ind w:left="34"/>
              <w:jc w:val="both"/>
              <w:rPr>
                <w:rFonts w:ascii="Joost" w:hAnsi="Joost" w:cs="Calibri"/>
                <w:sz w:val="23"/>
                <w:szCs w:val="23"/>
                <w:lang w:val="lt-LT"/>
              </w:rPr>
            </w:pPr>
            <w:r w:rsidRPr="00CA5664">
              <w:rPr>
                <w:rFonts w:ascii="Joost" w:hAnsi="Joost" w:cs="Calibri"/>
                <w:b/>
                <w:bCs/>
                <w:sz w:val="23"/>
                <w:szCs w:val="23"/>
                <w:lang w:val="lt-LT"/>
              </w:rPr>
              <w:t>4 Atsakymas</w:t>
            </w:r>
          </w:p>
        </w:tc>
      </w:tr>
      <w:tr w:rsidR="00CA5664" w:rsidRPr="00CA5664" w14:paraId="2C4B148F" w14:textId="77777777" w:rsidTr="00A035F0">
        <w:trPr>
          <w:trHeight w:val="400"/>
        </w:trPr>
        <w:tc>
          <w:tcPr>
            <w:tcW w:w="9781" w:type="dxa"/>
            <w:tcBorders>
              <w:bottom w:val="single" w:sz="4" w:space="0" w:color="auto"/>
            </w:tcBorders>
            <w:shd w:val="clear" w:color="auto" w:fill="auto"/>
          </w:tcPr>
          <w:p w14:paraId="71AA45F7" w14:textId="7701625D" w:rsidR="001C17C1" w:rsidRPr="00CA5664" w:rsidRDefault="0024081F" w:rsidP="00CA5664">
            <w:pPr>
              <w:pStyle w:val="ListParagraph"/>
              <w:tabs>
                <w:tab w:val="left" w:pos="318"/>
              </w:tabs>
              <w:spacing w:after="0" w:line="240" w:lineRule="auto"/>
              <w:ind w:left="34"/>
              <w:jc w:val="both"/>
              <w:rPr>
                <w:rFonts w:ascii="Joost" w:hAnsi="Joost" w:cs="Calibri"/>
                <w:sz w:val="23"/>
                <w:szCs w:val="23"/>
                <w:lang w:val="lt-LT"/>
              </w:rPr>
            </w:pPr>
            <w:r w:rsidRPr="00CA5664">
              <w:rPr>
                <w:rFonts w:ascii="Joost" w:hAnsi="Joost"/>
                <w:sz w:val="23"/>
                <w:szCs w:val="23"/>
                <w:lang w:val="lt-LT"/>
              </w:rPr>
              <w:t xml:space="preserve">Taip, </w:t>
            </w:r>
            <w:r w:rsidR="00147C0D" w:rsidRPr="00CA5664">
              <w:rPr>
                <w:rFonts w:ascii="Joost" w:hAnsi="Joost"/>
                <w:sz w:val="23"/>
                <w:szCs w:val="23"/>
                <w:lang w:val="lt-LT"/>
              </w:rPr>
              <w:t xml:space="preserve">suprantate </w:t>
            </w:r>
            <w:r w:rsidRPr="00CA5664">
              <w:rPr>
                <w:rFonts w:ascii="Joost" w:hAnsi="Joost"/>
                <w:sz w:val="23"/>
                <w:szCs w:val="23"/>
                <w:lang w:val="lt-LT"/>
              </w:rPr>
              <w:t>teisingai</w:t>
            </w:r>
            <w:r w:rsidR="00147C0D" w:rsidRPr="00CA5664">
              <w:rPr>
                <w:rFonts w:ascii="Joost" w:hAnsi="Joost"/>
                <w:sz w:val="23"/>
                <w:szCs w:val="23"/>
                <w:lang w:val="lt-LT"/>
              </w:rPr>
              <w:t>. S</w:t>
            </w:r>
            <w:r w:rsidRPr="00CA5664">
              <w:rPr>
                <w:rFonts w:ascii="Joost" w:hAnsi="Joost"/>
                <w:sz w:val="23"/>
                <w:szCs w:val="23"/>
                <w:lang w:val="lt-LT"/>
              </w:rPr>
              <w:t>kirtingų ekspertų patirtį galima grįsti tais pačiais projektais.</w:t>
            </w:r>
          </w:p>
        </w:tc>
      </w:tr>
      <w:tr w:rsidR="00CA5664" w:rsidRPr="00CA5664" w14:paraId="5992F253" w14:textId="77777777" w:rsidTr="00A035F0">
        <w:trPr>
          <w:trHeight w:val="400"/>
        </w:trPr>
        <w:tc>
          <w:tcPr>
            <w:tcW w:w="9781" w:type="dxa"/>
            <w:shd w:val="clear" w:color="auto" w:fill="DAE9F7" w:themeFill="text2" w:themeFillTint="1A"/>
          </w:tcPr>
          <w:p w14:paraId="26850EBB" w14:textId="312C2277" w:rsidR="001C17C1" w:rsidRPr="00CA5664" w:rsidRDefault="001C17C1" w:rsidP="00CA5664">
            <w:pPr>
              <w:pStyle w:val="ListParagraph"/>
              <w:tabs>
                <w:tab w:val="left" w:pos="318"/>
              </w:tabs>
              <w:spacing w:after="0" w:line="240" w:lineRule="auto"/>
              <w:ind w:left="34"/>
              <w:jc w:val="both"/>
              <w:rPr>
                <w:rFonts w:ascii="Joost" w:hAnsi="Joost" w:cs="Calibri"/>
                <w:sz w:val="23"/>
                <w:szCs w:val="23"/>
                <w:lang w:val="lt-LT"/>
              </w:rPr>
            </w:pPr>
            <w:r w:rsidRPr="00CA5664">
              <w:rPr>
                <w:rFonts w:ascii="Joost" w:hAnsi="Joost" w:cs="Calibri"/>
                <w:b/>
                <w:bCs/>
                <w:sz w:val="23"/>
                <w:szCs w:val="23"/>
                <w:lang w:val="lt-LT"/>
              </w:rPr>
              <w:t xml:space="preserve">5 Klausimas </w:t>
            </w:r>
            <w:r w:rsidRPr="00CA5664">
              <w:rPr>
                <w:rFonts w:ascii="Joost" w:hAnsi="Joost" w:cs="Calibri"/>
                <w:sz w:val="23"/>
                <w:szCs w:val="23"/>
                <w:lang w:val="lt-LT"/>
              </w:rPr>
              <w:t>(klausimo tekstas netaisytas)</w:t>
            </w:r>
          </w:p>
        </w:tc>
      </w:tr>
      <w:tr w:rsidR="00CA5664" w:rsidRPr="00CA5664" w14:paraId="15BDAC5E" w14:textId="77777777" w:rsidTr="00A035F0">
        <w:trPr>
          <w:trHeight w:val="400"/>
        </w:trPr>
        <w:tc>
          <w:tcPr>
            <w:tcW w:w="9781" w:type="dxa"/>
            <w:shd w:val="clear" w:color="auto" w:fill="auto"/>
          </w:tcPr>
          <w:p w14:paraId="7567448C" w14:textId="18F3EB7B" w:rsidR="001C17C1" w:rsidRPr="00CA5664" w:rsidRDefault="0024081F" w:rsidP="00CA5664">
            <w:pPr>
              <w:pStyle w:val="ListParagraph"/>
              <w:tabs>
                <w:tab w:val="left" w:pos="318"/>
              </w:tabs>
              <w:spacing w:after="0" w:line="240" w:lineRule="auto"/>
              <w:ind w:left="34"/>
              <w:jc w:val="both"/>
              <w:rPr>
                <w:rFonts w:ascii="Joost" w:hAnsi="Joost" w:cs="Calibri"/>
                <w:sz w:val="23"/>
                <w:szCs w:val="23"/>
                <w:lang w:val="lt-LT"/>
              </w:rPr>
            </w:pPr>
            <w:r w:rsidRPr="00CA5664">
              <w:rPr>
                <w:rFonts w:ascii="Joost" w:hAnsi="Joost" w:cs="Calibri"/>
                <w:sz w:val="23"/>
                <w:szCs w:val="23"/>
                <w:lang w:val="lt-LT"/>
              </w:rPr>
              <w:t>Kvalifikacijos reikalavimų 1.1. p. nurodyta, kad „patirties įgijimo terminai skaičiuojami iki paskutinės pasiūlymų pateikimo datos“. Kvalifikacijos 1.2. p. nurodyta, kad „pasiūlyti finansų teisės ekspertai per pastaruosius 3 (tris) metus arba per laiką nuo tiekėjo įregistravimo dienos (jei tiekėjas vykdo veiklą mažiau nei 3 metus) iki pasiūlymo pateikimo termino pabaigos turi būti įvykdę arba vykdyti ne mažiau kaip 3 teisinių konsultacijų paslaugų teikimo sutartis“. Prašome Pirkimo vykdytoją patikslinti, ar galima Kvalifikacijos reikalavimų 1.2.p. atitikimui remtis siūlomų ekspertų patirtimi, įgyta teikiant teisines paslaugas pagal sutartis/projektus, kai sutartys/projektai dar yra vykdomi?</w:t>
            </w:r>
          </w:p>
        </w:tc>
      </w:tr>
      <w:tr w:rsidR="00CA5664" w:rsidRPr="00CA5664" w14:paraId="5D0DCC3E" w14:textId="77777777" w:rsidTr="00A035F0">
        <w:trPr>
          <w:trHeight w:val="400"/>
        </w:trPr>
        <w:tc>
          <w:tcPr>
            <w:tcW w:w="9781" w:type="dxa"/>
            <w:shd w:val="clear" w:color="auto" w:fill="auto"/>
          </w:tcPr>
          <w:p w14:paraId="288A4F37" w14:textId="0E7FAB6A" w:rsidR="001C17C1" w:rsidRPr="00CA5664" w:rsidRDefault="001C17C1" w:rsidP="00CA5664">
            <w:pPr>
              <w:pStyle w:val="ListParagraph"/>
              <w:tabs>
                <w:tab w:val="left" w:pos="318"/>
              </w:tabs>
              <w:spacing w:after="0" w:line="240" w:lineRule="auto"/>
              <w:ind w:left="34"/>
              <w:jc w:val="both"/>
              <w:rPr>
                <w:rFonts w:ascii="Joost" w:hAnsi="Joost" w:cs="Calibri"/>
                <w:sz w:val="23"/>
                <w:szCs w:val="23"/>
                <w:lang w:val="lt-LT"/>
              </w:rPr>
            </w:pPr>
            <w:r w:rsidRPr="00CA5664">
              <w:rPr>
                <w:rFonts w:ascii="Joost" w:hAnsi="Joost" w:cs="Calibri"/>
                <w:b/>
                <w:bCs/>
                <w:sz w:val="23"/>
                <w:szCs w:val="23"/>
                <w:lang w:val="lt-LT"/>
              </w:rPr>
              <w:t>5 Atsakymas</w:t>
            </w:r>
          </w:p>
        </w:tc>
      </w:tr>
      <w:tr w:rsidR="00CA5664" w:rsidRPr="00CA5664" w14:paraId="2205E978" w14:textId="77777777" w:rsidTr="00A035F0">
        <w:trPr>
          <w:trHeight w:val="400"/>
        </w:trPr>
        <w:tc>
          <w:tcPr>
            <w:tcW w:w="9781" w:type="dxa"/>
            <w:tcBorders>
              <w:bottom w:val="single" w:sz="4" w:space="0" w:color="auto"/>
            </w:tcBorders>
            <w:shd w:val="clear" w:color="auto" w:fill="auto"/>
          </w:tcPr>
          <w:p w14:paraId="67938944" w14:textId="69A7B2E0" w:rsidR="00617AA8" w:rsidRPr="00F90C0F" w:rsidRDefault="0024081F" w:rsidP="00CA5664">
            <w:pPr>
              <w:jc w:val="both"/>
              <w:rPr>
                <w:rFonts w:ascii="Joost" w:eastAsia="Arial" w:hAnsi="Joost" w:cs="Arial"/>
                <w:iCs/>
                <w:sz w:val="23"/>
                <w:szCs w:val="23"/>
                <w:lang w:val="lt-LT"/>
              </w:rPr>
            </w:pPr>
            <w:r w:rsidRPr="00F90C0F">
              <w:rPr>
                <w:rFonts w:ascii="Joost" w:hAnsi="Joost"/>
                <w:sz w:val="23"/>
                <w:szCs w:val="23"/>
                <w:lang w:val="lt-LT"/>
              </w:rPr>
              <w:t>Reikalaujama nurodyti įvykdytus projektus arba tokius</w:t>
            </w:r>
            <w:r w:rsidR="00E0067E">
              <w:rPr>
                <w:rFonts w:ascii="Joost" w:hAnsi="Joost"/>
                <w:sz w:val="23"/>
                <w:szCs w:val="23"/>
                <w:lang w:val="lt-LT"/>
              </w:rPr>
              <w:t xml:space="preserve"> projektus</w:t>
            </w:r>
            <w:r w:rsidRPr="00F90C0F">
              <w:rPr>
                <w:rFonts w:ascii="Joost" w:hAnsi="Joost"/>
                <w:sz w:val="23"/>
                <w:szCs w:val="23"/>
                <w:lang w:val="lt-LT"/>
              </w:rPr>
              <w:t xml:space="preserve">, kurių </w:t>
            </w:r>
            <w:r w:rsidR="00E0067E">
              <w:rPr>
                <w:rFonts w:ascii="Joost" w:hAnsi="Joost"/>
                <w:sz w:val="23"/>
                <w:szCs w:val="23"/>
                <w:lang w:val="lt-LT"/>
              </w:rPr>
              <w:t xml:space="preserve">apimtyje paruošti </w:t>
            </w:r>
            <w:r w:rsidRPr="00F90C0F">
              <w:rPr>
                <w:rFonts w:ascii="Joost" w:hAnsi="Joost"/>
                <w:sz w:val="23"/>
                <w:szCs w:val="23"/>
                <w:lang w:val="lt-LT"/>
              </w:rPr>
              <w:t>prospektai jau yra paskelbti/viešai prieinami</w:t>
            </w:r>
            <w:r w:rsidR="00F90C0F" w:rsidRPr="00F90C0F">
              <w:rPr>
                <w:rFonts w:ascii="Joost" w:hAnsi="Joost"/>
                <w:sz w:val="23"/>
                <w:szCs w:val="23"/>
                <w:lang w:val="lt-LT"/>
              </w:rPr>
              <w:t>.</w:t>
            </w:r>
          </w:p>
        </w:tc>
      </w:tr>
      <w:tr w:rsidR="00CA5664" w:rsidRPr="00CA5664" w14:paraId="2EA65B1D" w14:textId="77777777" w:rsidTr="00A035F0">
        <w:trPr>
          <w:trHeight w:val="400"/>
        </w:trPr>
        <w:tc>
          <w:tcPr>
            <w:tcW w:w="9781" w:type="dxa"/>
            <w:shd w:val="clear" w:color="auto" w:fill="DAE9F7" w:themeFill="text2" w:themeFillTint="1A"/>
          </w:tcPr>
          <w:p w14:paraId="32101946" w14:textId="67477CEF" w:rsidR="001C17C1" w:rsidRPr="00CA5664" w:rsidRDefault="001C17C1" w:rsidP="00CA5664">
            <w:pPr>
              <w:pStyle w:val="ListParagraph"/>
              <w:tabs>
                <w:tab w:val="left" w:pos="318"/>
              </w:tabs>
              <w:spacing w:after="0" w:line="240" w:lineRule="auto"/>
              <w:ind w:left="34"/>
              <w:jc w:val="both"/>
              <w:rPr>
                <w:rFonts w:ascii="Joost" w:hAnsi="Joost" w:cs="Calibri"/>
                <w:sz w:val="23"/>
                <w:szCs w:val="23"/>
                <w:lang w:val="lt-LT"/>
              </w:rPr>
            </w:pPr>
            <w:r w:rsidRPr="00CA5664">
              <w:rPr>
                <w:rFonts w:ascii="Joost" w:hAnsi="Joost" w:cs="Calibri"/>
                <w:b/>
                <w:bCs/>
                <w:sz w:val="23"/>
                <w:szCs w:val="23"/>
                <w:lang w:val="lt-LT"/>
              </w:rPr>
              <w:t xml:space="preserve">6 Klausimas </w:t>
            </w:r>
            <w:r w:rsidRPr="00CA5664">
              <w:rPr>
                <w:rFonts w:ascii="Joost" w:hAnsi="Joost" w:cs="Calibri"/>
                <w:sz w:val="23"/>
                <w:szCs w:val="23"/>
                <w:lang w:val="lt-LT"/>
              </w:rPr>
              <w:t>(klausimo tekstas netaisytas)</w:t>
            </w:r>
          </w:p>
        </w:tc>
      </w:tr>
      <w:tr w:rsidR="00CA5664" w:rsidRPr="00CA5664" w14:paraId="4FECC716" w14:textId="77777777" w:rsidTr="00A035F0">
        <w:trPr>
          <w:trHeight w:val="400"/>
        </w:trPr>
        <w:tc>
          <w:tcPr>
            <w:tcW w:w="9781" w:type="dxa"/>
            <w:shd w:val="clear" w:color="auto" w:fill="auto"/>
          </w:tcPr>
          <w:p w14:paraId="3F02225B" w14:textId="1D70FBFF" w:rsidR="009D4C8E" w:rsidRPr="00CA5664" w:rsidRDefault="0024081F" w:rsidP="00CA5664">
            <w:pPr>
              <w:pStyle w:val="ListParagraph"/>
              <w:numPr>
                <w:ilvl w:val="0"/>
                <w:numId w:val="4"/>
              </w:numPr>
              <w:spacing w:after="0" w:line="240" w:lineRule="auto"/>
              <w:ind w:left="0"/>
              <w:jc w:val="both"/>
              <w:rPr>
                <w:rFonts w:ascii="Joost" w:hAnsi="Joost" w:cs="Arial"/>
                <w:sz w:val="23"/>
                <w:szCs w:val="23"/>
                <w:lang w:val="lt-LT"/>
              </w:rPr>
            </w:pPr>
            <w:r w:rsidRPr="00CA5664">
              <w:rPr>
                <w:rFonts w:ascii="Joost" w:hAnsi="Joost" w:cs="Arial"/>
                <w:sz w:val="23"/>
                <w:szCs w:val="23"/>
                <w:lang w:val="lt-LT"/>
              </w:rPr>
              <w:t>Ar Kvalifikacijos reikalavimų 1.4. p. atitikimui galima remtis ekspertų patirtimi, įgyta teikiant paslaugas pagal sutartis/projektus, kurios/kurie dar vykdomi, bet iki pasiūlymų pateikimo termino pabaigos suteiktų ir apmokėtų paslaugų suma viršija Kvalifikacijos reikalavimuose nurodytas?</w:t>
            </w:r>
          </w:p>
        </w:tc>
      </w:tr>
      <w:tr w:rsidR="00CA5664" w:rsidRPr="00CA5664" w14:paraId="6101CE87" w14:textId="77777777" w:rsidTr="00A035F0">
        <w:trPr>
          <w:trHeight w:val="400"/>
        </w:trPr>
        <w:tc>
          <w:tcPr>
            <w:tcW w:w="9781" w:type="dxa"/>
            <w:shd w:val="clear" w:color="auto" w:fill="auto"/>
          </w:tcPr>
          <w:p w14:paraId="499E8284" w14:textId="0E31814A" w:rsidR="001C17C1" w:rsidRPr="00CA5664" w:rsidRDefault="001C17C1" w:rsidP="00CA5664">
            <w:pPr>
              <w:pStyle w:val="ListParagraph"/>
              <w:tabs>
                <w:tab w:val="left" w:pos="318"/>
              </w:tabs>
              <w:spacing w:after="0" w:line="240" w:lineRule="auto"/>
              <w:ind w:left="34"/>
              <w:jc w:val="both"/>
              <w:rPr>
                <w:rFonts w:ascii="Joost" w:hAnsi="Joost" w:cs="Calibri"/>
                <w:b/>
                <w:bCs/>
                <w:sz w:val="23"/>
                <w:szCs w:val="23"/>
                <w:lang w:val="lt-LT"/>
              </w:rPr>
            </w:pPr>
            <w:r w:rsidRPr="00CA5664">
              <w:rPr>
                <w:rFonts w:ascii="Joost" w:hAnsi="Joost" w:cs="Calibri"/>
                <w:b/>
                <w:bCs/>
                <w:sz w:val="23"/>
                <w:szCs w:val="23"/>
                <w:lang w:val="lt-LT"/>
              </w:rPr>
              <w:t>6 Atsakymas</w:t>
            </w:r>
          </w:p>
        </w:tc>
      </w:tr>
      <w:tr w:rsidR="00CA5664" w:rsidRPr="00CA5664" w14:paraId="4A40850C" w14:textId="77777777" w:rsidTr="00A035F0">
        <w:trPr>
          <w:trHeight w:val="400"/>
        </w:trPr>
        <w:tc>
          <w:tcPr>
            <w:tcW w:w="9781" w:type="dxa"/>
            <w:tcBorders>
              <w:bottom w:val="single" w:sz="4" w:space="0" w:color="auto"/>
            </w:tcBorders>
            <w:shd w:val="clear" w:color="auto" w:fill="auto"/>
          </w:tcPr>
          <w:p w14:paraId="14137A1E" w14:textId="0FDCDC17" w:rsidR="001C17C1" w:rsidRPr="00CA5664" w:rsidRDefault="0024081F" w:rsidP="00CA5664">
            <w:pPr>
              <w:jc w:val="both"/>
              <w:rPr>
                <w:rFonts w:ascii="Joost" w:eastAsia="Arial" w:hAnsi="Joost" w:cs="Arial"/>
                <w:iCs/>
                <w:sz w:val="23"/>
                <w:szCs w:val="23"/>
                <w:lang w:val="lt-LT"/>
              </w:rPr>
            </w:pPr>
            <w:r w:rsidRPr="00CA5664">
              <w:rPr>
                <w:rFonts w:ascii="Joost" w:eastAsia="Arial" w:hAnsi="Joost" w:cs="Arial"/>
                <w:iCs/>
                <w:sz w:val="23"/>
                <w:szCs w:val="23"/>
                <w:lang w:val="lt-LT"/>
              </w:rPr>
              <w:t>Taip, galima.</w:t>
            </w:r>
          </w:p>
        </w:tc>
      </w:tr>
      <w:tr w:rsidR="00CA5664" w:rsidRPr="00CA5664" w14:paraId="088A2A93" w14:textId="77777777" w:rsidTr="00A035F0">
        <w:trPr>
          <w:trHeight w:val="400"/>
        </w:trPr>
        <w:tc>
          <w:tcPr>
            <w:tcW w:w="9781" w:type="dxa"/>
            <w:shd w:val="clear" w:color="auto" w:fill="DAE9F7" w:themeFill="text2" w:themeFillTint="1A"/>
          </w:tcPr>
          <w:p w14:paraId="6B431BB0" w14:textId="388C078C" w:rsidR="001C17C1" w:rsidRPr="00CA5664" w:rsidRDefault="001C17C1" w:rsidP="00CA5664">
            <w:pPr>
              <w:jc w:val="both"/>
              <w:rPr>
                <w:rFonts w:ascii="Joost" w:eastAsiaTheme="minorHAnsi" w:hAnsi="Joost" w:cs="Arial"/>
                <w:sz w:val="23"/>
                <w:szCs w:val="23"/>
                <w:bdr w:val="none" w:sz="0" w:space="0" w:color="auto"/>
                <w:lang w:val="lt-LT"/>
                <w14:ligatures w14:val="standardContextual"/>
              </w:rPr>
            </w:pPr>
            <w:r w:rsidRPr="00CA5664">
              <w:rPr>
                <w:rFonts w:ascii="Joost" w:hAnsi="Joost" w:cs="Calibri"/>
                <w:b/>
                <w:bCs/>
                <w:sz w:val="23"/>
                <w:szCs w:val="23"/>
                <w:lang w:val="lt-LT"/>
              </w:rPr>
              <w:t xml:space="preserve">7 Klausimas </w:t>
            </w:r>
            <w:r w:rsidRPr="00CA5664">
              <w:rPr>
                <w:rFonts w:ascii="Joost" w:hAnsi="Joost" w:cs="Calibri"/>
                <w:sz w:val="23"/>
                <w:szCs w:val="23"/>
                <w:lang w:val="lt-LT"/>
              </w:rPr>
              <w:t>(klausimo tekstas netaisytas)</w:t>
            </w:r>
          </w:p>
        </w:tc>
      </w:tr>
      <w:tr w:rsidR="00CA5664" w:rsidRPr="00CA5664" w14:paraId="322D9F3A" w14:textId="77777777" w:rsidTr="00A035F0">
        <w:trPr>
          <w:trHeight w:val="400"/>
        </w:trPr>
        <w:tc>
          <w:tcPr>
            <w:tcW w:w="9781" w:type="dxa"/>
            <w:shd w:val="clear" w:color="auto" w:fill="auto"/>
          </w:tcPr>
          <w:p w14:paraId="3B43C6C7" w14:textId="6A7AC99F" w:rsidR="009D4C8E" w:rsidRPr="00CA5664" w:rsidRDefault="0024081F" w:rsidP="00CA5664">
            <w:pPr>
              <w:pBdr>
                <w:bar w:val="none" w:sz="0" w:color="auto"/>
              </w:pBdr>
              <w:jc w:val="both"/>
              <w:rPr>
                <w:rFonts w:ascii="Joost" w:hAnsi="Joost" w:cs="Arial"/>
                <w:sz w:val="23"/>
                <w:szCs w:val="23"/>
                <w:lang w:val="lt-LT"/>
              </w:rPr>
            </w:pPr>
            <w:r w:rsidRPr="00CA5664">
              <w:rPr>
                <w:rFonts w:ascii="Joost" w:hAnsi="Joost" w:cs="Arial"/>
                <w:sz w:val="23"/>
                <w:szCs w:val="23"/>
                <w:lang w:val="lt-LT"/>
              </w:rPr>
              <w:t xml:space="preserve">Ar tiekėjų pasiūlymuose pateikti paslaugų įkainiai eurais nebus lyginami tarpusavyje? </w:t>
            </w:r>
            <w:proofErr w:type="spellStart"/>
            <w:r w:rsidRPr="00CA5664">
              <w:rPr>
                <w:rFonts w:ascii="Joost" w:hAnsi="Joost" w:cs="Arial"/>
                <w:sz w:val="23"/>
                <w:szCs w:val="23"/>
                <w:lang w:val="lt-LT"/>
              </w:rPr>
              <w:t>T.y</w:t>
            </w:r>
            <w:proofErr w:type="spellEnd"/>
            <w:r w:rsidRPr="00CA5664">
              <w:rPr>
                <w:rFonts w:ascii="Joost" w:hAnsi="Joost" w:cs="Arial"/>
                <w:sz w:val="23"/>
                <w:szCs w:val="23"/>
                <w:lang w:val="lt-LT"/>
              </w:rPr>
              <w:t>. ar balai už kainos kriterijų bus skiriami tik pagal SPS priedo „Kokybės kriterijai ir jų vertinimas“ (toliau – Kokybės vertinimas) 4.2. p. Pasiūlymo kainos (A) pateiktas lenteles?</w:t>
            </w:r>
          </w:p>
        </w:tc>
      </w:tr>
      <w:tr w:rsidR="00CA5664" w:rsidRPr="00CA5664" w14:paraId="13BDFEB8" w14:textId="77777777" w:rsidTr="00A035F0">
        <w:trPr>
          <w:trHeight w:val="400"/>
        </w:trPr>
        <w:tc>
          <w:tcPr>
            <w:tcW w:w="9781" w:type="dxa"/>
            <w:shd w:val="clear" w:color="auto" w:fill="auto"/>
          </w:tcPr>
          <w:p w14:paraId="283BA88D" w14:textId="7373064D" w:rsidR="001C17C1" w:rsidRPr="00CA5664" w:rsidRDefault="001C17C1" w:rsidP="00CA5664">
            <w:pPr>
              <w:jc w:val="both"/>
              <w:rPr>
                <w:rFonts w:ascii="Joost" w:eastAsiaTheme="minorHAnsi" w:hAnsi="Joost" w:cs="Arial"/>
                <w:b/>
                <w:bCs/>
                <w:sz w:val="23"/>
                <w:szCs w:val="23"/>
                <w:bdr w:val="none" w:sz="0" w:space="0" w:color="auto"/>
                <w:lang w:val="lt-LT"/>
                <w14:ligatures w14:val="standardContextual"/>
              </w:rPr>
            </w:pPr>
            <w:r w:rsidRPr="00CA5664">
              <w:rPr>
                <w:rFonts w:ascii="Joost" w:eastAsiaTheme="minorHAnsi" w:hAnsi="Joost" w:cs="Arial"/>
                <w:b/>
                <w:bCs/>
                <w:sz w:val="23"/>
                <w:szCs w:val="23"/>
                <w:bdr w:val="none" w:sz="0" w:space="0" w:color="auto"/>
                <w:lang w:val="lt-LT"/>
                <w14:ligatures w14:val="standardContextual"/>
              </w:rPr>
              <w:t>7 Atsakymas</w:t>
            </w:r>
          </w:p>
        </w:tc>
      </w:tr>
      <w:tr w:rsidR="00CA5664" w:rsidRPr="00CA5664" w14:paraId="79B21E32" w14:textId="77777777" w:rsidTr="00A035F0">
        <w:trPr>
          <w:trHeight w:val="416"/>
        </w:trPr>
        <w:tc>
          <w:tcPr>
            <w:tcW w:w="9781" w:type="dxa"/>
            <w:tcBorders>
              <w:bottom w:val="single" w:sz="4" w:space="0" w:color="auto"/>
            </w:tcBorders>
            <w:shd w:val="clear" w:color="auto" w:fill="auto"/>
          </w:tcPr>
          <w:p w14:paraId="450F5EBC" w14:textId="0EA89438" w:rsidR="009D4C8E" w:rsidRPr="00CA5664" w:rsidRDefault="004A52DA" w:rsidP="00CA5664">
            <w:pPr>
              <w:jc w:val="both"/>
              <w:rPr>
                <w:rFonts w:ascii="Joost" w:eastAsia="Arial" w:hAnsi="Joost" w:cs="Arial"/>
                <w:iCs/>
                <w:sz w:val="23"/>
                <w:szCs w:val="23"/>
                <w:highlight w:val="yellow"/>
                <w:lang w:val="lt-LT"/>
              </w:rPr>
            </w:pPr>
            <w:r w:rsidRPr="00CA5664">
              <w:rPr>
                <w:rFonts w:ascii="Joost" w:hAnsi="Joost"/>
                <w:sz w:val="23"/>
                <w:szCs w:val="23"/>
                <w:lang w:val="lt-LT"/>
              </w:rPr>
              <w:t>B</w:t>
            </w:r>
            <w:r w:rsidRPr="00CA5664">
              <w:rPr>
                <w:rFonts w:ascii="Joost" w:hAnsi="Joost" w:cs="Arial"/>
                <w:sz w:val="23"/>
                <w:szCs w:val="23"/>
                <w:lang w:val="lt-LT"/>
              </w:rPr>
              <w:t>alai už kainos kriterijų bus skiriami pagal SPS priedo „Kokybės kriterijai ir jų vertinimas“ 4.2. p. Pasiūlymo kainos (A) pateiktas lenteles.</w:t>
            </w:r>
            <w:r w:rsidR="00F5680F" w:rsidRPr="00CA5664">
              <w:rPr>
                <w:rFonts w:ascii="Joost" w:hAnsi="Joost" w:cs="Arial"/>
                <w:sz w:val="23"/>
                <w:szCs w:val="23"/>
                <w:lang w:val="lt-LT"/>
              </w:rPr>
              <w:t xml:space="preserve"> Tiekėjų pasiūlymuose pateikti paslaugų įkainiai bus vertinami ir palyginami vadovaujantis Pirkimo dokumentų Bendrųjų sąlygų 17 skyriaus „Pasiūlymų vertinimas“ nuostatomis.</w:t>
            </w:r>
          </w:p>
        </w:tc>
      </w:tr>
      <w:tr w:rsidR="00CA5664" w:rsidRPr="00CA5664" w14:paraId="1454C79E" w14:textId="77777777" w:rsidTr="00A035F0">
        <w:trPr>
          <w:trHeight w:val="400"/>
        </w:trPr>
        <w:tc>
          <w:tcPr>
            <w:tcW w:w="9781" w:type="dxa"/>
            <w:shd w:val="clear" w:color="auto" w:fill="DAE9F7" w:themeFill="text2" w:themeFillTint="1A"/>
          </w:tcPr>
          <w:p w14:paraId="1D5D0350" w14:textId="5D0FA85B" w:rsidR="001C17C1" w:rsidRPr="00CA5664" w:rsidRDefault="001C17C1" w:rsidP="00CA5664">
            <w:pPr>
              <w:pStyle w:val="ListParagraph"/>
              <w:numPr>
                <w:ilvl w:val="0"/>
                <w:numId w:val="12"/>
              </w:numPr>
              <w:tabs>
                <w:tab w:val="left" w:pos="318"/>
              </w:tabs>
              <w:spacing w:after="0" w:line="240" w:lineRule="auto"/>
              <w:ind w:left="391" w:hanging="357"/>
              <w:jc w:val="both"/>
              <w:rPr>
                <w:rFonts w:ascii="Joost" w:hAnsi="Joost" w:cs="Calibri"/>
                <w:sz w:val="23"/>
                <w:szCs w:val="23"/>
                <w:lang w:val="lt-LT"/>
              </w:rPr>
            </w:pPr>
            <w:r w:rsidRPr="00CA5664">
              <w:rPr>
                <w:rFonts w:ascii="Joost" w:hAnsi="Joost" w:cs="Calibri"/>
                <w:b/>
                <w:bCs/>
                <w:sz w:val="23"/>
                <w:szCs w:val="23"/>
                <w:lang w:val="lt-LT"/>
              </w:rPr>
              <w:t xml:space="preserve">Klausimas </w:t>
            </w:r>
            <w:r w:rsidRPr="00CA5664">
              <w:rPr>
                <w:rFonts w:ascii="Joost" w:hAnsi="Joost" w:cs="Calibri"/>
                <w:sz w:val="23"/>
                <w:szCs w:val="23"/>
                <w:lang w:val="lt-LT"/>
              </w:rPr>
              <w:t>(klausimo tekstas netaisytas)</w:t>
            </w:r>
          </w:p>
        </w:tc>
      </w:tr>
      <w:tr w:rsidR="00CA5664" w:rsidRPr="00CA5664" w14:paraId="63F2841D" w14:textId="77777777" w:rsidTr="00A035F0">
        <w:trPr>
          <w:trHeight w:val="400"/>
        </w:trPr>
        <w:tc>
          <w:tcPr>
            <w:tcW w:w="9781" w:type="dxa"/>
            <w:shd w:val="clear" w:color="auto" w:fill="auto"/>
          </w:tcPr>
          <w:p w14:paraId="137AAAAE" w14:textId="0BE73FAF" w:rsidR="009D4C8E" w:rsidRPr="00CA5664" w:rsidRDefault="0024081F" w:rsidP="00CA5664">
            <w:pPr>
              <w:shd w:val="clear" w:color="auto" w:fill="FFFFFF"/>
              <w:jc w:val="both"/>
              <w:rPr>
                <w:rFonts w:ascii="Joost" w:eastAsia="Times New Roman" w:hAnsi="Joost" w:cs="Arial"/>
                <w:sz w:val="23"/>
                <w:szCs w:val="23"/>
                <w:lang w:val="lt-LT" w:eastAsia="lt-LT"/>
              </w:rPr>
            </w:pPr>
            <w:r w:rsidRPr="00CA5664">
              <w:rPr>
                <w:rFonts w:ascii="Joost" w:eastAsia="Times New Roman" w:hAnsi="Joost" w:cs="Arial"/>
                <w:sz w:val="23"/>
                <w:szCs w:val="23"/>
                <w:lang w:val="lt-LT" w:eastAsia="lt-LT"/>
              </w:rPr>
              <w:lastRenderedPageBreak/>
              <w:t>Ar Kokybės vertinimo 2.1. p. parametrui „tiekėjo siūlomo(-ų) specialisto(-ų) papildoma patirtis (pagal Lietuvos Respublikos teisę patvirtinti obligacijų prospektai)“ galima pateikti sutartis/projektus, kurie šiuo metu yra vykdomi?</w:t>
            </w:r>
          </w:p>
        </w:tc>
      </w:tr>
      <w:tr w:rsidR="00CA5664" w:rsidRPr="00CA5664" w14:paraId="02B493BC" w14:textId="77777777" w:rsidTr="00A035F0">
        <w:trPr>
          <w:trHeight w:val="400"/>
        </w:trPr>
        <w:tc>
          <w:tcPr>
            <w:tcW w:w="9781" w:type="dxa"/>
            <w:shd w:val="clear" w:color="auto" w:fill="auto"/>
          </w:tcPr>
          <w:p w14:paraId="69C3417F" w14:textId="4DE367B1" w:rsidR="001C17C1" w:rsidRPr="00CA5664" w:rsidRDefault="001C17C1" w:rsidP="00CA5664">
            <w:pPr>
              <w:pStyle w:val="ListParagraph"/>
              <w:tabs>
                <w:tab w:val="left" w:pos="318"/>
              </w:tabs>
              <w:spacing w:after="0" w:line="240" w:lineRule="auto"/>
              <w:ind w:left="34"/>
              <w:jc w:val="both"/>
              <w:rPr>
                <w:rFonts w:ascii="Joost" w:hAnsi="Joost" w:cs="Calibri"/>
                <w:b/>
                <w:bCs/>
                <w:sz w:val="23"/>
                <w:szCs w:val="23"/>
                <w:lang w:val="lt-LT"/>
              </w:rPr>
            </w:pPr>
            <w:r w:rsidRPr="00CA5664">
              <w:rPr>
                <w:rFonts w:ascii="Joost" w:hAnsi="Joost" w:cs="Calibri"/>
                <w:b/>
                <w:bCs/>
                <w:sz w:val="23"/>
                <w:szCs w:val="23"/>
                <w:lang w:val="lt-LT"/>
              </w:rPr>
              <w:t>8 Atsakymas</w:t>
            </w:r>
          </w:p>
        </w:tc>
      </w:tr>
      <w:tr w:rsidR="00CA5664" w:rsidRPr="00CA5664" w14:paraId="1D462047" w14:textId="77777777" w:rsidTr="00A035F0">
        <w:trPr>
          <w:trHeight w:val="400"/>
        </w:trPr>
        <w:tc>
          <w:tcPr>
            <w:tcW w:w="9781" w:type="dxa"/>
            <w:tcBorders>
              <w:bottom w:val="single" w:sz="4" w:space="0" w:color="auto"/>
            </w:tcBorders>
            <w:shd w:val="clear" w:color="auto" w:fill="auto"/>
          </w:tcPr>
          <w:p w14:paraId="3A6DB1AE" w14:textId="0221D125" w:rsidR="001C17C1" w:rsidRPr="00CA5664" w:rsidRDefault="0024081F" w:rsidP="00CA5664">
            <w:pPr>
              <w:jc w:val="both"/>
              <w:rPr>
                <w:rFonts w:ascii="Joost" w:eastAsia="Arial" w:hAnsi="Joost" w:cs="Arial"/>
                <w:iCs/>
                <w:sz w:val="23"/>
                <w:szCs w:val="23"/>
                <w:lang w:val="lt-LT"/>
              </w:rPr>
            </w:pPr>
            <w:r w:rsidRPr="00CA5664">
              <w:rPr>
                <w:rFonts w:ascii="Joost" w:hAnsi="Joost"/>
                <w:sz w:val="23"/>
                <w:szCs w:val="23"/>
                <w:lang w:val="lt-LT"/>
              </w:rPr>
              <w:t>Projektai gali būti vykdomi/tęsiami, tačiau obligacijų prospektas</w:t>
            </w:r>
            <w:r w:rsidR="00F5680F" w:rsidRPr="00CA5664">
              <w:rPr>
                <w:rFonts w:ascii="Joost" w:hAnsi="Joost"/>
                <w:sz w:val="23"/>
                <w:szCs w:val="23"/>
                <w:lang w:val="lt-LT"/>
              </w:rPr>
              <w:t xml:space="preserve"> (-ai) </w:t>
            </w:r>
            <w:r w:rsidRPr="00CA5664">
              <w:rPr>
                <w:rFonts w:ascii="Joost" w:hAnsi="Joost"/>
                <w:sz w:val="23"/>
                <w:szCs w:val="23"/>
                <w:lang w:val="lt-LT"/>
              </w:rPr>
              <w:t>turi būti jau patvirtintas</w:t>
            </w:r>
            <w:r w:rsidR="00F5680F" w:rsidRPr="00CA5664">
              <w:rPr>
                <w:rFonts w:ascii="Joost" w:hAnsi="Joost"/>
                <w:sz w:val="23"/>
                <w:szCs w:val="23"/>
                <w:lang w:val="lt-LT"/>
              </w:rPr>
              <w:t>(-i)</w:t>
            </w:r>
            <w:r w:rsidRPr="00CA5664">
              <w:rPr>
                <w:rFonts w:ascii="Joost" w:hAnsi="Joost"/>
                <w:sz w:val="23"/>
                <w:szCs w:val="23"/>
                <w:lang w:val="lt-LT"/>
              </w:rPr>
              <w:t xml:space="preserve"> ir paskelbtas</w:t>
            </w:r>
            <w:r w:rsidR="00F5680F" w:rsidRPr="00CA5664">
              <w:rPr>
                <w:rFonts w:ascii="Joost" w:hAnsi="Joost"/>
                <w:sz w:val="23"/>
                <w:szCs w:val="23"/>
                <w:lang w:val="lt-LT"/>
              </w:rPr>
              <w:t xml:space="preserve"> (-i)</w:t>
            </w:r>
            <w:r w:rsidRPr="00CA5664">
              <w:rPr>
                <w:rFonts w:ascii="Joost" w:hAnsi="Joost"/>
                <w:sz w:val="23"/>
                <w:szCs w:val="23"/>
                <w:lang w:val="lt-LT"/>
              </w:rPr>
              <w:t>.</w:t>
            </w:r>
          </w:p>
        </w:tc>
      </w:tr>
      <w:tr w:rsidR="00CA5664" w:rsidRPr="00CA5664" w14:paraId="280164E1" w14:textId="77777777" w:rsidTr="00A035F0">
        <w:trPr>
          <w:trHeight w:val="400"/>
        </w:trPr>
        <w:tc>
          <w:tcPr>
            <w:tcW w:w="9781" w:type="dxa"/>
            <w:shd w:val="clear" w:color="auto" w:fill="DAE9F7" w:themeFill="text2" w:themeFillTint="1A"/>
          </w:tcPr>
          <w:p w14:paraId="64944AAB" w14:textId="5D11A962" w:rsidR="001C17C1" w:rsidRPr="00CA5664" w:rsidRDefault="001C17C1" w:rsidP="00CA5664">
            <w:pPr>
              <w:pStyle w:val="ListParagraph"/>
              <w:numPr>
                <w:ilvl w:val="0"/>
                <w:numId w:val="12"/>
              </w:numPr>
              <w:tabs>
                <w:tab w:val="left" w:pos="318"/>
              </w:tabs>
              <w:spacing w:after="0" w:line="240" w:lineRule="auto"/>
              <w:ind w:left="391" w:hanging="357"/>
              <w:jc w:val="both"/>
              <w:rPr>
                <w:rFonts w:ascii="Joost" w:hAnsi="Joost" w:cs="Calibri"/>
                <w:sz w:val="23"/>
                <w:szCs w:val="23"/>
                <w:lang w:val="lt-LT"/>
              </w:rPr>
            </w:pPr>
            <w:r w:rsidRPr="00CA5664">
              <w:rPr>
                <w:rFonts w:ascii="Joost" w:hAnsi="Joost" w:cs="Calibri"/>
                <w:b/>
                <w:bCs/>
                <w:sz w:val="23"/>
                <w:szCs w:val="23"/>
                <w:lang w:val="lt-LT"/>
              </w:rPr>
              <w:t xml:space="preserve">Klausimas </w:t>
            </w:r>
            <w:r w:rsidRPr="00CA5664">
              <w:rPr>
                <w:rFonts w:ascii="Joost" w:hAnsi="Joost" w:cs="Calibri"/>
                <w:sz w:val="23"/>
                <w:szCs w:val="23"/>
                <w:lang w:val="lt-LT"/>
              </w:rPr>
              <w:t>(klausimo tekstas netaisytas)</w:t>
            </w:r>
          </w:p>
        </w:tc>
      </w:tr>
      <w:tr w:rsidR="00CA5664" w:rsidRPr="00CA5664" w14:paraId="7489F589" w14:textId="77777777" w:rsidTr="00A035F0">
        <w:trPr>
          <w:trHeight w:val="400"/>
        </w:trPr>
        <w:tc>
          <w:tcPr>
            <w:tcW w:w="9781" w:type="dxa"/>
            <w:shd w:val="clear" w:color="auto" w:fill="auto"/>
          </w:tcPr>
          <w:p w14:paraId="4D7AA147" w14:textId="303AF102" w:rsidR="009D4C8E" w:rsidRPr="00CA5664" w:rsidRDefault="0024081F" w:rsidP="00CA5664">
            <w:pPr>
              <w:jc w:val="both"/>
              <w:rPr>
                <w:rFonts w:ascii="Joost" w:hAnsi="Joost" w:cs="Arial"/>
                <w:sz w:val="23"/>
                <w:szCs w:val="23"/>
                <w:lang w:val="lt-LT"/>
              </w:rPr>
            </w:pPr>
            <w:r w:rsidRPr="00CA5664">
              <w:rPr>
                <w:rFonts w:ascii="Joost" w:hAnsi="Joost" w:cs="Arial"/>
                <w:sz w:val="23"/>
                <w:szCs w:val="23"/>
                <w:lang w:val="lt-LT"/>
              </w:rPr>
              <w:t>Kokybės vertinimo 4.4. parametro aprašymuose nurodyta, kad „tos pačios srities bet skirtingų specialistų patirtis sumuojama“. Kokybės vertinimo 8 p. nurodyta, kad „tiekėjui pasiūlius daugiau kaip vieną specialistą vienai ar kelioms iš nurodytų specialistų pozicijų, Perkančioji organizacija vertins ir balus skirs tik už vieną geriausią patirtį turintį specialistą“. Prašome patikslinti, ar Kokybės vertinimo 4.4. parametro specialisto papildomos patirties (per pastaruosius 3 metus) vertinimui galima siūlyti kelis specialistus (kurie atitinka Kvalifikacijos reikalavimus), kurie per paskutinius 3 (tris) metus iki pasiūlymų pateikimo termino dienos pagal teisinių paslaugų teikimo sutartis/projektus teikė arba teikia teisines paslaugas nurodytose vertinamose srityse?</w:t>
            </w:r>
          </w:p>
        </w:tc>
      </w:tr>
      <w:tr w:rsidR="00CA5664" w:rsidRPr="00CA5664" w14:paraId="125DCFA8" w14:textId="77777777" w:rsidTr="00A035F0">
        <w:trPr>
          <w:trHeight w:val="400"/>
        </w:trPr>
        <w:tc>
          <w:tcPr>
            <w:tcW w:w="9781" w:type="dxa"/>
            <w:shd w:val="clear" w:color="auto" w:fill="auto"/>
          </w:tcPr>
          <w:p w14:paraId="6B9D7351" w14:textId="626A359C" w:rsidR="001C17C1" w:rsidRPr="00CA5664" w:rsidRDefault="001C17C1" w:rsidP="00CA5664">
            <w:pPr>
              <w:pStyle w:val="ListParagraph"/>
              <w:tabs>
                <w:tab w:val="left" w:pos="318"/>
              </w:tabs>
              <w:spacing w:after="0" w:line="240" w:lineRule="auto"/>
              <w:ind w:left="34"/>
              <w:jc w:val="both"/>
              <w:rPr>
                <w:rFonts w:ascii="Joost" w:hAnsi="Joost" w:cs="Calibri"/>
                <w:b/>
                <w:bCs/>
                <w:sz w:val="23"/>
                <w:szCs w:val="23"/>
                <w:lang w:val="lt-LT"/>
              </w:rPr>
            </w:pPr>
            <w:r w:rsidRPr="00CA5664">
              <w:rPr>
                <w:rFonts w:ascii="Joost" w:hAnsi="Joost" w:cs="Calibri"/>
                <w:b/>
                <w:bCs/>
                <w:sz w:val="23"/>
                <w:szCs w:val="23"/>
                <w:lang w:val="lt-LT"/>
              </w:rPr>
              <w:t>9 Atsakymas</w:t>
            </w:r>
          </w:p>
        </w:tc>
      </w:tr>
      <w:tr w:rsidR="00CA5664" w:rsidRPr="00CA5664" w14:paraId="4E6358CF" w14:textId="77777777" w:rsidTr="00A035F0">
        <w:trPr>
          <w:trHeight w:val="400"/>
        </w:trPr>
        <w:tc>
          <w:tcPr>
            <w:tcW w:w="9781" w:type="dxa"/>
            <w:tcBorders>
              <w:bottom w:val="single" w:sz="4" w:space="0" w:color="auto"/>
            </w:tcBorders>
            <w:shd w:val="clear" w:color="auto" w:fill="auto"/>
          </w:tcPr>
          <w:p w14:paraId="56D8989B" w14:textId="1ECD99B8" w:rsidR="001C17C1" w:rsidRPr="00CA5664" w:rsidRDefault="0024081F" w:rsidP="00CA5664">
            <w:pPr>
              <w:jc w:val="both"/>
              <w:rPr>
                <w:rFonts w:ascii="Joost" w:hAnsi="Joost" w:cs="Arial"/>
                <w:iCs/>
                <w:sz w:val="23"/>
                <w:szCs w:val="23"/>
                <w:lang w:val="lt-LT"/>
              </w:rPr>
            </w:pPr>
            <w:r w:rsidRPr="00CA5664">
              <w:rPr>
                <w:rFonts w:ascii="Joost" w:hAnsi="Joost"/>
                <w:sz w:val="23"/>
                <w:szCs w:val="23"/>
                <w:lang w:val="lt-LT"/>
              </w:rPr>
              <w:t xml:space="preserve">Galima siūlyti kelis specialistus.  Jei visi specialistai dirbo prie tų pačių projektų, bus vertinamas tik vienas geriausias specialistas. Atkreipiame dėmesį, kad balai skiriami tik už per paskutinius </w:t>
            </w:r>
            <w:r w:rsidR="00F5680F" w:rsidRPr="00CA5664">
              <w:rPr>
                <w:rFonts w:ascii="Joost" w:hAnsi="Joost"/>
                <w:sz w:val="23"/>
                <w:szCs w:val="23"/>
                <w:lang w:val="lt-LT"/>
              </w:rPr>
              <w:t>2 (</w:t>
            </w:r>
            <w:r w:rsidRPr="00CA5664">
              <w:rPr>
                <w:rFonts w:ascii="Joost" w:hAnsi="Joost"/>
                <w:sz w:val="23"/>
                <w:szCs w:val="23"/>
                <w:lang w:val="lt-LT"/>
              </w:rPr>
              <w:t>du</w:t>
            </w:r>
            <w:r w:rsidR="00F5680F" w:rsidRPr="00CA5664">
              <w:rPr>
                <w:rFonts w:ascii="Joost" w:hAnsi="Joost"/>
                <w:sz w:val="23"/>
                <w:szCs w:val="23"/>
                <w:lang w:val="lt-LT"/>
              </w:rPr>
              <w:t>)</w:t>
            </w:r>
            <w:r w:rsidRPr="00CA5664">
              <w:rPr>
                <w:rFonts w:ascii="Joost" w:hAnsi="Joost"/>
                <w:sz w:val="23"/>
                <w:szCs w:val="23"/>
                <w:lang w:val="lt-LT"/>
              </w:rPr>
              <w:t xml:space="preserve"> metus patvirtintus prospektus, prie kurių dirbo atitinkami specialistai.</w:t>
            </w:r>
          </w:p>
        </w:tc>
      </w:tr>
      <w:tr w:rsidR="00CA5664" w:rsidRPr="00CA5664" w14:paraId="66BC2391" w14:textId="77777777" w:rsidTr="00A035F0">
        <w:trPr>
          <w:trHeight w:val="400"/>
        </w:trPr>
        <w:tc>
          <w:tcPr>
            <w:tcW w:w="9781" w:type="dxa"/>
            <w:shd w:val="clear" w:color="auto" w:fill="DAE9F7" w:themeFill="text2" w:themeFillTint="1A"/>
          </w:tcPr>
          <w:p w14:paraId="77B7F197" w14:textId="505410ED" w:rsidR="001C17C1" w:rsidRPr="00CA5664" w:rsidRDefault="001C17C1" w:rsidP="00CA5664">
            <w:pPr>
              <w:pStyle w:val="ListParagraph"/>
              <w:numPr>
                <w:ilvl w:val="0"/>
                <w:numId w:val="12"/>
              </w:numPr>
              <w:spacing w:after="0" w:line="240" w:lineRule="auto"/>
              <w:ind w:left="391" w:hanging="357"/>
              <w:jc w:val="both"/>
              <w:rPr>
                <w:rFonts w:ascii="Joost" w:eastAsia="Arial" w:hAnsi="Joost" w:cs="Arial"/>
                <w:i/>
                <w:sz w:val="23"/>
                <w:szCs w:val="23"/>
                <w:lang w:val="lt-LT"/>
              </w:rPr>
            </w:pPr>
            <w:r w:rsidRPr="00CA5664">
              <w:rPr>
                <w:rFonts w:ascii="Joost" w:hAnsi="Joost" w:cs="Calibri"/>
                <w:b/>
                <w:bCs/>
                <w:sz w:val="23"/>
                <w:szCs w:val="23"/>
                <w:lang w:val="lt-LT"/>
              </w:rPr>
              <w:t xml:space="preserve">Klausimas </w:t>
            </w:r>
            <w:r w:rsidRPr="00CA5664">
              <w:rPr>
                <w:rFonts w:ascii="Joost" w:hAnsi="Joost" w:cs="Calibri"/>
                <w:sz w:val="23"/>
                <w:szCs w:val="23"/>
                <w:lang w:val="lt-LT"/>
              </w:rPr>
              <w:t>(klausimo tekstas netaisytas)</w:t>
            </w:r>
          </w:p>
        </w:tc>
      </w:tr>
      <w:tr w:rsidR="00CA5664" w:rsidRPr="00CA5664" w14:paraId="4AF939A4" w14:textId="77777777" w:rsidTr="00A035F0">
        <w:trPr>
          <w:trHeight w:val="400"/>
        </w:trPr>
        <w:tc>
          <w:tcPr>
            <w:tcW w:w="9781" w:type="dxa"/>
            <w:shd w:val="clear" w:color="auto" w:fill="auto"/>
          </w:tcPr>
          <w:p w14:paraId="37E79984" w14:textId="28FD3322" w:rsidR="009D4C8E" w:rsidRPr="00CA5664" w:rsidRDefault="0024081F" w:rsidP="00CA5664">
            <w:pPr>
              <w:jc w:val="both"/>
              <w:rPr>
                <w:rFonts w:ascii="Joost" w:hAnsi="Joost" w:cs="Arial"/>
                <w:sz w:val="23"/>
                <w:szCs w:val="23"/>
                <w:lang w:val="lt-LT"/>
              </w:rPr>
            </w:pPr>
            <w:r w:rsidRPr="00CA5664">
              <w:rPr>
                <w:rFonts w:ascii="Joost" w:hAnsi="Joost" w:cs="Arial"/>
                <w:sz w:val="23"/>
                <w:szCs w:val="23"/>
                <w:lang w:val="lt-LT"/>
              </w:rPr>
              <w:t>Prašome patikslinti, jei tiekėjas veiklą vykdo nuomojamose patalpose (pagal sutartį su nuomotoju), ar gali tokiu atveju tiekėjas pateikti nuomotojo vardu išduotą elektros energijos tiekėjo (su kuriuo nuomotojas yra sudaręs elektros energijos tiekimo sutartį) sertifikatą apie žaliosios energijos naudojimą?</w:t>
            </w:r>
          </w:p>
        </w:tc>
      </w:tr>
      <w:tr w:rsidR="00CA5664" w:rsidRPr="00CA5664" w14:paraId="67DD291B" w14:textId="77777777" w:rsidTr="00A035F0">
        <w:trPr>
          <w:trHeight w:val="400"/>
        </w:trPr>
        <w:tc>
          <w:tcPr>
            <w:tcW w:w="9781" w:type="dxa"/>
            <w:shd w:val="clear" w:color="auto" w:fill="auto"/>
          </w:tcPr>
          <w:p w14:paraId="56251681" w14:textId="4D202A4B" w:rsidR="001C17C1" w:rsidRPr="00CA5664" w:rsidRDefault="001C17C1" w:rsidP="00CA5664">
            <w:pPr>
              <w:pStyle w:val="ListParagraph"/>
              <w:tabs>
                <w:tab w:val="left" w:pos="318"/>
              </w:tabs>
              <w:spacing w:after="0" w:line="240" w:lineRule="auto"/>
              <w:ind w:left="34"/>
              <w:jc w:val="both"/>
              <w:rPr>
                <w:rFonts w:ascii="Joost" w:hAnsi="Joost" w:cs="Calibri"/>
                <w:b/>
                <w:bCs/>
                <w:sz w:val="23"/>
                <w:szCs w:val="23"/>
                <w:lang w:val="lt-LT"/>
              </w:rPr>
            </w:pPr>
            <w:r w:rsidRPr="00CA5664">
              <w:rPr>
                <w:rFonts w:ascii="Joost" w:hAnsi="Joost" w:cs="Calibri"/>
                <w:b/>
                <w:bCs/>
                <w:sz w:val="23"/>
                <w:szCs w:val="23"/>
                <w:lang w:val="lt-LT"/>
              </w:rPr>
              <w:t>10 Atsakymas</w:t>
            </w:r>
          </w:p>
        </w:tc>
      </w:tr>
      <w:tr w:rsidR="00CA5664" w:rsidRPr="00CA5664" w14:paraId="7B94D84D" w14:textId="77777777" w:rsidTr="00A035F0">
        <w:trPr>
          <w:trHeight w:val="400"/>
        </w:trPr>
        <w:tc>
          <w:tcPr>
            <w:tcW w:w="9781" w:type="dxa"/>
            <w:tcBorders>
              <w:bottom w:val="single" w:sz="4" w:space="0" w:color="auto"/>
            </w:tcBorders>
            <w:shd w:val="clear" w:color="auto" w:fill="auto"/>
          </w:tcPr>
          <w:p w14:paraId="3F7160A1" w14:textId="4EF020A3" w:rsidR="001C17C1" w:rsidRPr="00CA5664" w:rsidRDefault="0024081F" w:rsidP="00CA5664">
            <w:pPr>
              <w:pStyle w:val="ListParagraph"/>
              <w:tabs>
                <w:tab w:val="left" w:pos="318"/>
              </w:tabs>
              <w:spacing w:after="0" w:line="240" w:lineRule="auto"/>
              <w:ind w:left="34"/>
              <w:jc w:val="both"/>
              <w:rPr>
                <w:rFonts w:ascii="Joost" w:eastAsia="Arial Unicode MS" w:hAnsi="Joost" w:cs="Arial"/>
                <w:sz w:val="23"/>
                <w:szCs w:val="23"/>
                <w:bdr w:val="nil"/>
                <w:lang w:val="lt-LT"/>
                <w14:ligatures w14:val="none"/>
              </w:rPr>
            </w:pPr>
            <w:r w:rsidRPr="00CA5664">
              <w:rPr>
                <w:rFonts w:ascii="Joost" w:eastAsia="Arial Unicode MS" w:hAnsi="Joost" w:cs="Arial"/>
                <w:sz w:val="23"/>
                <w:szCs w:val="23"/>
                <w:bdr w:val="nil"/>
                <w:lang w:val="lt-LT"/>
                <w14:ligatures w14:val="none"/>
              </w:rPr>
              <w:t>Taip, galima.</w:t>
            </w:r>
          </w:p>
        </w:tc>
      </w:tr>
      <w:tr w:rsidR="00CA5664" w:rsidRPr="00CA5664" w14:paraId="14D989A4" w14:textId="77777777" w:rsidTr="00A035F0">
        <w:trPr>
          <w:trHeight w:val="400"/>
        </w:trPr>
        <w:tc>
          <w:tcPr>
            <w:tcW w:w="9781" w:type="dxa"/>
            <w:shd w:val="clear" w:color="auto" w:fill="DAE9F7" w:themeFill="text2" w:themeFillTint="1A"/>
          </w:tcPr>
          <w:p w14:paraId="2A22D1DB" w14:textId="5047F5FF" w:rsidR="001C17C1" w:rsidRPr="00CA5664" w:rsidRDefault="001C17C1" w:rsidP="00CA5664">
            <w:pPr>
              <w:pStyle w:val="ListParagraph"/>
              <w:numPr>
                <w:ilvl w:val="0"/>
                <w:numId w:val="12"/>
              </w:numPr>
              <w:tabs>
                <w:tab w:val="left" w:pos="318"/>
              </w:tabs>
              <w:spacing w:after="0" w:line="240" w:lineRule="auto"/>
              <w:ind w:left="391" w:hanging="357"/>
              <w:jc w:val="both"/>
              <w:rPr>
                <w:rFonts w:ascii="Joost" w:hAnsi="Joost" w:cs="Calibri"/>
                <w:b/>
                <w:bCs/>
                <w:sz w:val="23"/>
                <w:szCs w:val="23"/>
                <w:lang w:val="lt-LT"/>
              </w:rPr>
            </w:pPr>
            <w:r w:rsidRPr="00CA5664">
              <w:rPr>
                <w:rFonts w:ascii="Joost" w:hAnsi="Joost" w:cs="Calibri"/>
                <w:b/>
                <w:bCs/>
                <w:sz w:val="23"/>
                <w:szCs w:val="23"/>
                <w:lang w:val="lt-LT"/>
              </w:rPr>
              <w:t xml:space="preserve"> Klausimas </w:t>
            </w:r>
            <w:r w:rsidRPr="00CA5664">
              <w:rPr>
                <w:rFonts w:ascii="Joost" w:hAnsi="Joost" w:cs="Calibri"/>
                <w:sz w:val="23"/>
                <w:szCs w:val="23"/>
                <w:lang w:val="lt-LT"/>
              </w:rPr>
              <w:t>(klausimo tekstas netaisytas)</w:t>
            </w:r>
          </w:p>
        </w:tc>
      </w:tr>
      <w:tr w:rsidR="00CA5664" w:rsidRPr="00CA5664" w14:paraId="5D95AF73" w14:textId="77777777" w:rsidTr="00A035F0">
        <w:trPr>
          <w:trHeight w:val="400"/>
        </w:trPr>
        <w:tc>
          <w:tcPr>
            <w:tcW w:w="9781" w:type="dxa"/>
            <w:shd w:val="clear" w:color="auto" w:fill="auto"/>
          </w:tcPr>
          <w:p w14:paraId="2A7ECD46" w14:textId="34E1933D" w:rsidR="009D4C8E" w:rsidRPr="00CA5664" w:rsidRDefault="004A52DA" w:rsidP="00CA5664">
            <w:pPr>
              <w:jc w:val="both"/>
              <w:rPr>
                <w:rFonts w:ascii="Joost" w:hAnsi="Joost" w:cs="Arial"/>
                <w:sz w:val="23"/>
                <w:szCs w:val="23"/>
                <w:lang w:val="lt-LT"/>
              </w:rPr>
            </w:pPr>
            <w:r w:rsidRPr="00CA5664">
              <w:rPr>
                <w:rFonts w:ascii="Joost" w:hAnsi="Joost" w:cs="Arial"/>
                <w:sz w:val="23"/>
                <w:szCs w:val="23"/>
                <w:lang w:val="lt-LT"/>
              </w:rPr>
              <w:t>P</w:t>
            </w:r>
            <w:r w:rsidR="0024081F" w:rsidRPr="00CA5664">
              <w:rPr>
                <w:rFonts w:ascii="Joost" w:hAnsi="Joost" w:cs="Arial"/>
                <w:sz w:val="23"/>
                <w:szCs w:val="23"/>
                <w:lang w:val="lt-LT"/>
              </w:rPr>
              <w:t>rašytume patikslinti, ar tikrai pasiūlymų pateikimo terminas yra 2025 m. kovo 30 dieną, t. .y. sekmadienį?</w:t>
            </w:r>
          </w:p>
        </w:tc>
      </w:tr>
      <w:tr w:rsidR="00CA5664" w:rsidRPr="00CA5664" w14:paraId="7B39D7F0" w14:textId="77777777" w:rsidTr="00A035F0">
        <w:trPr>
          <w:trHeight w:val="400"/>
        </w:trPr>
        <w:tc>
          <w:tcPr>
            <w:tcW w:w="9781" w:type="dxa"/>
            <w:shd w:val="clear" w:color="auto" w:fill="auto"/>
          </w:tcPr>
          <w:p w14:paraId="5278B162" w14:textId="72FE4027" w:rsidR="001C17C1" w:rsidRPr="00CA5664" w:rsidRDefault="001C17C1" w:rsidP="00CA5664">
            <w:pPr>
              <w:pStyle w:val="ListParagraph"/>
              <w:tabs>
                <w:tab w:val="left" w:pos="318"/>
              </w:tabs>
              <w:spacing w:after="0" w:line="240" w:lineRule="auto"/>
              <w:ind w:left="34"/>
              <w:jc w:val="both"/>
              <w:rPr>
                <w:rFonts w:ascii="Joost" w:hAnsi="Joost" w:cs="Calibri"/>
                <w:b/>
                <w:bCs/>
                <w:sz w:val="23"/>
                <w:szCs w:val="23"/>
                <w:lang w:val="lt-LT"/>
              </w:rPr>
            </w:pPr>
            <w:r w:rsidRPr="00CA5664">
              <w:rPr>
                <w:rFonts w:ascii="Joost" w:hAnsi="Joost" w:cs="Calibri"/>
                <w:b/>
                <w:bCs/>
                <w:sz w:val="23"/>
                <w:szCs w:val="23"/>
                <w:lang w:val="lt-LT"/>
              </w:rPr>
              <w:t>11 Atsakymas</w:t>
            </w:r>
          </w:p>
        </w:tc>
      </w:tr>
      <w:tr w:rsidR="001C17C1" w:rsidRPr="00CA5664" w14:paraId="32FEF62A" w14:textId="77777777" w:rsidTr="00A035F0">
        <w:trPr>
          <w:trHeight w:val="400"/>
        </w:trPr>
        <w:tc>
          <w:tcPr>
            <w:tcW w:w="9781" w:type="dxa"/>
            <w:shd w:val="clear" w:color="auto" w:fill="auto"/>
          </w:tcPr>
          <w:p w14:paraId="71E32B3F" w14:textId="54459D47" w:rsidR="001C17C1" w:rsidRPr="00CA5664" w:rsidRDefault="00A5719B" w:rsidP="00CA5664">
            <w:pPr>
              <w:pStyle w:val="ListParagraph"/>
              <w:tabs>
                <w:tab w:val="left" w:pos="318"/>
              </w:tabs>
              <w:spacing w:after="0" w:line="240" w:lineRule="auto"/>
              <w:ind w:left="34"/>
              <w:jc w:val="both"/>
              <w:rPr>
                <w:rFonts w:ascii="Joost" w:hAnsi="Joost" w:cstheme="minorHAnsi"/>
                <w:sz w:val="23"/>
                <w:szCs w:val="23"/>
                <w:lang w:val="lt-LT"/>
              </w:rPr>
            </w:pPr>
            <w:r w:rsidRPr="00CA5664">
              <w:rPr>
                <w:rFonts w:ascii="Joost" w:hAnsi="Joost" w:cstheme="minorHAnsi"/>
                <w:sz w:val="23"/>
                <w:szCs w:val="23"/>
                <w:lang w:val="lt-LT"/>
              </w:rPr>
              <w:t>Dėkojame už Jūsų pastebėjimą. I</w:t>
            </w:r>
            <w:r w:rsidR="004A52DA" w:rsidRPr="00CA5664">
              <w:rPr>
                <w:rFonts w:ascii="Joost" w:eastAsia="Arial Unicode MS" w:hAnsi="Joost" w:cs="Arial"/>
                <w:iCs/>
                <w:sz w:val="23"/>
                <w:szCs w:val="23"/>
                <w:bdr w:val="nil"/>
                <w:lang w:val="lt-LT"/>
                <w14:ligatures w14:val="none"/>
              </w:rPr>
              <w:t xml:space="preserve">nformuojame, kad nurodytas pasiūlymų pateikimo terminas yra korektūros klaida.  Teisingas pasiūlymų pateikimo terminas – </w:t>
            </w:r>
            <w:r w:rsidR="004A52DA" w:rsidRPr="00CA5664">
              <w:rPr>
                <w:rFonts w:ascii="Joost" w:eastAsia="Arial Unicode MS" w:hAnsi="Joost" w:cs="Arial"/>
                <w:b/>
                <w:bCs/>
                <w:iCs/>
                <w:sz w:val="23"/>
                <w:szCs w:val="23"/>
                <w:bdr w:val="nil"/>
                <w:lang w:val="lt-LT"/>
                <w14:ligatures w14:val="none"/>
              </w:rPr>
              <w:t xml:space="preserve">2025 m. </w:t>
            </w:r>
            <w:r w:rsidR="00934B43" w:rsidRPr="00CA5664">
              <w:rPr>
                <w:rFonts w:ascii="Joost" w:eastAsia="Arial Unicode MS" w:hAnsi="Joost" w:cs="Arial"/>
                <w:b/>
                <w:bCs/>
                <w:iCs/>
                <w:sz w:val="23"/>
                <w:szCs w:val="23"/>
                <w:bdr w:val="nil"/>
                <w:lang w:val="lt-LT"/>
                <w14:ligatures w14:val="none"/>
              </w:rPr>
              <w:t xml:space="preserve">kovo </w:t>
            </w:r>
            <w:r w:rsidR="004A52DA" w:rsidRPr="00CA5664">
              <w:rPr>
                <w:rFonts w:ascii="Joost" w:eastAsia="Arial Unicode MS" w:hAnsi="Joost" w:cs="Arial"/>
                <w:b/>
                <w:bCs/>
                <w:iCs/>
                <w:sz w:val="23"/>
                <w:szCs w:val="23"/>
                <w:bdr w:val="nil"/>
                <w:lang w:val="lt-LT"/>
                <w14:ligatures w14:val="none"/>
              </w:rPr>
              <w:t>31 d. 9:00 val.</w:t>
            </w:r>
          </w:p>
        </w:tc>
      </w:tr>
    </w:tbl>
    <w:p w14:paraId="2C081A81" w14:textId="77777777" w:rsidR="004724B7" w:rsidRPr="00CA5664" w:rsidRDefault="004724B7" w:rsidP="00CA5664">
      <w:pPr>
        <w:tabs>
          <w:tab w:val="left" w:pos="1605"/>
        </w:tabs>
        <w:jc w:val="both"/>
        <w:rPr>
          <w:rFonts w:ascii="Joost" w:hAnsi="Joost" w:cs="Calibri"/>
          <w:sz w:val="23"/>
          <w:szCs w:val="23"/>
        </w:rPr>
      </w:pPr>
    </w:p>
    <w:p w14:paraId="5A5FD8F0" w14:textId="324C350C" w:rsidR="004869D6" w:rsidRPr="00CA5664" w:rsidRDefault="004869D6" w:rsidP="00CA5664">
      <w:pPr>
        <w:ind w:firstLine="567"/>
        <w:jc w:val="both"/>
        <w:rPr>
          <w:rFonts w:ascii="Joost" w:hAnsi="Joost" w:cs="Calibri"/>
          <w:sz w:val="23"/>
          <w:szCs w:val="23"/>
        </w:rPr>
      </w:pPr>
      <w:r w:rsidRPr="00CA5664">
        <w:rPr>
          <w:rFonts w:ascii="Joost" w:hAnsi="Joost" w:cs="Calibri"/>
          <w:b/>
          <w:bCs/>
          <w:sz w:val="23"/>
          <w:szCs w:val="23"/>
        </w:rPr>
        <w:t>Informuojame, kad Komisija, vadovaujantis VPĮ 40 str. 4 d. ir 5 d. ir Bendrųjų pirkimo sąlygų 5.3 p., nukelia pasiūlym</w:t>
      </w:r>
      <w:r w:rsidR="00E0067E">
        <w:rPr>
          <w:rFonts w:ascii="Joost" w:hAnsi="Joost" w:cs="Calibri"/>
          <w:b/>
          <w:bCs/>
          <w:sz w:val="23"/>
          <w:szCs w:val="23"/>
        </w:rPr>
        <w:t>ų</w:t>
      </w:r>
      <w:r w:rsidRPr="00CA5664">
        <w:rPr>
          <w:rFonts w:ascii="Joost" w:hAnsi="Joost" w:cs="Calibri"/>
          <w:b/>
          <w:bCs/>
          <w:sz w:val="23"/>
          <w:szCs w:val="23"/>
        </w:rPr>
        <w:t xml:space="preserve"> pateikimo terminą iš 2025-0</w:t>
      </w:r>
      <w:r w:rsidR="00934B43" w:rsidRPr="00CA5664">
        <w:rPr>
          <w:rFonts w:ascii="Joost" w:hAnsi="Joost" w:cs="Calibri"/>
          <w:b/>
          <w:bCs/>
          <w:sz w:val="23"/>
          <w:szCs w:val="23"/>
        </w:rPr>
        <w:t>3</w:t>
      </w:r>
      <w:r w:rsidRPr="00CA5664">
        <w:rPr>
          <w:rFonts w:ascii="Joost" w:hAnsi="Joost" w:cs="Calibri"/>
          <w:b/>
          <w:bCs/>
          <w:sz w:val="23"/>
          <w:szCs w:val="23"/>
        </w:rPr>
        <w:t>-</w:t>
      </w:r>
      <w:r w:rsidR="00934B43" w:rsidRPr="00CA5664">
        <w:rPr>
          <w:rFonts w:ascii="Joost" w:hAnsi="Joost" w:cs="Calibri"/>
          <w:b/>
          <w:bCs/>
          <w:sz w:val="23"/>
          <w:szCs w:val="23"/>
        </w:rPr>
        <w:t>30</w:t>
      </w:r>
      <w:r w:rsidRPr="00CA5664">
        <w:rPr>
          <w:rFonts w:ascii="Joost" w:hAnsi="Joost" w:cs="Calibri"/>
          <w:b/>
          <w:bCs/>
          <w:sz w:val="23"/>
          <w:szCs w:val="23"/>
        </w:rPr>
        <w:t xml:space="preserve"> 9:00 val. į 2025-</w:t>
      </w:r>
      <w:r w:rsidR="00934B43" w:rsidRPr="00CA5664">
        <w:rPr>
          <w:rFonts w:ascii="Joost" w:hAnsi="Joost" w:cs="Calibri"/>
          <w:b/>
          <w:bCs/>
          <w:sz w:val="23"/>
          <w:szCs w:val="23"/>
        </w:rPr>
        <w:t>03</w:t>
      </w:r>
      <w:r w:rsidRPr="00CA5664">
        <w:rPr>
          <w:rFonts w:ascii="Joost" w:hAnsi="Joost" w:cs="Calibri"/>
          <w:b/>
          <w:bCs/>
          <w:sz w:val="23"/>
          <w:szCs w:val="23"/>
        </w:rPr>
        <w:t>-</w:t>
      </w:r>
      <w:r w:rsidR="00934B43" w:rsidRPr="00CA5664">
        <w:rPr>
          <w:rFonts w:ascii="Joost" w:hAnsi="Joost" w:cs="Calibri"/>
          <w:b/>
          <w:bCs/>
          <w:sz w:val="23"/>
          <w:szCs w:val="23"/>
        </w:rPr>
        <w:t>31</w:t>
      </w:r>
      <w:r w:rsidRPr="00CA5664">
        <w:rPr>
          <w:rFonts w:ascii="Joost" w:hAnsi="Joost" w:cs="Calibri"/>
          <w:b/>
          <w:bCs/>
          <w:sz w:val="23"/>
          <w:szCs w:val="23"/>
        </w:rPr>
        <w:t xml:space="preserve"> 9:00 val. </w:t>
      </w:r>
    </w:p>
    <w:p w14:paraId="4DED9DB4" w14:textId="77777777" w:rsidR="004724B7" w:rsidRPr="00CA5664" w:rsidRDefault="004724B7" w:rsidP="00CA5664">
      <w:pPr>
        <w:tabs>
          <w:tab w:val="left" w:pos="1605"/>
        </w:tabs>
        <w:jc w:val="both"/>
        <w:rPr>
          <w:rFonts w:ascii="Joost" w:eastAsia="Times New Roman" w:hAnsi="Joost" w:cs="Calibri"/>
          <w:sz w:val="23"/>
          <w:szCs w:val="23"/>
        </w:rPr>
      </w:pPr>
    </w:p>
    <w:p w14:paraId="2FC7F03D" w14:textId="20D198AA" w:rsidR="004724B7" w:rsidRPr="00CA5664" w:rsidRDefault="004724B7" w:rsidP="00CA5664">
      <w:pPr>
        <w:tabs>
          <w:tab w:val="left" w:pos="1605"/>
        </w:tabs>
        <w:jc w:val="both"/>
        <w:rPr>
          <w:rFonts w:ascii="Joost" w:eastAsia="Times New Roman" w:hAnsi="Joost" w:cs="Calibri"/>
          <w:sz w:val="23"/>
          <w:szCs w:val="23"/>
        </w:rPr>
      </w:pPr>
      <w:r w:rsidRPr="00CA5664">
        <w:rPr>
          <w:rFonts w:ascii="Joost" w:eastAsia="Times New Roman" w:hAnsi="Joost" w:cs="Calibri"/>
          <w:sz w:val="23"/>
          <w:szCs w:val="23"/>
        </w:rPr>
        <w:t>Pagarbiai</w:t>
      </w:r>
    </w:p>
    <w:p w14:paraId="24581294" w14:textId="77777777" w:rsidR="004724B7" w:rsidRPr="00CA5664" w:rsidRDefault="004724B7" w:rsidP="00CA5664">
      <w:pPr>
        <w:tabs>
          <w:tab w:val="left" w:pos="1605"/>
        </w:tabs>
        <w:jc w:val="both"/>
        <w:rPr>
          <w:rFonts w:ascii="Joost" w:eastAsia="Times New Roman" w:hAnsi="Joost" w:cs="Calibri"/>
          <w:sz w:val="23"/>
          <w:szCs w:val="23"/>
        </w:rPr>
      </w:pPr>
    </w:p>
    <w:p w14:paraId="61CD7701" w14:textId="77777777" w:rsidR="004724B7" w:rsidRPr="00CA5664" w:rsidRDefault="004724B7" w:rsidP="00CA5664">
      <w:pPr>
        <w:tabs>
          <w:tab w:val="left" w:pos="1605"/>
        </w:tabs>
        <w:jc w:val="both"/>
        <w:rPr>
          <w:rFonts w:ascii="Joost" w:hAnsi="Joost" w:cs="Calibri"/>
          <w:sz w:val="23"/>
          <w:szCs w:val="23"/>
        </w:rPr>
      </w:pPr>
      <w:r w:rsidRPr="00CA5664">
        <w:rPr>
          <w:rFonts w:ascii="Joost" w:eastAsia="Times New Roman" w:hAnsi="Joost" w:cs="Calibri"/>
          <w:sz w:val="23"/>
          <w:szCs w:val="23"/>
        </w:rPr>
        <w:t>Komisija</w:t>
      </w:r>
    </w:p>
    <w:p w14:paraId="7478A476" w14:textId="6BCBA079" w:rsidR="00E4040A" w:rsidRPr="00CA5664" w:rsidRDefault="00E4040A" w:rsidP="00CA5664">
      <w:pPr>
        <w:pStyle w:val="FreeForm"/>
        <w:jc w:val="both"/>
        <w:rPr>
          <w:rFonts w:ascii="Joost" w:hAnsi="Joost" w:cs="Times New Roman"/>
          <w:color w:val="auto"/>
          <w:sz w:val="23"/>
          <w:szCs w:val="23"/>
          <w:lang w:val="lt-LT"/>
        </w:rPr>
      </w:pPr>
    </w:p>
    <w:sectPr w:rsidR="00E4040A" w:rsidRPr="00CA5664" w:rsidSect="000F17D6">
      <w:headerReference w:type="default" r:id="rId7"/>
      <w:footerReference w:type="default" r:id="rId8"/>
      <w:headerReference w:type="first" r:id="rId9"/>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03B20" w14:textId="77777777" w:rsidR="00294B2E" w:rsidRDefault="00294B2E" w:rsidP="000F17D6">
      <w:r>
        <w:separator/>
      </w:r>
    </w:p>
  </w:endnote>
  <w:endnote w:type="continuationSeparator" w:id="0">
    <w:p w14:paraId="68D398F1" w14:textId="77777777" w:rsidR="00294B2E" w:rsidRDefault="00294B2E"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os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Jost">
    <w:altName w:val="Calibri"/>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223E" w14:textId="77777777" w:rsidR="00294B2E" w:rsidRDefault="00294B2E" w:rsidP="000F17D6">
      <w:r>
        <w:separator/>
      </w:r>
    </w:p>
  </w:footnote>
  <w:footnote w:type="continuationSeparator" w:id="0">
    <w:p w14:paraId="2FAE4A6B" w14:textId="77777777" w:rsidR="00294B2E" w:rsidRDefault="00294B2E"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B4B"/>
    <w:multiLevelType w:val="hybridMultilevel"/>
    <w:tmpl w:val="1730E8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A52FB"/>
    <w:multiLevelType w:val="multilevel"/>
    <w:tmpl w:val="4AFE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22251"/>
    <w:multiLevelType w:val="multilevel"/>
    <w:tmpl w:val="57024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4949E2"/>
    <w:multiLevelType w:val="multilevel"/>
    <w:tmpl w:val="3ECA2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6F5B71"/>
    <w:multiLevelType w:val="multilevel"/>
    <w:tmpl w:val="6C821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D10A46"/>
    <w:multiLevelType w:val="multilevel"/>
    <w:tmpl w:val="FB9E754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982E4E"/>
    <w:multiLevelType w:val="hybridMultilevel"/>
    <w:tmpl w:val="EE025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17134"/>
    <w:multiLevelType w:val="hybridMultilevel"/>
    <w:tmpl w:val="F2BE2E7E"/>
    <w:lvl w:ilvl="0" w:tplc="0618302A">
      <w:start w:val="8"/>
      <w:numFmt w:val="decimal"/>
      <w:lvlText w:val="%1"/>
      <w:lvlJc w:val="left"/>
      <w:pPr>
        <w:ind w:left="394" w:hanging="360"/>
      </w:pPr>
      <w:rPr>
        <w:rFonts w:hint="default"/>
        <w:b/>
        <w:i w:val="0"/>
        <w:iCs/>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4C40726D"/>
    <w:multiLevelType w:val="multilevel"/>
    <w:tmpl w:val="02CE0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673942"/>
    <w:multiLevelType w:val="multilevel"/>
    <w:tmpl w:val="966A0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2913F9"/>
    <w:multiLevelType w:val="multilevel"/>
    <w:tmpl w:val="EAEA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6F04C2D"/>
    <w:multiLevelType w:val="multilevel"/>
    <w:tmpl w:val="4768AC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6A6B4910"/>
    <w:multiLevelType w:val="multilevel"/>
    <w:tmpl w:val="6C208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A27E3F"/>
    <w:multiLevelType w:val="hybridMultilevel"/>
    <w:tmpl w:val="F8A215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AE33CD"/>
    <w:multiLevelType w:val="multilevel"/>
    <w:tmpl w:val="13DAD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681DDD"/>
    <w:multiLevelType w:val="multilevel"/>
    <w:tmpl w:val="BA9A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4224118">
    <w:abstractNumId w:val="6"/>
  </w:num>
  <w:num w:numId="2" w16cid:durableId="1648702160">
    <w:abstractNumId w:val="0"/>
  </w:num>
  <w:num w:numId="3" w16cid:durableId="371811758">
    <w:abstractNumId w:val="9"/>
  </w:num>
  <w:num w:numId="4" w16cid:durableId="859049673">
    <w:abstractNumId w:val="13"/>
  </w:num>
  <w:num w:numId="5" w16cid:durableId="989139687">
    <w:abstractNumId w:val="1"/>
  </w:num>
  <w:num w:numId="6" w16cid:durableId="1826581884">
    <w:abstractNumId w:val="12"/>
  </w:num>
  <w:num w:numId="7" w16cid:durableId="1918319566">
    <w:abstractNumId w:val="14"/>
  </w:num>
  <w:num w:numId="8" w16cid:durableId="2019579783">
    <w:abstractNumId w:val="2"/>
  </w:num>
  <w:num w:numId="9" w16cid:durableId="523053024">
    <w:abstractNumId w:val="8"/>
  </w:num>
  <w:num w:numId="10" w16cid:durableId="455414767">
    <w:abstractNumId w:val="15"/>
  </w:num>
  <w:num w:numId="11" w16cid:durableId="1613390760">
    <w:abstractNumId w:val="4"/>
  </w:num>
  <w:num w:numId="12" w16cid:durableId="556626321">
    <w:abstractNumId w:val="7"/>
  </w:num>
  <w:num w:numId="13" w16cid:durableId="1324552155">
    <w:abstractNumId w:val="11"/>
  </w:num>
  <w:num w:numId="14" w16cid:durableId="220598735">
    <w:abstractNumId w:val="10"/>
  </w:num>
  <w:num w:numId="15" w16cid:durableId="179200206">
    <w:abstractNumId w:val="3"/>
  </w:num>
  <w:num w:numId="16" w16cid:durableId="144585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1B1B"/>
    <w:rsid w:val="00014AD8"/>
    <w:rsid w:val="00016952"/>
    <w:rsid w:val="0002438D"/>
    <w:rsid w:val="00063C0B"/>
    <w:rsid w:val="000841CC"/>
    <w:rsid w:val="00095D5F"/>
    <w:rsid w:val="000C524A"/>
    <w:rsid w:val="000F17D6"/>
    <w:rsid w:val="00125D14"/>
    <w:rsid w:val="001330B6"/>
    <w:rsid w:val="001414C6"/>
    <w:rsid w:val="00147C0D"/>
    <w:rsid w:val="00180221"/>
    <w:rsid w:val="001936E7"/>
    <w:rsid w:val="001C17C1"/>
    <w:rsid w:val="001E237F"/>
    <w:rsid w:val="0024081F"/>
    <w:rsid w:val="00240BAB"/>
    <w:rsid w:val="00246643"/>
    <w:rsid w:val="00266215"/>
    <w:rsid w:val="0027058F"/>
    <w:rsid w:val="00275ADA"/>
    <w:rsid w:val="00276D00"/>
    <w:rsid w:val="00283410"/>
    <w:rsid w:val="0029413F"/>
    <w:rsid w:val="00294B2E"/>
    <w:rsid w:val="002F0DD6"/>
    <w:rsid w:val="00322AFC"/>
    <w:rsid w:val="00337CB8"/>
    <w:rsid w:val="00376B34"/>
    <w:rsid w:val="00397E2F"/>
    <w:rsid w:val="003A3345"/>
    <w:rsid w:val="003B217B"/>
    <w:rsid w:val="003B6880"/>
    <w:rsid w:val="00457674"/>
    <w:rsid w:val="004657AE"/>
    <w:rsid w:val="004724B7"/>
    <w:rsid w:val="004841E0"/>
    <w:rsid w:val="004869D6"/>
    <w:rsid w:val="00491E27"/>
    <w:rsid w:val="0049365A"/>
    <w:rsid w:val="004A5103"/>
    <w:rsid w:val="004A52DA"/>
    <w:rsid w:val="004B58DB"/>
    <w:rsid w:val="004B73A5"/>
    <w:rsid w:val="004C4613"/>
    <w:rsid w:val="004E3476"/>
    <w:rsid w:val="004E66EE"/>
    <w:rsid w:val="004F71AD"/>
    <w:rsid w:val="00513988"/>
    <w:rsid w:val="00524B8D"/>
    <w:rsid w:val="005274D4"/>
    <w:rsid w:val="00552737"/>
    <w:rsid w:val="00573462"/>
    <w:rsid w:val="005735C2"/>
    <w:rsid w:val="00591F47"/>
    <w:rsid w:val="00597B5B"/>
    <w:rsid w:val="005F1E34"/>
    <w:rsid w:val="005F5714"/>
    <w:rsid w:val="0060761E"/>
    <w:rsid w:val="00617AA8"/>
    <w:rsid w:val="00630C3A"/>
    <w:rsid w:val="00631A65"/>
    <w:rsid w:val="0064304A"/>
    <w:rsid w:val="00652A5A"/>
    <w:rsid w:val="006908B5"/>
    <w:rsid w:val="00694AFA"/>
    <w:rsid w:val="006A24AB"/>
    <w:rsid w:val="006A385A"/>
    <w:rsid w:val="006C728C"/>
    <w:rsid w:val="006E1ACB"/>
    <w:rsid w:val="00717D5C"/>
    <w:rsid w:val="00732544"/>
    <w:rsid w:val="00733EC4"/>
    <w:rsid w:val="00774325"/>
    <w:rsid w:val="00775700"/>
    <w:rsid w:val="007763E3"/>
    <w:rsid w:val="007772DB"/>
    <w:rsid w:val="007C7652"/>
    <w:rsid w:val="007E0338"/>
    <w:rsid w:val="007F0445"/>
    <w:rsid w:val="0080655C"/>
    <w:rsid w:val="008264D1"/>
    <w:rsid w:val="008278A9"/>
    <w:rsid w:val="00837AE7"/>
    <w:rsid w:val="00860FEB"/>
    <w:rsid w:val="008657DA"/>
    <w:rsid w:val="0086724E"/>
    <w:rsid w:val="0087494A"/>
    <w:rsid w:val="008A1892"/>
    <w:rsid w:val="008C6B41"/>
    <w:rsid w:val="008E4265"/>
    <w:rsid w:val="008F0407"/>
    <w:rsid w:val="008F2683"/>
    <w:rsid w:val="00910F3E"/>
    <w:rsid w:val="00914350"/>
    <w:rsid w:val="00934B43"/>
    <w:rsid w:val="009512CE"/>
    <w:rsid w:val="009574FF"/>
    <w:rsid w:val="00962151"/>
    <w:rsid w:val="009A7E52"/>
    <w:rsid w:val="009D4C8E"/>
    <w:rsid w:val="009E5672"/>
    <w:rsid w:val="00A02E62"/>
    <w:rsid w:val="00A035F0"/>
    <w:rsid w:val="00A1363C"/>
    <w:rsid w:val="00A22535"/>
    <w:rsid w:val="00A25314"/>
    <w:rsid w:val="00A522CB"/>
    <w:rsid w:val="00A5719B"/>
    <w:rsid w:val="00A7668B"/>
    <w:rsid w:val="00A846F4"/>
    <w:rsid w:val="00A84892"/>
    <w:rsid w:val="00AB2E05"/>
    <w:rsid w:val="00AB79D0"/>
    <w:rsid w:val="00AD23B9"/>
    <w:rsid w:val="00AE084F"/>
    <w:rsid w:val="00AF4F6B"/>
    <w:rsid w:val="00B238B8"/>
    <w:rsid w:val="00B31076"/>
    <w:rsid w:val="00B574FE"/>
    <w:rsid w:val="00B635A5"/>
    <w:rsid w:val="00B87E5A"/>
    <w:rsid w:val="00B93411"/>
    <w:rsid w:val="00B95EB5"/>
    <w:rsid w:val="00BB5620"/>
    <w:rsid w:val="00BC4BBB"/>
    <w:rsid w:val="00BE1CB6"/>
    <w:rsid w:val="00BE34CB"/>
    <w:rsid w:val="00C32BC7"/>
    <w:rsid w:val="00C36859"/>
    <w:rsid w:val="00C43E2C"/>
    <w:rsid w:val="00C52676"/>
    <w:rsid w:val="00CA32AB"/>
    <w:rsid w:val="00CA5664"/>
    <w:rsid w:val="00CD1404"/>
    <w:rsid w:val="00CE0EA3"/>
    <w:rsid w:val="00D244CF"/>
    <w:rsid w:val="00D5013F"/>
    <w:rsid w:val="00D87061"/>
    <w:rsid w:val="00D8776A"/>
    <w:rsid w:val="00DA3CAE"/>
    <w:rsid w:val="00DF3CE3"/>
    <w:rsid w:val="00E0067E"/>
    <w:rsid w:val="00E04159"/>
    <w:rsid w:val="00E04465"/>
    <w:rsid w:val="00E21DE3"/>
    <w:rsid w:val="00E4040A"/>
    <w:rsid w:val="00E54678"/>
    <w:rsid w:val="00E9653F"/>
    <w:rsid w:val="00EB2324"/>
    <w:rsid w:val="00EC0213"/>
    <w:rsid w:val="00ED1241"/>
    <w:rsid w:val="00ED5612"/>
    <w:rsid w:val="00EE1A03"/>
    <w:rsid w:val="00EE5266"/>
    <w:rsid w:val="00F02276"/>
    <w:rsid w:val="00F03478"/>
    <w:rsid w:val="00F234DD"/>
    <w:rsid w:val="00F37D69"/>
    <w:rsid w:val="00F52654"/>
    <w:rsid w:val="00F52AEA"/>
    <w:rsid w:val="00F5680F"/>
    <w:rsid w:val="00F71DC1"/>
    <w:rsid w:val="00F762F4"/>
    <w:rsid w:val="00F90C0F"/>
    <w:rsid w:val="00F91071"/>
    <w:rsid w:val="00FC5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13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aliases w:val="Numbering,ERP-List Paragraph,List Paragraph11,Bullet EY,lp1,Bullet 1,Use Case List Paragraph,List Paragraph Red,List Paragraph21,Sąrašo pastraipa.Bullet,Bullet,Paragraph,List Paragraph2,Lentele,List Paragraph22,List Paragraph111,Buletai"/>
    <w:basedOn w:val="Normal"/>
    <w:link w:val="ListParagraphChar"/>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character" w:customStyle="1" w:styleId="normaltextrun">
    <w:name w:val="normaltextrun"/>
    <w:basedOn w:val="DefaultParagraphFont"/>
    <w:rsid w:val="008E4265"/>
  </w:style>
  <w:style w:type="character" w:styleId="Hyperlink">
    <w:name w:val="Hyperlink"/>
    <w:basedOn w:val="DefaultParagraphFont"/>
    <w:uiPriority w:val="99"/>
    <w:unhideWhenUsed/>
    <w:rsid w:val="005F5714"/>
    <w:rPr>
      <w:color w:val="467886" w:themeColor="hyperlink"/>
      <w:u w:val="single"/>
    </w:rPr>
  </w:style>
  <w:style w:type="character" w:styleId="UnresolvedMention">
    <w:name w:val="Unresolved Mention"/>
    <w:basedOn w:val="DefaultParagraphFont"/>
    <w:uiPriority w:val="99"/>
    <w:semiHidden/>
    <w:unhideWhenUsed/>
    <w:rsid w:val="005F5714"/>
    <w:rPr>
      <w:color w:val="605E5C"/>
      <w:shd w:val="clear" w:color="auto" w:fill="E1DFDD"/>
    </w:rPr>
  </w:style>
  <w:style w:type="character" w:customStyle="1" w:styleId="ListParagraphChar">
    <w:name w:val="List Paragraph Char"/>
    <w:aliases w:val="Numbering Char,ERP-List Paragraph Char,List Paragraph11 Char,Bullet EY Char,lp1 Char,Bullet 1 Char,Use Case List Paragraph Char,List Paragraph Red Char,List Paragraph21 Char,Sąrašo pastraipa.Bullet Char,Bullet Char,Paragraph Char"/>
    <w:basedOn w:val="DefaultParagraphFont"/>
    <w:link w:val="ListParagraph"/>
    <w:uiPriority w:val="34"/>
    <w:qFormat/>
    <w:rsid w:val="00AE084F"/>
  </w:style>
  <w:style w:type="paragraph" w:styleId="Revision">
    <w:name w:val="Revision"/>
    <w:hidden/>
    <w:uiPriority w:val="99"/>
    <w:semiHidden/>
    <w:rsid w:val="008657DA"/>
    <w:pPr>
      <w:spacing w:after="0" w:line="240" w:lineRule="auto"/>
    </w:pPr>
    <w:rPr>
      <w:rFonts w:ascii="Times New Roman" w:eastAsia="Arial Unicode MS" w:hAnsi="Times New Roman" w:cs="Times New Roman"/>
      <w:sz w:val="24"/>
      <w:szCs w:val="24"/>
      <w:bdr w:val="nil"/>
      <w14:ligatures w14:val="none"/>
    </w:rPr>
  </w:style>
  <w:style w:type="character" w:styleId="CommentReference">
    <w:name w:val="annotation reference"/>
    <w:basedOn w:val="DefaultParagraphFont"/>
    <w:uiPriority w:val="99"/>
    <w:semiHidden/>
    <w:unhideWhenUsed/>
    <w:rsid w:val="008657DA"/>
    <w:rPr>
      <w:sz w:val="16"/>
      <w:szCs w:val="16"/>
    </w:rPr>
  </w:style>
  <w:style w:type="paragraph" w:styleId="CommentText">
    <w:name w:val="annotation text"/>
    <w:basedOn w:val="Normal"/>
    <w:link w:val="CommentTextChar"/>
    <w:uiPriority w:val="99"/>
    <w:unhideWhenUsed/>
    <w:rsid w:val="008657DA"/>
    <w:rPr>
      <w:sz w:val="20"/>
      <w:szCs w:val="20"/>
    </w:rPr>
  </w:style>
  <w:style w:type="character" w:customStyle="1" w:styleId="CommentTextChar">
    <w:name w:val="Comment Text Char"/>
    <w:basedOn w:val="DefaultParagraphFont"/>
    <w:link w:val="CommentText"/>
    <w:uiPriority w:val="99"/>
    <w:rsid w:val="008657DA"/>
    <w:rPr>
      <w:rFonts w:ascii="Times New Roman" w:eastAsia="Arial Unicode MS" w:hAnsi="Times New Roman" w:cs="Times New Roman"/>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8657DA"/>
    <w:rPr>
      <w:b/>
      <w:bCs/>
    </w:rPr>
  </w:style>
  <w:style w:type="character" w:customStyle="1" w:styleId="CommentSubjectChar">
    <w:name w:val="Comment Subject Char"/>
    <w:basedOn w:val="CommentTextChar"/>
    <w:link w:val="CommentSubject"/>
    <w:uiPriority w:val="99"/>
    <w:semiHidden/>
    <w:rsid w:val="008657DA"/>
    <w:rPr>
      <w:rFonts w:ascii="Times New Roman" w:eastAsia="Arial Unicode MS" w:hAnsi="Times New Roman" w:cs="Times New Roman"/>
      <w:b/>
      <w:bCs/>
      <w:sz w:val="20"/>
      <w:szCs w:val="20"/>
      <w:bdr w:val="nil"/>
      <w14:ligatures w14:val="none"/>
    </w:rPr>
  </w:style>
  <w:style w:type="paragraph" w:customStyle="1" w:styleId="Default">
    <w:name w:val="Default"/>
    <w:rsid w:val="0024081F"/>
    <w:pPr>
      <w:autoSpaceDE w:val="0"/>
      <w:autoSpaceDN w:val="0"/>
      <w:adjustRightInd w:val="0"/>
      <w:spacing w:after="0" w:line="240" w:lineRule="auto"/>
    </w:pPr>
    <w:rPr>
      <w:rFonts w:ascii="Times New Roman" w:eastAsia="Times New Roman" w:hAnsi="Times New Roman" w:cs="Times New Roman"/>
      <w:color w:val="00000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508">
      <w:bodyDiv w:val="1"/>
      <w:marLeft w:val="0"/>
      <w:marRight w:val="0"/>
      <w:marTop w:val="0"/>
      <w:marBottom w:val="0"/>
      <w:divBdr>
        <w:top w:val="none" w:sz="0" w:space="0" w:color="auto"/>
        <w:left w:val="none" w:sz="0" w:space="0" w:color="auto"/>
        <w:bottom w:val="none" w:sz="0" w:space="0" w:color="auto"/>
        <w:right w:val="none" w:sz="0" w:space="0" w:color="auto"/>
      </w:divBdr>
    </w:div>
    <w:div w:id="128667023">
      <w:bodyDiv w:val="1"/>
      <w:marLeft w:val="0"/>
      <w:marRight w:val="0"/>
      <w:marTop w:val="0"/>
      <w:marBottom w:val="0"/>
      <w:divBdr>
        <w:top w:val="none" w:sz="0" w:space="0" w:color="auto"/>
        <w:left w:val="none" w:sz="0" w:space="0" w:color="auto"/>
        <w:bottom w:val="none" w:sz="0" w:space="0" w:color="auto"/>
        <w:right w:val="none" w:sz="0" w:space="0" w:color="auto"/>
      </w:divBdr>
    </w:div>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15555591">
      <w:bodyDiv w:val="1"/>
      <w:marLeft w:val="0"/>
      <w:marRight w:val="0"/>
      <w:marTop w:val="0"/>
      <w:marBottom w:val="0"/>
      <w:divBdr>
        <w:top w:val="none" w:sz="0" w:space="0" w:color="auto"/>
        <w:left w:val="none" w:sz="0" w:space="0" w:color="auto"/>
        <w:bottom w:val="none" w:sz="0" w:space="0" w:color="auto"/>
        <w:right w:val="none" w:sz="0" w:space="0" w:color="auto"/>
      </w:divBdr>
    </w:div>
    <w:div w:id="229119466">
      <w:bodyDiv w:val="1"/>
      <w:marLeft w:val="0"/>
      <w:marRight w:val="0"/>
      <w:marTop w:val="0"/>
      <w:marBottom w:val="0"/>
      <w:divBdr>
        <w:top w:val="none" w:sz="0" w:space="0" w:color="auto"/>
        <w:left w:val="none" w:sz="0" w:space="0" w:color="auto"/>
        <w:bottom w:val="none" w:sz="0" w:space="0" w:color="auto"/>
        <w:right w:val="none" w:sz="0" w:space="0" w:color="auto"/>
      </w:divBdr>
    </w:div>
    <w:div w:id="243421994">
      <w:bodyDiv w:val="1"/>
      <w:marLeft w:val="0"/>
      <w:marRight w:val="0"/>
      <w:marTop w:val="0"/>
      <w:marBottom w:val="0"/>
      <w:divBdr>
        <w:top w:val="none" w:sz="0" w:space="0" w:color="auto"/>
        <w:left w:val="none" w:sz="0" w:space="0" w:color="auto"/>
        <w:bottom w:val="none" w:sz="0" w:space="0" w:color="auto"/>
        <w:right w:val="none" w:sz="0" w:space="0" w:color="auto"/>
      </w:divBdr>
    </w:div>
    <w:div w:id="268126055">
      <w:bodyDiv w:val="1"/>
      <w:marLeft w:val="0"/>
      <w:marRight w:val="0"/>
      <w:marTop w:val="0"/>
      <w:marBottom w:val="0"/>
      <w:divBdr>
        <w:top w:val="none" w:sz="0" w:space="0" w:color="auto"/>
        <w:left w:val="none" w:sz="0" w:space="0" w:color="auto"/>
        <w:bottom w:val="none" w:sz="0" w:space="0" w:color="auto"/>
        <w:right w:val="none" w:sz="0" w:space="0" w:color="auto"/>
      </w:divBdr>
    </w:div>
    <w:div w:id="517306251">
      <w:bodyDiv w:val="1"/>
      <w:marLeft w:val="0"/>
      <w:marRight w:val="0"/>
      <w:marTop w:val="0"/>
      <w:marBottom w:val="0"/>
      <w:divBdr>
        <w:top w:val="none" w:sz="0" w:space="0" w:color="auto"/>
        <w:left w:val="none" w:sz="0" w:space="0" w:color="auto"/>
        <w:bottom w:val="none" w:sz="0" w:space="0" w:color="auto"/>
        <w:right w:val="none" w:sz="0" w:space="0" w:color="auto"/>
      </w:divBdr>
    </w:div>
    <w:div w:id="550188273">
      <w:bodyDiv w:val="1"/>
      <w:marLeft w:val="0"/>
      <w:marRight w:val="0"/>
      <w:marTop w:val="0"/>
      <w:marBottom w:val="0"/>
      <w:divBdr>
        <w:top w:val="none" w:sz="0" w:space="0" w:color="auto"/>
        <w:left w:val="none" w:sz="0" w:space="0" w:color="auto"/>
        <w:bottom w:val="none" w:sz="0" w:space="0" w:color="auto"/>
        <w:right w:val="none" w:sz="0" w:space="0" w:color="auto"/>
      </w:divBdr>
    </w:div>
    <w:div w:id="651299848">
      <w:bodyDiv w:val="1"/>
      <w:marLeft w:val="0"/>
      <w:marRight w:val="0"/>
      <w:marTop w:val="0"/>
      <w:marBottom w:val="0"/>
      <w:divBdr>
        <w:top w:val="none" w:sz="0" w:space="0" w:color="auto"/>
        <w:left w:val="none" w:sz="0" w:space="0" w:color="auto"/>
        <w:bottom w:val="none" w:sz="0" w:space="0" w:color="auto"/>
        <w:right w:val="none" w:sz="0" w:space="0" w:color="auto"/>
      </w:divBdr>
    </w:div>
    <w:div w:id="686172094">
      <w:bodyDiv w:val="1"/>
      <w:marLeft w:val="0"/>
      <w:marRight w:val="0"/>
      <w:marTop w:val="0"/>
      <w:marBottom w:val="0"/>
      <w:divBdr>
        <w:top w:val="none" w:sz="0" w:space="0" w:color="auto"/>
        <w:left w:val="none" w:sz="0" w:space="0" w:color="auto"/>
        <w:bottom w:val="none" w:sz="0" w:space="0" w:color="auto"/>
        <w:right w:val="none" w:sz="0" w:space="0" w:color="auto"/>
      </w:divBdr>
    </w:div>
    <w:div w:id="692875330">
      <w:bodyDiv w:val="1"/>
      <w:marLeft w:val="0"/>
      <w:marRight w:val="0"/>
      <w:marTop w:val="0"/>
      <w:marBottom w:val="0"/>
      <w:divBdr>
        <w:top w:val="none" w:sz="0" w:space="0" w:color="auto"/>
        <w:left w:val="none" w:sz="0" w:space="0" w:color="auto"/>
        <w:bottom w:val="none" w:sz="0" w:space="0" w:color="auto"/>
        <w:right w:val="none" w:sz="0" w:space="0" w:color="auto"/>
      </w:divBdr>
    </w:div>
    <w:div w:id="736633170">
      <w:bodyDiv w:val="1"/>
      <w:marLeft w:val="0"/>
      <w:marRight w:val="0"/>
      <w:marTop w:val="0"/>
      <w:marBottom w:val="0"/>
      <w:divBdr>
        <w:top w:val="none" w:sz="0" w:space="0" w:color="auto"/>
        <w:left w:val="none" w:sz="0" w:space="0" w:color="auto"/>
        <w:bottom w:val="none" w:sz="0" w:space="0" w:color="auto"/>
        <w:right w:val="none" w:sz="0" w:space="0" w:color="auto"/>
      </w:divBdr>
    </w:div>
    <w:div w:id="918171048">
      <w:bodyDiv w:val="1"/>
      <w:marLeft w:val="0"/>
      <w:marRight w:val="0"/>
      <w:marTop w:val="0"/>
      <w:marBottom w:val="0"/>
      <w:divBdr>
        <w:top w:val="none" w:sz="0" w:space="0" w:color="auto"/>
        <w:left w:val="none" w:sz="0" w:space="0" w:color="auto"/>
        <w:bottom w:val="none" w:sz="0" w:space="0" w:color="auto"/>
        <w:right w:val="none" w:sz="0" w:space="0" w:color="auto"/>
      </w:divBdr>
    </w:div>
    <w:div w:id="1047875474">
      <w:bodyDiv w:val="1"/>
      <w:marLeft w:val="0"/>
      <w:marRight w:val="0"/>
      <w:marTop w:val="0"/>
      <w:marBottom w:val="0"/>
      <w:divBdr>
        <w:top w:val="none" w:sz="0" w:space="0" w:color="auto"/>
        <w:left w:val="none" w:sz="0" w:space="0" w:color="auto"/>
        <w:bottom w:val="none" w:sz="0" w:space="0" w:color="auto"/>
        <w:right w:val="none" w:sz="0" w:space="0" w:color="auto"/>
      </w:divBdr>
    </w:div>
    <w:div w:id="1115563388">
      <w:bodyDiv w:val="1"/>
      <w:marLeft w:val="0"/>
      <w:marRight w:val="0"/>
      <w:marTop w:val="0"/>
      <w:marBottom w:val="0"/>
      <w:divBdr>
        <w:top w:val="none" w:sz="0" w:space="0" w:color="auto"/>
        <w:left w:val="none" w:sz="0" w:space="0" w:color="auto"/>
        <w:bottom w:val="none" w:sz="0" w:space="0" w:color="auto"/>
        <w:right w:val="none" w:sz="0" w:space="0" w:color="auto"/>
      </w:divBdr>
    </w:div>
    <w:div w:id="1588224248">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147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7517</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Edita Ališauskaitė Vorožeikinienė</cp:lastModifiedBy>
  <cp:revision>2</cp:revision>
  <dcterms:created xsi:type="dcterms:W3CDTF">2025-03-26T07:57:00Z</dcterms:created>
  <dcterms:modified xsi:type="dcterms:W3CDTF">2025-03-26T07:57:00Z</dcterms:modified>
</cp:coreProperties>
</file>