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E09F" w14:textId="714B7CF4" w:rsidR="001D7638" w:rsidRPr="00CB3B56" w:rsidRDefault="001D7638" w:rsidP="001D7638">
      <w:pPr>
        <w:jc w:val="center"/>
        <w:rPr>
          <w:rFonts w:ascii="Times New Roman" w:hAnsi="Times New Roman"/>
          <w:b/>
          <w:bCs/>
          <w:sz w:val="24"/>
          <w:szCs w:val="24"/>
          <w:lang w:val="lt-LT"/>
        </w:rPr>
      </w:pPr>
      <w:r w:rsidRPr="00CB3B56">
        <w:rPr>
          <w:rFonts w:ascii="Times New Roman" w:hAnsi="Times New Roman"/>
          <w:b/>
          <w:bCs/>
          <w:sz w:val="24"/>
          <w:szCs w:val="24"/>
          <w:lang w:val="lt-LT"/>
        </w:rPr>
        <w:t>ATSAKYMAS Į RINKOS KONSULTACIJOS METU GAUTAS PASTABAS IR PASIŪLYMUS</w:t>
      </w:r>
    </w:p>
    <w:p w14:paraId="78058108" w14:textId="77777777" w:rsidR="001D7638" w:rsidRPr="00CB3B56" w:rsidRDefault="001D7638" w:rsidP="001D7638">
      <w:pPr>
        <w:jc w:val="center"/>
        <w:rPr>
          <w:rFonts w:ascii="Times New Roman" w:hAnsi="Times New Roman"/>
          <w:b/>
          <w:bCs/>
          <w:sz w:val="24"/>
          <w:szCs w:val="24"/>
          <w:lang w:val="lt-LT"/>
        </w:rPr>
      </w:pPr>
    </w:p>
    <w:p w14:paraId="2E4AECCA" w14:textId="2077E94A" w:rsidR="003322E0" w:rsidRPr="00244903" w:rsidRDefault="003322E0" w:rsidP="003322E0">
      <w:pPr>
        <w:jc w:val="both"/>
        <w:rPr>
          <w:rFonts w:ascii="Times New Roman" w:hAnsi="Times New Roman"/>
          <w:sz w:val="24"/>
          <w:szCs w:val="24"/>
          <w:lang w:val="lt-LT"/>
        </w:rPr>
      </w:pPr>
      <w:r w:rsidRPr="00244903">
        <w:rPr>
          <w:rFonts w:ascii="Times New Roman" w:hAnsi="Times New Roman"/>
          <w:sz w:val="24"/>
          <w:szCs w:val="24"/>
          <w:lang w:val="lt-LT"/>
        </w:rPr>
        <w:t>Pranešame, kad LSMU Kauno ligoninė išnagrinėjo</w:t>
      </w:r>
      <w:r w:rsidR="00E26D7E" w:rsidRPr="00244903">
        <w:rPr>
          <w:rFonts w:ascii="Times New Roman" w:hAnsi="Times New Roman"/>
          <w:sz w:val="24"/>
          <w:szCs w:val="24"/>
          <w:lang w:val="lt-LT"/>
        </w:rPr>
        <w:t xml:space="preserve"> </w:t>
      </w:r>
      <w:r w:rsidR="00085A22">
        <w:rPr>
          <w:rFonts w:ascii="Times New Roman" w:hAnsi="Times New Roman"/>
          <w:sz w:val="24"/>
          <w:szCs w:val="24"/>
          <w:lang w:val="lt-LT"/>
        </w:rPr>
        <w:t xml:space="preserve">skysčių valdymo sistemų </w:t>
      </w:r>
      <w:r w:rsidRPr="00244903">
        <w:rPr>
          <w:rFonts w:ascii="Times New Roman" w:hAnsi="Times New Roman"/>
          <w:bCs/>
          <w:sz w:val="24"/>
          <w:szCs w:val="24"/>
          <w:lang w:val="lt-LT"/>
        </w:rPr>
        <w:t>pirkimui</w:t>
      </w:r>
      <w:r w:rsidRPr="00244903">
        <w:rPr>
          <w:rFonts w:ascii="Times New Roman" w:hAnsi="Times New Roman"/>
          <w:sz w:val="24"/>
          <w:szCs w:val="24"/>
          <w:lang w:val="lt-LT"/>
        </w:rPr>
        <w:t xml:space="preserve"> pateiktus tiekėj</w:t>
      </w:r>
      <w:r w:rsidR="00E26D7E" w:rsidRPr="00244903">
        <w:rPr>
          <w:rFonts w:ascii="Times New Roman" w:hAnsi="Times New Roman"/>
          <w:sz w:val="24"/>
          <w:szCs w:val="24"/>
          <w:lang w:val="lt-LT"/>
        </w:rPr>
        <w:t>ų</w:t>
      </w:r>
      <w:r w:rsidRPr="00244903">
        <w:rPr>
          <w:rFonts w:ascii="Times New Roman" w:hAnsi="Times New Roman"/>
          <w:sz w:val="24"/>
          <w:szCs w:val="24"/>
          <w:lang w:val="lt-LT"/>
        </w:rPr>
        <w:t xml:space="preserve"> pasiūlymus, pastabas ir nutarė</w:t>
      </w:r>
      <w:r w:rsidR="00CB3B56" w:rsidRPr="00244903">
        <w:rPr>
          <w:rFonts w:ascii="Times New Roman" w:hAnsi="Times New Roman"/>
          <w:sz w:val="24"/>
          <w:szCs w:val="24"/>
          <w:lang w:val="lt-LT"/>
        </w:rPr>
        <w:t xml:space="preserve"> (Tiekėjų pastabos, pasiūlymai yra pridedami atskiru dokumentu)</w:t>
      </w:r>
      <w:r w:rsidRPr="00244903">
        <w:rPr>
          <w:rFonts w:ascii="Times New Roman" w:hAnsi="Times New Roman"/>
          <w:sz w:val="24"/>
          <w:szCs w:val="24"/>
          <w:lang w:val="lt-LT"/>
        </w:rPr>
        <w:t>:</w:t>
      </w:r>
    </w:p>
    <w:p w14:paraId="3B27E4C4" w14:textId="2CAB1FD5" w:rsidR="004B27ED" w:rsidRPr="00244903" w:rsidRDefault="003F659F" w:rsidP="005B21C0">
      <w:pPr>
        <w:jc w:val="both"/>
        <w:rPr>
          <w:rFonts w:ascii="Times New Roman" w:hAnsi="Times New Roman"/>
          <w:sz w:val="24"/>
          <w:szCs w:val="24"/>
          <w:lang w:val="lt-LT"/>
        </w:rPr>
      </w:pPr>
      <w:r w:rsidRPr="00244903">
        <w:rPr>
          <w:rFonts w:ascii="Times New Roman" w:hAnsi="Times New Roman"/>
          <w:b/>
          <w:bCs/>
          <w:sz w:val="24"/>
          <w:szCs w:val="24"/>
          <w:lang w:val="lt-LT"/>
        </w:rPr>
        <w:t xml:space="preserve">Dėl </w:t>
      </w:r>
      <w:r w:rsidR="00CB3B56" w:rsidRPr="00244903">
        <w:rPr>
          <w:rFonts w:ascii="Times New Roman" w:hAnsi="Times New Roman"/>
          <w:b/>
          <w:bCs/>
          <w:sz w:val="24"/>
          <w:szCs w:val="24"/>
          <w:lang w:val="lt-LT"/>
        </w:rPr>
        <w:t>t</w:t>
      </w:r>
      <w:r w:rsidR="003F4685" w:rsidRPr="00244903">
        <w:rPr>
          <w:rFonts w:ascii="Times New Roman" w:hAnsi="Times New Roman"/>
          <w:b/>
          <w:bCs/>
          <w:sz w:val="24"/>
          <w:szCs w:val="24"/>
          <w:lang w:val="lt-LT"/>
        </w:rPr>
        <w:t xml:space="preserve">echninės specifikacijos </w:t>
      </w:r>
      <w:r w:rsidR="00085A22">
        <w:rPr>
          <w:rFonts w:ascii="Times New Roman" w:hAnsi="Times New Roman"/>
          <w:b/>
          <w:bCs/>
          <w:sz w:val="24"/>
          <w:szCs w:val="24"/>
          <w:lang w:val="lt-LT"/>
        </w:rPr>
        <w:t>1.2.4. 2.2.4. ir 3.1.4.</w:t>
      </w:r>
      <w:r w:rsidR="00CB3B56" w:rsidRPr="00244903">
        <w:rPr>
          <w:rFonts w:ascii="Times New Roman" w:hAnsi="Times New Roman"/>
          <w:b/>
          <w:bCs/>
          <w:sz w:val="24"/>
          <w:szCs w:val="24"/>
          <w:lang w:val="lt-LT"/>
        </w:rPr>
        <w:t xml:space="preserve"> </w:t>
      </w:r>
      <w:r w:rsidR="003F4685" w:rsidRPr="00244903">
        <w:rPr>
          <w:rFonts w:ascii="Times New Roman" w:hAnsi="Times New Roman"/>
          <w:b/>
          <w:bCs/>
          <w:sz w:val="24"/>
          <w:szCs w:val="24"/>
          <w:lang w:val="lt-LT"/>
        </w:rPr>
        <w:t>p</w:t>
      </w:r>
      <w:r w:rsidR="004B27ED" w:rsidRPr="00244903">
        <w:rPr>
          <w:rFonts w:ascii="Times New Roman" w:hAnsi="Times New Roman"/>
          <w:b/>
          <w:bCs/>
          <w:sz w:val="24"/>
          <w:szCs w:val="24"/>
          <w:lang w:val="lt-LT"/>
        </w:rPr>
        <w:t>. reikalavimo „</w:t>
      </w:r>
      <w:r w:rsidR="00085A22" w:rsidRPr="00085A22">
        <w:rPr>
          <w:rFonts w:ascii="Times New Roman" w:hAnsi="Times New Roman"/>
          <w:b/>
          <w:bCs/>
          <w:sz w:val="24"/>
          <w:szCs w:val="24"/>
          <w:lang w:val="lt-LT"/>
        </w:rPr>
        <w:t>Infuzijos greičio paklaida</w:t>
      </w:r>
      <w:r w:rsidR="00085A22">
        <w:rPr>
          <w:rFonts w:ascii="Times New Roman" w:hAnsi="Times New Roman"/>
          <w:b/>
          <w:bCs/>
          <w:sz w:val="24"/>
          <w:szCs w:val="24"/>
          <w:lang w:val="lt-LT"/>
        </w:rPr>
        <w:t xml:space="preserve"> </w:t>
      </w:r>
      <w:r w:rsidR="00085A22" w:rsidRPr="00085A22">
        <w:rPr>
          <w:rFonts w:ascii="Times New Roman" w:hAnsi="Times New Roman"/>
          <w:b/>
          <w:bCs/>
          <w:sz w:val="24"/>
          <w:szCs w:val="24"/>
          <w:lang w:val="lt-LT"/>
        </w:rPr>
        <w:t>ne daugiau ± 2 %</w:t>
      </w:r>
      <w:r w:rsidR="004B27ED" w:rsidRPr="00244903">
        <w:rPr>
          <w:rFonts w:ascii="Times New Roman" w:hAnsi="Times New Roman"/>
          <w:b/>
          <w:bCs/>
          <w:sz w:val="24"/>
          <w:szCs w:val="24"/>
          <w:lang w:val="lt-LT"/>
        </w:rPr>
        <w:t>“</w:t>
      </w:r>
      <w:r w:rsidRPr="00244903">
        <w:rPr>
          <w:rFonts w:ascii="Times New Roman" w:hAnsi="Times New Roman"/>
          <w:b/>
          <w:bCs/>
          <w:sz w:val="24"/>
          <w:szCs w:val="24"/>
          <w:lang w:val="lt-LT"/>
        </w:rPr>
        <w:t xml:space="preserve"> </w:t>
      </w:r>
      <w:r w:rsidR="004B27ED" w:rsidRPr="00244903">
        <w:rPr>
          <w:rFonts w:ascii="Times New Roman" w:hAnsi="Times New Roman"/>
          <w:b/>
          <w:bCs/>
          <w:sz w:val="24"/>
          <w:szCs w:val="24"/>
          <w:lang w:val="lt-LT"/>
        </w:rPr>
        <w:t>gautos pastabos</w:t>
      </w:r>
      <w:r w:rsidR="003F4685" w:rsidRPr="00244903">
        <w:rPr>
          <w:rFonts w:ascii="Times New Roman" w:hAnsi="Times New Roman"/>
          <w:sz w:val="24"/>
          <w:szCs w:val="24"/>
          <w:lang w:val="lt-LT"/>
        </w:rPr>
        <w:t>:</w:t>
      </w:r>
    </w:p>
    <w:p w14:paraId="43D18789" w14:textId="77777777" w:rsidR="00085A22" w:rsidRPr="00085A22" w:rsidRDefault="003F4685" w:rsidP="00085A22">
      <w:pPr>
        <w:pStyle w:val="Sraopastraipa"/>
        <w:numPr>
          <w:ilvl w:val="0"/>
          <w:numId w:val="1"/>
        </w:numPr>
        <w:jc w:val="both"/>
        <w:rPr>
          <w:rFonts w:ascii="Times New Roman" w:hAnsi="Times New Roman"/>
          <w:i/>
          <w:iCs/>
          <w:sz w:val="24"/>
          <w:szCs w:val="24"/>
          <w:lang w:val="lt-LT"/>
        </w:rPr>
      </w:pPr>
      <w:r w:rsidRPr="00244903">
        <w:rPr>
          <w:rFonts w:ascii="Times New Roman" w:hAnsi="Times New Roman"/>
          <w:i/>
          <w:iCs/>
          <w:sz w:val="24"/>
          <w:szCs w:val="24"/>
          <w:lang w:val="lt-LT"/>
        </w:rPr>
        <w:t xml:space="preserve"> </w:t>
      </w:r>
      <w:r w:rsidR="00085A22" w:rsidRPr="00085A22">
        <w:rPr>
          <w:rFonts w:ascii="Times New Roman" w:hAnsi="Times New Roman"/>
          <w:i/>
          <w:iCs/>
          <w:sz w:val="24"/>
          <w:szCs w:val="24"/>
          <w:lang w:val="lt-LT"/>
        </w:rPr>
        <w:t>Prašome pakoreguoti techninės specifikacijos reikalavimą Nr. 1.2.4., Nr. 2.2.4., ir Nr. 3.1.4., kuris nurodo leistiną infuzijos greičio paklaidą „Infuzijos greičio paklaida ne daugiau ± 2 %“, padidinant leistiną infuzijos greičio paklaidą iki ± 3%.</w:t>
      </w:r>
    </w:p>
    <w:p w14:paraId="5849608B" w14:textId="77777777" w:rsidR="00085A22" w:rsidRPr="00085A22" w:rsidRDefault="00085A22" w:rsidP="00085A22">
      <w:pPr>
        <w:pStyle w:val="Sraopastraipa"/>
        <w:jc w:val="both"/>
        <w:rPr>
          <w:rFonts w:ascii="Times New Roman" w:hAnsi="Times New Roman"/>
          <w:i/>
          <w:iCs/>
          <w:sz w:val="24"/>
          <w:szCs w:val="24"/>
          <w:lang w:val="lt-LT"/>
        </w:rPr>
      </w:pPr>
      <w:r w:rsidRPr="00085A22">
        <w:rPr>
          <w:rFonts w:ascii="Times New Roman" w:hAnsi="Times New Roman"/>
          <w:i/>
          <w:iCs/>
          <w:sz w:val="24"/>
          <w:szCs w:val="24"/>
          <w:lang w:val="lt-LT"/>
        </w:rPr>
        <w:t>Pažymime, kad ankstesnėje infuzinės švirkštinės pompos brošiūroje gamintojas Fresenius Kabi AG nurodydavo paklaidą švirkštui (paklaida švirkštui ± 2%) ir atskirai mechanizmo paklaidą (paklaida mechanizmui ± 1%). Vis gi šie parametrai būdavo skirtingai interpretuojami kitų tiekėjų ir perkančiosios organizacijos dažnai sulaukdavo pretenzijų iš tiekėjų, jog perkančioji organizacija turėtų vertinti suminę paklaidą, kuri būtų ± 3%. Todėl atnaujintoje švirkštinės pompos brošiūroje gamintojas Fresenius Kabi AG nusprendė nurodyti suminę infuzijos greičio paklaida, kuri yra ± 3%.</w:t>
      </w:r>
    </w:p>
    <w:p w14:paraId="3B081245" w14:textId="16C566F7" w:rsidR="005B21C0" w:rsidRPr="00244903" w:rsidRDefault="00085A22" w:rsidP="00085A22">
      <w:pPr>
        <w:pStyle w:val="Sraopastraipa"/>
        <w:jc w:val="both"/>
        <w:rPr>
          <w:rFonts w:ascii="Times New Roman" w:hAnsi="Times New Roman"/>
          <w:i/>
          <w:iCs/>
          <w:sz w:val="24"/>
          <w:szCs w:val="24"/>
          <w:lang w:val="lt-LT"/>
        </w:rPr>
      </w:pPr>
      <w:r w:rsidRPr="00085A22">
        <w:rPr>
          <w:rFonts w:ascii="Times New Roman" w:hAnsi="Times New Roman"/>
          <w:i/>
          <w:iCs/>
          <w:sz w:val="24"/>
          <w:szCs w:val="24"/>
          <w:lang w:val="lt-LT"/>
        </w:rPr>
        <w:t>Prašome atsižvelgti į argumentuotas pastabas ir pakoreguoti techninės specifikacijos reikalavimus Nr. 1.2.4, Nr. 2.2.4. ir Nr. 3.1.4.</w:t>
      </w:r>
      <w:r w:rsidRPr="00085A22">
        <w:rPr>
          <w:rFonts w:ascii="Times New Roman" w:hAnsi="Times New Roman"/>
          <w:i/>
          <w:iCs/>
          <w:sz w:val="24"/>
          <w:szCs w:val="24"/>
          <w:lang w:val="lt-LT"/>
        </w:rPr>
        <w:t xml:space="preserve"> </w:t>
      </w:r>
      <w:r w:rsidR="004B27ED" w:rsidRPr="00244903">
        <w:rPr>
          <w:rFonts w:ascii="Times New Roman" w:hAnsi="Times New Roman"/>
          <w:i/>
          <w:iCs/>
          <w:sz w:val="24"/>
          <w:szCs w:val="24"/>
          <w:lang w:val="lt-LT"/>
        </w:rPr>
        <w:t>‘‘.</w:t>
      </w:r>
    </w:p>
    <w:p w14:paraId="283F06C2" w14:textId="55AB1D29" w:rsidR="004B27ED" w:rsidRPr="00244903" w:rsidRDefault="004B27ED" w:rsidP="004B27ED">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711DC181" w14:textId="2F69D83B" w:rsidR="00144158" w:rsidRPr="00144158" w:rsidRDefault="00085A22" w:rsidP="00144158">
      <w:pPr>
        <w:jc w:val="both"/>
        <w:rPr>
          <w:rFonts w:ascii="Times New Roman" w:hAnsi="Times New Roman"/>
          <w:sz w:val="24"/>
          <w:szCs w:val="24"/>
          <w:lang w:val="lt-LT"/>
        </w:rPr>
      </w:pPr>
      <w:r>
        <w:rPr>
          <w:rFonts w:ascii="Times New Roman" w:hAnsi="Times New Roman"/>
          <w:sz w:val="24"/>
          <w:szCs w:val="24"/>
          <w:lang w:val="lt-LT"/>
        </w:rPr>
        <w:t>Atsižvelgiant į Tiekėjo pastabas, Perkančioji organizacija sutinka koreguoti reikalavimą sekančiai: „</w:t>
      </w:r>
      <w:r w:rsidRPr="00085A22">
        <w:rPr>
          <w:rFonts w:ascii="Times New Roman" w:hAnsi="Times New Roman"/>
          <w:b/>
          <w:bCs/>
          <w:sz w:val="24"/>
          <w:szCs w:val="24"/>
          <w:lang w:val="lt-LT"/>
        </w:rPr>
        <w:t>Infuzijos greičio paklaida</w:t>
      </w:r>
      <w:r>
        <w:rPr>
          <w:rFonts w:ascii="Times New Roman" w:hAnsi="Times New Roman"/>
          <w:b/>
          <w:bCs/>
          <w:sz w:val="24"/>
          <w:szCs w:val="24"/>
          <w:lang w:val="lt-LT"/>
        </w:rPr>
        <w:t xml:space="preserve"> </w:t>
      </w:r>
      <w:r w:rsidRPr="00085A22">
        <w:rPr>
          <w:rFonts w:ascii="Times New Roman" w:hAnsi="Times New Roman"/>
          <w:b/>
          <w:bCs/>
          <w:sz w:val="24"/>
          <w:szCs w:val="24"/>
          <w:lang w:val="lt-LT"/>
        </w:rPr>
        <w:t xml:space="preserve">ne daugiau ± </w:t>
      </w:r>
      <w:r>
        <w:rPr>
          <w:rFonts w:ascii="Times New Roman" w:hAnsi="Times New Roman"/>
          <w:b/>
          <w:bCs/>
          <w:sz w:val="24"/>
          <w:szCs w:val="24"/>
          <w:lang w:val="lt-LT"/>
        </w:rPr>
        <w:t>3</w:t>
      </w:r>
      <w:r w:rsidRPr="00085A22">
        <w:rPr>
          <w:rFonts w:ascii="Times New Roman" w:hAnsi="Times New Roman"/>
          <w:b/>
          <w:bCs/>
          <w:sz w:val="24"/>
          <w:szCs w:val="24"/>
          <w:lang w:val="lt-LT"/>
        </w:rPr>
        <w:t xml:space="preserve"> %</w:t>
      </w:r>
      <w:r w:rsidRPr="00244903">
        <w:rPr>
          <w:rFonts w:ascii="Times New Roman" w:hAnsi="Times New Roman"/>
          <w:b/>
          <w:bCs/>
          <w:sz w:val="24"/>
          <w:szCs w:val="24"/>
          <w:lang w:val="lt-LT"/>
        </w:rPr>
        <w:t>“</w:t>
      </w:r>
    </w:p>
    <w:p w14:paraId="7E29E198" w14:textId="41FBB3F0" w:rsidR="004B27ED" w:rsidRPr="00244903" w:rsidRDefault="004B27ED" w:rsidP="00144158">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085A22">
        <w:rPr>
          <w:rFonts w:ascii="Times New Roman" w:hAnsi="Times New Roman"/>
          <w:b/>
          <w:bCs/>
          <w:sz w:val="24"/>
          <w:szCs w:val="24"/>
          <w:lang w:val="lt-LT"/>
        </w:rPr>
        <w:t xml:space="preserve">1.3.19. ir 4.1.19. </w:t>
      </w:r>
      <w:r w:rsidRPr="00244903">
        <w:rPr>
          <w:rFonts w:ascii="Times New Roman" w:hAnsi="Times New Roman"/>
          <w:b/>
          <w:bCs/>
          <w:sz w:val="24"/>
          <w:szCs w:val="24"/>
          <w:lang w:val="lt-LT"/>
        </w:rPr>
        <w:t>p. reikalavimo „</w:t>
      </w:r>
      <w:r w:rsidR="00085A22" w:rsidRPr="00085A22">
        <w:rPr>
          <w:rFonts w:ascii="Times New Roman" w:hAnsi="Times New Roman"/>
          <w:b/>
          <w:bCs/>
          <w:sz w:val="24"/>
          <w:szCs w:val="24"/>
          <w:lang w:val="lt-LT"/>
        </w:rPr>
        <w:t>Apsauga nuo nekontroliuojamos skysčių tėkmės</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3D7B6096" w14:textId="77777777" w:rsidR="00085A22" w:rsidRPr="00085A22" w:rsidRDefault="00085A22" w:rsidP="00085A22">
      <w:pPr>
        <w:pStyle w:val="Sraopastraipa"/>
        <w:numPr>
          <w:ilvl w:val="0"/>
          <w:numId w:val="2"/>
        </w:numPr>
        <w:jc w:val="both"/>
        <w:rPr>
          <w:rFonts w:ascii="Times New Roman" w:hAnsi="Times New Roman"/>
          <w:i/>
          <w:iCs/>
          <w:sz w:val="24"/>
          <w:szCs w:val="24"/>
          <w:lang w:val="lt-LT"/>
        </w:rPr>
      </w:pPr>
      <w:r w:rsidRPr="00085A22">
        <w:rPr>
          <w:rFonts w:ascii="Times New Roman" w:hAnsi="Times New Roman"/>
          <w:i/>
          <w:iCs/>
          <w:sz w:val="24"/>
          <w:szCs w:val="24"/>
          <w:lang w:val="lt-LT"/>
        </w:rPr>
        <w:t>Siūlome papildyti techninės specifikacijos reikalavimą Nr. 1.3.19. ir Nr. 4.1.19, kuris nurodo technologinį infuzinės tūrinės pompos sprendimą apsaugai nuo nekontroliuojamos skysčių tėkmės „Apsauga nuo nekontroliuojamos skysčių tėkmės“, paaiškinant, kad infuzinės sistemos spaustukas turėtų būti uždaromas automatiškai, kad būtų išvengta nekontroliuojamos skysčių tėkmės atidarius pompos dureles ir išimant infuzinę sistemą.</w:t>
      </w:r>
    </w:p>
    <w:p w14:paraId="4C037F0E" w14:textId="413524E5" w:rsidR="00244903" w:rsidRPr="00244903" w:rsidRDefault="00085A22" w:rsidP="00085A22">
      <w:pPr>
        <w:pStyle w:val="Sraopastraipa"/>
        <w:jc w:val="both"/>
        <w:rPr>
          <w:rFonts w:ascii="Times New Roman" w:hAnsi="Times New Roman"/>
          <w:i/>
          <w:iCs/>
          <w:sz w:val="24"/>
          <w:szCs w:val="24"/>
          <w:lang w:val="lt-LT"/>
        </w:rPr>
      </w:pPr>
      <w:r w:rsidRPr="00085A22">
        <w:rPr>
          <w:rFonts w:ascii="Times New Roman" w:hAnsi="Times New Roman"/>
          <w:i/>
          <w:iCs/>
          <w:sz w:val="24"/>
          <w:szCs w:val="24"/>
          <w:lang w:val="lt-LT"/>
        </w:rPr>
        <w:t>Pažymime, kad toks sprendimas užtikrins didžiausią saugumą nuo nekontroliuojamos skysčių tėkmės.</w:t>
      </w:r>
      <w:r w:rsidR="00244903" w:rsidRPr="00244903">
        <w:rPr>
          <w:rFonts w:ascii="Times New Roman" w:hAnsi="Times New Roman"/>
          <w:i/>
          <w:iCs/>
          <w:sz w:val="24"/>
          <w:szCs w:val="24"/>
          <w:lang w:val="lt-LT"/>
        </w:rPr>
        <w:t>.‘‘.</w:t>
      </w:r>
    </w:p>
    <w:p w14:paraId="2734608B" w14:textId="63BE8EC5"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4B375373" w14:textId="0B676292" w:rsidR="00085A22" w:rsidRPr="00085A22" w:rsidRDefault="00085A22" w:rsidP="00244903">
      <w:pPr>
        <w:jc w:val="both"/>
        <w:rPr>
          <w:rFonts w:ascii="Times New Roman" w:hAnsi="Times New Roman"/>
          <w:sz w:val="24"/>
          <w:szCs w:val="24"/>
          <w:lang w:val="lt-LT"/>
        </w:rPr>
      </w:pPr>
      <w:r>
        <w:rPr>
          <w:rFonts w:ascii="Times New Roman" w:hAnsi="Times New Roman"/>
          <w:sz w:val="24"/>
          <w:szCs w:val="24"/>
          <w:lang w:val="lt-LT"/>
        </w:rPr>
        <w:t xml:space="preserve">Įvertinus rinkos tyrimo metu surinktą informaciją, perkančioji organizacija nustatė, jog ne mažiau kaip trys skirtingi gamintojai </w:t>
      </w:r>
      <w:r w:rsidR="004B1659">
        <w:rPr>
          <w:rFonts w:ascii="Times New Roman" w:hAnsi="Times New Roman"/>
          <w:sz w:val="24"/>
          <w:szCs w:val="24"/>
          <w:lang w:val="lt-LT"/>
        </w:rPr>
        <w:t>siūlo pompas su a</w:t>
      </w:r>
      <w:r>
        <w:rPr>
          <w:rFonts w:ascii="Times New Roman" w:hAnsi="Times New Roman"/>
          <w:sz w:val="24"/>
          <w:szCs w:val="24"/>
          <w:lang w:val="lt-LT"/>
        </w:rPr>
        <w:t>psauga nuo nekontroliuojamos skysčių tė</w:t>
      </w:r>
      <w:r w:rsidR="004B1659">
        <w:rPr>
          <w:rFonts w:ascii="Times New Roman" w:hAnsi="Times New Roman"/>
          <w:sz w:val="24"/>
          <w:szCs w:val="24"/>
          <w:lang w:val="lt-LT"/>
        </w:rPr>
        <w:t xml:space="preserve">kmės, tačiau iš viešai prieinamų duomenų nėra aišku, kokiu būdu ši funkcija išpildoma, todėl </w:t>
      </w:r>
      <w:r w:rsidR="004B1659">
        <w:rPr>
          <w:rFonts w:ascii="Times New Roman" w:hAnsi="Times New Roman"/>
          <w:sz w:val="24"/>
          <w:szCs w:val="24"/>
          <w:lang w:val="lt-LT"/>
        </w:rPr>
        <w:t>siekiant išvengti dirbtino konkurencijos ribojimo, bei perteklinių reikalavimų techninėje specifikacijoje, atsisako koreguoti parametrą.</w:t>
      </w:r>
    </w:p>
    <w:sectPr w:rsidR="00085A22" w:rsidRPr="00085A22" w:rsidSect="00EF3687">
      <w:pgSz w:w="12240" w:h="15840"/>
      <w:pgMar w:top="993" w:right="758"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017D" w14:textId="77777777" w:rsidR="00C02AD9" w:rsidRDefault="00C02AD9">
      <w:pPr>
        <w:spacing w:after="0" w:line="240" w:lineRule="auto"/>
      </w:pPr>
      <w:r>
        <w:separator/>
      </w:r>
    </w:p>
  </w:endnote>
  <w:endnote w:type="continuationSeparator" w:id="0">
    <w:p w14:paraId="3FDD1C4B" w14:textId="77777777" w:rsidR="00C02AD9" w:rsidRDefault="00C0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AE69" w14:textId="77777777" w:rsidR="00C02AD9" w:rsidRDefault="00C02AD9">
      <w:pPr>
        <w:spacing w:after="0" w:line="240" w:lineRule="auto"/>
      </w:pPr>
      <w:r>
        <w:rPr>
          <w:color w:val="000000"/>
        </w:rPr>
        <w:separator/>
      </w:r>
    </w:p>
  </w:footnote>
  <w:footnote w:type="continuationSeparator" w:id="0">
    <w:p w14:paraId="29CC49B4" w14:textId="77777777" w:rsidR="00C02AD9" w:rsidRDefault="00C02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6C7"/>
    <w:multiLevelType w:val="hybridMultilevel"/>
    <w:tmpl w:val="52F6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16E83"/>
    <w:multiLevelType w:val="hybridMultilevel"/>
    <w:tmpl w:val="79B81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B1D0C"/>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5E5683"/>
    <w:multiLevelType w:val="hybridMultilevel"/>
    <w:tmpl w:val="5606A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C25A9"/>
    <w:multiLevelType w:val="hybridMultilevel"/>
    <w:tmpl w:val="7924C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167B1"/>
    <w:multiLevelType w:val="hybridMultilevel"/>
    <w:tmpl w:val="1D466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61DF5"/>
    <w:multiLevelType w:val="hybridMultilevel"/>
    <w:tmpl w:val="7924C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7B5D05"/>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D51883"/>
    <w:multiLevelType w:val="hybridMultilevel"/>
    <w:tmpl w:val="7B70EB9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35F63"/>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174C2F"/>
    <w:multiLevelType w:val="hybridMultilevel"/>
    <w:tmpl w:val="56600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8086A"/>
    <w:multiLevelType w:val="hybridMultilevel"/>
    <w:tmpl w:val="52F6F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E2670"/>
    <w:multiLevelType w:val="hybridMultilevel"/>
    <w:tmpl w:val="429A6DA8"/>
    <w:lvl w:ilvl="0" w:tplc="4D9AA3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B6184"/>
    <w:multiLevelType w:val="hybridMultilevel"/>
    <w:tmpl w:val="79B81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AC6A14"/>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AB0474"/>
    <w:multiLevelType w:val="hybridMultilevel"/>
    <w:tmpl w:val="0E6A5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086947">
    <w:abstractNumId w:val="15"/>
  </w:num>
  <w:num w:numId="2" w16cid:durableId="655308083">
    <w:abstractNumId w:val="11"/>
  </w:num>
  <w:num w:numId="3" w16cid:durableId="616256392">
    <w:abstractNumId w:val="0"/>
  </w:num>
  <w:num w:numId="4" w16cid:durableId="1708871496">
    <w:abstractNumId w:val="1"/>
  </w:num>
  <w:num w:numId="5" w16cid:durableId="1109348776">
    <w:abstractNumId w:val="13"/>
  </w:num>
  <w:num w:numId="6" w16cid:durableId="1812363826">
    <w:abstractNumId w:val="3"/>
  </w:num>
  <w:num w:numId="7" w16cid:durableId="470026054">
    <w:abstractNumId w:val="9"/>
  </w:num>
  <w:num w:numId="8" w16cid:durableId="185950673">
    <w:abstractNumId w:val="12"/>
  </w:num>
  <w:num w:numId="9" w16cid:durableId="1332950765">
    <w:abstractNumId w:val="7"/>
  </w:num>
  <w:num w:numId="10" w16cid:durableId="1534803539">
    <w:abstractNumId w:val="4"/>
  </w:num>
  <w:num w:numId="11" w16cid:durableId="2061634932">
    <w:abstractNumId w:val="6"/>
  </w:num>
  <w:num w:numId="12" w16cid:durableId="1064063466">
    <w:abstractNumId w:val="8"/>
  </w:num>
  <w:num w:numId="13" w16cid:durableId="510528035">
    <w:abstractNumId w:val="2"/>
  </w:num>
  <w:num w:numId="14" w16cid:durableId="1337733815">
    <w:abstractNumId w:val="14"/>
  </w:num>
  <w:num w:numId="15" w16cid:durableId="578296547">
    <w:abstractNumId w:val="10"/>
  </w:num>
  <w:num w:numId="16" w16cid:durableId="759643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8C"/>
    <w:rsid w:val="000268B8"/>
    <w:rsid w:val="00044A00"/>
    <w:rsid w:val="00085A22"/>
    <w:rsid w:val="00085E53"/>
    <w:rsid w:val="000F02C4"/>
    <w:rsid w:val="00144158"/>
    <w:rsid w:val="00162754"/>
    <w:rsid w:val="001740BA"/>
    <w:rsid w:val="001A37F6"/>
    <w:rsid w:val="001D7638"/>
    <w:rsid w:val="001F23E4"/>
    <w:rsid w:val="00201DBA"/>
    <w:rsid w:val="00215B30"/>
    <w:rsid w:val="00222FC7"/>
    <w:rsid w:val="00244903"/>
    <w:rsid w:val="002C72A5"/>
    <w:rsid w:val="002F61CD"/>
    <w:rsid w:val="003322E0"/>
    <w:rsid w:val="00345929"/>
    <w:rsid w:val="003D744F"/>
    <w:rsid w:val="003F4685"/>
    <w:rsid w:val="003F659F"/>
    <w:rsid w:val="00452237"/>
    <w:rsid w:val="004B1659"/>
    <w:rsid w:val="004B27ED"/>
    <w:rsid w:val="004C4EA3"/>
    <w:rsid w:val="00523F77"/>
    <w:rsid w:val="005B21C0"/>
    <w:rsid w:val="005B24F0"/>
    <w:rsid w:val="005D7DD7"/>
    <w:rsid w:val="006C70FB"/>
    <w:rsid w:val="006D23CA"/>
    <w:rsid w:val="006F79A8"/>
    <w:rsid w:val="007056F8"/>
    <w:rsid w:val="0071321C"/>
    <w:rsid w:val="00726134"/>
    <w:rsid w:val="00744991"/>
    <w:rsid w:val="007E42FD"/>
    <w:rsid w:val="008D08FB"/>
    <w:rsid w:val="008D7D8C"/>
    <w:rsid w:val="008E3CCF"/>
    <w:rsid w:val="009538F8"/>
    <w:rsid w:val="00960A33"/>
    <w:rsid w:val="00A36E96"/>
    <w:rsid w:val="00A43E41"/>
    <w:rsid w:val="00A807BF"/>
    <w:rsid w:val="00C02AD9"/>
    <w:rsid w:val="00C659F2"/>
    <w:rsid w:val="00CB3B56"/>
    <w:rsid w:val="00DC5C59"/>
    <w:rsid w:val="00E05920"/>
    <w:rsid w:val="00E26D7E"/>
    <w:rsid w:val="00E716BC"/>
    <w:rsid w:val="00E94671"/>
    <w:rsid w:val="00EC56DA"/>
    <w:rsid w:val="00ED3180"/>
    <w:rsid w:val="00EE2A59"/>
    <w:rsid w:val="00EF3687"/>
    <w:rsid w:val="00F8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5BBE"/>
  <w15:docId w15:val="{4D3E4737-466F-4BAA-B4D2-BE9CB8F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744991"/>
  </w:style>
  <w:style w:type="table" w:styleId="Lentelstinklelis">
    <w:name w:val="Table Grid"/>
    <w:basedOn w:val="prastojilentel"/>
    <w:uiPriority w:val="39"/>
    <w:rsid w:val="00744991"/>
    <w:pPr>
      <w:suppressAutoHyphens/>
      <w:autoSpaceDN/>
      <w:spacing w:after="0" w:line="240" w:lineRule="auto"/>
    </w:pPr>
    <w:rPr>
      <w:rFonts w:asciiTheme="minorHAnsi" w:eastAsiaTheme="minorHAnsi" w:hAnsiTheme="minorHAnsi" w:cstheme="minorBidi"/>
      <w:kern w:val="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B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7965">
      <w:bodyDiv w:val="1"/>
      <w:marLeft w:val="0"/>
      <w:marRight w:val="0"/>
      <w:marTop w:val="0"/>
      <w:marBottom w:val="0"/>
      <w:divBdr>
        <w:top w:val="none" w:sz="0" w:space="0" w:color="auto"/>
        <w:left w:val="none" w:sz="0" w:space="0" w:color="auto"/>
        <w:bottom w:val="none" w:sz="0" w:space="0" w:color="auto"/>
        <w:right w:val="none" w:sz="0" w:space="0" w:color="auto"/>
      </w:divBdr>
    </w:div>
    <w:div w:id="1881504100">
      <w:bodyDiv w:val="1"/>
      <w:marLeft w:val="0"/>
      <w:marRight w:val="0"/>
      <w:marTop w:val="0"/>
      <w:marBottom w:val="0"/>
      <w:divBdr>
        <w:top w:val="none" w:sz="0" w:space="0" w:color="auto"/>
        <w:left w:val="none" w:sz="0" w:space="0" w:color="auto"/>
        <w:bottom w:val="none" w:sz="0" w:space="0" w:color="auto"/>
        <w:right w:val="none" w:sz="0" w:space="0" w:color="auto"/>
      </w:divBdr>
    </w:div>
    <w:div w:id="1934389308">
      <w:bodyDiv w:val="1"/>
      <w:marLeft w:val="0"/>
      <w:marRight w:val="0"/>
      <w:marTop w:val="0"/>
      <w:marBottom w:val="0"/>
      <w:divBdr>
        <w:top w:val="none" w:sz="0" w:space="0" w:color="auto"/>
        <w:left w:val="none" w:sz="0" w:space="0" w:color="auto"/>
        <w:bottom w:val="none" w:sz="0" w:space="0" w:color="auto"/>
        <w:right w:val="none" w:sz="0" w:space="0" w:color="auto"/>
      </w:divBdr>
    </w:div>
    <w:div w:id="1943025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387</Words>
  <Characters>2207</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dc:creator>
  <dc:description/>
  <cp:lastModifiedBy>Kamilė Bačiulė</cp:lastModifiedBy>
  <cp:revision>8</cp:revision>
  <dcterms:created xsi:type="dcterms:W3CDTF">2024-06-16T18:29:00Z</dcterms:created>
  <dcterms:modified xsi:type="dcterms:W3CDTF">2025-03-21T07:27:00Z</dcterms:modified>
</cp:coreProperties>
</file>