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77777777"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13D22734" w14:textId="77777777" w:rsidR="00AC6979" w:rsidRPr="007974DE" w:rsidRDefault="00AC6979" w:rsidP="007974DE">
          <w:pPr>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PATVIRTINTA</w:t>
          </w:r>
        </w:p>
        <w:p w14:paraId="0036A673" w14:textId="77777777" w:rsidR="00AC6979" w:rsidRPr="007974DE" w:rsidRDefault="00AC6979" w:rsidP="007974DE">
          <w:pPr>
            <w:tabs>
              <w:tab w:val="right" w:leader="underscore" w:pos="8640"/>
            </w:tabs>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Viešojo pirkimo komisijos</w:t>
          </w:r>
        </w:p>
        <w:p w14:paraId="4B9C31DD" w14:textId="5111C5F4" w:rsidR="00AC6979" w:rsidRPr="007974DE" w:rsidRDefault="00AC6979" w:rsidP="007974DE">
          <w:pPr>
            <w:tabs>
              <w:tab w:val="right" w:leader="underscore" w:pos="8640"/>
            </w:tabs>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202</w:t>
          </w:r>
          <w:r w:rsidR="009D7FF1" w:rsidRPr="007974DE">
            <w:rPr>
              <w:rFonts w:ascii="Times New Roman" w:hAnsi="Times New Roman" w:cs="Times New Roman"/>
              <w:i/>
              <w:sz w:val="24"/>
              <w:szCs w:val="24"/>
            </w:rPr>
            <w:t>5</w:t>
          </w:r>
          <w:r w:rsidRPr="007974DE">
            <w:rPr>
              <w:rFonts w:ascii="Times New Roman" w:hAnsi="Times New Roman" w:cs="Times New Roman"/>
              <w:i/>
              <w:sz w:val="24"/>
              <w:szCs w:val="24"/>
            </w:rPr>
            <w:t>-</w:t>
          </w:r>
          <w:r w:rsidR="009D1D31">
            <w:rPr>
              <w:rFonts w:ascii="Times New Roman" w:hAnsi="Times New Roman" w:cs="Times New Roman"/>
              <w:i/>
              <w:sz w:val="24"/>
              <w:szCs w:val="24"/>
            </w:rPr>
            <w:t>0</w:t>
          </w:r>
          <w:r w:rsidR="002D619E">
            <w:rPr>
              <w:rFonts w:ascii="Times New Roman" w:hAnsi="Times New Roman" w:cs="Times New Roman"/>
              <w:i/>
              <w:sz w:val="24"/>
              <w:szCs w:val="24"/>
            </w:rPr>
            <w:t>3</w:t>
          </w:r>
          <w:r w:rsidRPr="007974DE">
            <w:rPr>
              <w:rFonts w:ascii="Times New Roman" w:hAnsi="Times New Roman" w:cs="Times New Roman"/>
              <w:i/>
              <w:sz w:val="24"/>
              <w:szCs w:val="24"/>
            </w:rPr>
            <w:t>-</w:t>
          </w:r>
          <w:r w:rsidR="002D619E">
            <w:rPr>
              <w:rFonts w:ascii="Times New Roman" w:hAnsi="Times New Roman" w:cs="Times New Roman"/>
              <w:i/>
              <w:sz w:val="24"/>
              <w:szCs w:val="24"/>
            </w:rPr>
            <w:t>25</w:t>
          </w:r>
          <w:r w:rsidRPr="007974DE">
            <w:rPr>
              <w:rFonts w:ascii="Times New Roman" w:hAnsi="Times New Roman" w:cs="Times New Roman"/>
              <w:i/>
              <w:sz w:val="24"/>
              <w:szCs w:val="24"/>
            </w:rPr>
            <w:t xml:space="preserve"> protokolu Nr. CPOVPP-</w:t>
          </w:r>
          <w:r w:rsidR="002D619E">
            <w:rPr>
              <w:rFonts w:ascii="Times New Roman" w:hAnsi="Times New Roman" w:cs="Times New Roman"/>
              <w:i/>
              <w:sz w:val="24"/>
              <w:szCs w:val="24"/>
            </w:rPr>
            <w:t>113</w:t>
          </w: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6218C1F9" w14:textId="2BC77557" w:rsidR="00F977E8" w:rsidRPr="007974DE" w:rsidRDefault="00F977E8"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 xml:space="preserve">MAŽOS VERTĖS VIEŠOJO </w:t>
          </w:r>
          <w:r w:rsidR="009D7FF1" w:rsidRPr="007974DE">
            <w:rPr>
              <w:rFonts w:ascii="Times New Roman" w:eastAsia="Times New Roman" w:hAnsi="Times New Roman" w:cs="Times New Roman"/>
              <w:b/>
              <w:bCs/>
              <w:sz w:val="24"/>
              <w:szCs w:val="24"/>
              <w:lang w:eastAsia="en-US"/>
            </w:rPr>
            <w:t>PIRKIMO „</w:t>
          </w:r>
          <w:r w:rsidR="00861280" w:rsidRPr="00861280">
            <w:rPr>
              <w:rFonts w:ascii="Times New Roman" w:eastAsia="Times New Roman" w:hAnsi="Times New Roman" w:cs="Times New Roman"/>
              <w:b/>
              <w:bCs/>
              <w:sz w:val="24"/>
              <w:szCs w:val="24"/>
              <w:lang w:eastAsia="en-US"/>
            </w:rPr>
            <w:t xml:space="preserve">ĮTRAUKIOJO UGDYMO KOMPETENCIJŲ TOBULINIMO MOKYMŲ PASLAUGŲ </w:t>
          </w:r>
          <w:r w:rsidR="00861280" w:rsidRPr="007974DE">
            <w:rPr>
              <w:rFonts w:ascii="Times New Roman" w:eastAsia="Times New Roman" w:hAnsi="Times New Roman" w:cs="Times New Roman"/>
              <w:b/>
              <w:bCs/>
              <w:sz w:val="24"/>
              <w:szCs w:val="24"/>
              <w:lang w:eastAsia="en-US"/>
            </w:rPr>
            <w:t>PIRKIMAS</w:t>
          </w:r>
          <w:r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2D619E"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7BDB" w14:textId="77777777" w:rsidR="00DF01F0" w:rsidRDefault="00DF01F0" w:rsidP="00D05666">
      <w:r>
        <w:separator/>
      </w:r>
    </w:p>
  </w:endnote>
  <w:endnote w:type="continuationSeparator" w:id="0">
    <w:p w14:paraId="70B08633" w14:textId="77777777" w:rsidR="00DF01F0" w:rsidRDefault="00DF01F0" w:rsidP="00D05666">
      <w:r>
        <w:continuationSeparator/>
      </w:r>
    </w:p>
  </w:endnote>
  <w:endnote w:type="continuationNotice" w:id="1">
    <w:p w14:paraId="4A67D798" w14:textId="77777777" w:rsidR="00DF01F0" w:rsidRDefault="00DF0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4A51A" w14:textId="77777777" w:rsidR="00DF01F0" w:rsidRDefault="00DF01F0" w:rsidP="00D05666">
      <w:r>
        <w:separator/>
      </w:r>
    </w:p>
  </w:footnote>
  <w:footnote w:type="continuationSeparator" w:id="0">
    <w:p w14:paraId="0786BB93" w14:textId="77777777" w:rsidR="00DF01F0" w:rsidRDefault="00DF01F0" w:rsidP="00D05666">
      <w:r>
        <w:continuationSeparator/>
      </w:r>
    </w:p>
  </w:footnote>
  <w:footnote w:type="continuationNotice" w:id="1">
    <w:p w14:paraId="02DB7E73" w14:textId="77777777" w:rsidR="00DF01F0" w:rsidRDefault="00DF01F0">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5378039">
    <w:abstractNumId w:val="12"/>
  </w:num>
  <w:num w:numId="2" w16cid:durableId="863783936">
    <w:abstractNumId w:val="4"/>
  </w:num>
  <w:num w:numId="3" w16cid:durableId="2038121206">
    <w:abstractNumId w:val="9"/>
  </w:num>
  <w:num w:numId="4" w16cid:durableId="1647933758">
    <w:abstractNumId w:val="24"/>
  </w:num>
  <w:num w:numId="5" w16cid:durableId="1404374011">
    <w:abstractNumId w:val="19"/>
  </w:num>
  <w:num w:numId="6" w16cid:durableId="1848055915">
    <w:abstractNumId w:val="15"/>
  </w:num>
  <w:num w:numId="7" w16cid:durableId="1613509362">
    <w:abstractNumId w:val="18"/>
  </w:num>
  <w:num w:numId="8" w16cid:durableId="1515922466">
    <w:abstractNumId w:val="0"/>
  </w:num>
  <w:num w:numId="9" w16cid:durableId="1956717396">
    <w:abstractNumId w:val="13"/>
  </w:num>
  <w:num w:numId="10" w16cid:durableId="704714912">
    <w:abstractNumId w:val="26"/>
  </w:num>
  <w:num w:numId="11" w16cid:durableId="205023264">
    <w:abstractNumId w:val="31"/>
  </w:num>
  <w:num w:numId="12" w16cid:durableId="2127845564">
    <w:abstractNumId w:val="33"/>
  </w:num>
  <w:num w:numId="13" w16cid:durableId="1531649924">
    <w:abstractNumId w:val="34"/>
  </w:num>
  <w:num w:numId="14" w16cid:durableId="2049866366">
    <w:abstractNumId w:val="32"/>
  </w:num>
  <w:num w:numId="15" w16cid:durableId="541022632">
    <w:abstractNumId w:val="30"/>
  </w:num>
  <w:num w:numId="16" w16cid:durableId="1550411478">
    <w:abstractNumId w:val="11"/>
  </w:num>
  <w:num w:numId="17" w16cid:durableId="85150625">
    <w:abstractNumId w:val="7"/>
  </w:num>
  <w:num w:numId="18" w16cid:durableId="1109663542">
    <w:abstractNumId w:val="3"/>
  </w:num>
  <w:num w:numId="19" w16cid:durableId="2067339211">
    <w:abstractNumId w:val="22"/>
  </w:num>
  <w:num w:numId="20" w16cid:durableId="1915046698">
    <w:abstractNumId w:val="20"/>
  </w:num>
  <w:num w:numId="21" w16cid:durableId="1065570303">
    <w:abstractNumId w:val="25"/>
  </w:num>
  <w:num w:numId="22" w16cid:durableId="227426336">
    <w:abstractNumId w:val="5"/>
  </w:num>
  <w:num w:numId="23" w16cid:durableId="179392991">
    <w:abstractNumId w:val="29"/>
  </w:num>
  <w:num w:numId="24" w16cid:durableId="1002245193">
    <w:abstractNumId w:val="21"/>
  </w:num>
  <w:num w:numId="25" w16cid:durableId="509805857">
    <w:abstractNumId w:val="28"/>
  </w:num>
  <w:num w:numId="26" w16cid:durableId="1363818835">
    <w:abstractNumId w:val="27"/>
  </w:num>
  <w:num w:numId="27" w16cid:durableId="180364370">
    <w:abstractNumId w:val="23"/>
  </w:num>
  <w:num w:numId="28" w16cid:durableId="2080127284">
    <w:abstractNumId w:val="10"/>
  </w:num>
  <w:num w:numId="29" w16cid:durableId="72209845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5622707">
    <w:abstractNumId w:val="6"/>
  </w:num>
  <w:num w:numId="31" w16cid:durableId="1044015953">
    <w:abstractNumId w:val="14"/>
  </w:num>
  <w:num w:numId="32" w16cid:durableId="359940320">
    <w:abstractNumId w:val="35"/>
  </w:num>
  <w:num w:numId="33" w16cid:durableId="834102322">
    <w:abstractNumId w:val="1"/>
  </w:num>
  <w:num w:numId="34" w16cid:durableId="13570749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7117323">
    <w:abstractNumId w:val="8"/>
  </w:num>
  <w:num w:numId="36" w16cid:durableId="603148347">
    <w:abstractNumId w:val="16"/>
  </w:num>
  <w:num w:numId="37" w16cid:durableId="8348775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083699">
    <w:abstractNumId w:val="2"/>
  </w:num>
  <w:num w:numId="39" w16cid:durableId="176949583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6315"/>
    <w:rsid w:val="0016665C"/>
    <w:rsid w:val="00167555"/>
    <w:rsid w:val="00167E09"/>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19E"/>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58C"/>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BF2"/>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280"/>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CF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12"/>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33638</Words>
  <Characters>19174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16</cp:revision>
  <dcterms:created xsi:type="dcterms:W3CDTF">2024-08-21T07:59:00Z</dcterms:created>
  <dcterms:modified xsi:type="dcterms:W3CDTF">2025-03-25T14:34:00Z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